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74438ds3asr.htm"/>
        <w:bookmarkStart w:id="1" w:name="ksd274438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August 6, 2026 </w:t>
      </w:r>
    </w:p>
    <w:p>
      <w:pPr>
        <w:pStyle w:val="TextBody"/>
        <w:bidi w:val="0"/>
        <w:spacing w:before="0" w:after="0"/>
        <w:jc w:val="right"/>
        <w:rPr>
          <w:rFonts w:ascii="Times New Roman" w:hAnsi="Times New Roman"/>
          <w:b/>
          <w:sz w:val="18"/>
        </w:rPr>
      </w:pPr>
      <w:r>
        <w:rPr>
          <w:rFonts w:ascii="Times New Roman" w:hAnsi="Times New Roman"/>
          <w:b/>
          <w:sz w:val="18"/>
        </w:rPr>
        <w:t>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8"/>
        </w:rPr>
      </w:pPr>
      <w:r>
        <w:rPr>
          <w:rFonts w:ascii="Times New Roman" w:hAnsi="Times New Roman"/>
          <w:b/>
          <w:sz w:val="28"/>
        </w:rPr>
        <w:t>FORM S-3</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Solid Biosciences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90-0943402</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40" w:after="0"/>
        <w:jc w:val="center"/>
        <w:rPr>
          <w:rFonts w:ascii="Times New Roman" w:hAnsi="Times New Roman"/>
          <w:b/>
          <w:sz w:val="18"/>
        </w:rPr>
      </w:pPr>
      <w:r>
        <w:rPr>
          <w:rFonts w:ascii="Times New Roman" w:hAnsi="Times New Roman"/>
          <w:b/>
          <w:sz w:val="18"/>
        </w:rPr>
        <w:t xml:space="preserve">500 Rutherford Avenue, Third Floor </w:t>
      </w:r>
    </w:p>
    <w:p>
      <w:pPr>
        <w:pStyle w:val="TextBody"/>
        <w:bidi w:val="0"/>
        <w:spacing w:before="0" w:after="0"/>
        <w:jc w:val="center"/>
        <w:rPr>
          <w:rFonts w:ascii="Times New Roman" w:hAnsi="Times New Roman"/>
          <w:b/>
          <w:sz w:val="18"/>
        </w:rPr>
      </w:pPr>
      <w:r>
        <w:rPr>
          <w:rFonts w:ascii="Times New Roman" w:hAnsi="Times New Roman"/>
          <w:b/>
          <w:sz w:val="18"/>
        </w:rPr>
        <w:t xml:space="preserve">Charlestown, MA 02129 </w:t>
      </w:r>
    </w:p>
    <w:p>
      <w:pPr>
        <w:pStyle w:val="TextBody"/>
        <w:bidi w:val="0"/>
        <w:spacing w:before="0" w:after="0"/>
        <w:jc w:val="center"/>
        <w:rPr>
          <w:rFonts w:ascii="Times New Roman" w:hAnsi="Times New Roman"/>
          <w:b/>
          <w:sz w:val="18"/>
        </w:rPr>
      </w:pPr>
      <w:r>
        <w:rPr>
          <w:rFonts w:ascii="Times New Roman" w:hAnsi="Times New Roman"/>
          <w:b/>
          <w:sz w:val="18"/>
        </w:rPr>
        <w:t>(617) 337-4680</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Alexander Cumbo </w:t>
      </w:r>
    </w:p>
    <w:p>
      <w:pPr>
        <w:pStyle w:val="TextBody"/>
        <w:bidi w:val="0"/>
        <w:spacing w:before="0" w:after="0"/>
        <w:jc w:val="center"/>
        <w:rPr>
          <w:rFonts w:ascii="Times New Roman" w:hAnsi="Times New Roman"/>
          <w:b/>
          <w:sz w:val="18"/>
        </w:rPr>
      </w:pPr>
      <w:r>
        <w:rPr>
          <w:rFonts w:ascii="Times New Roman" w:hAnsi="Times New Roman"/>
          <w:b/>
          <w:sz w:val="18"/>
        </w:rPr>
        <w:t xml:space="preserve">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Solid Biosciences Inc. </w:t>
      </w:r>
    </w:p>
    <w:p>
      <w:pPr>
        <w:pStyle w:val="TextBody"/>
        <w:bidi w:val="0"/>
        <w:spacing w:before="0" w:after="0"/>
        <w:jc w:val="center"/>
        <w:rPr>
          <w:rFonts w:ascii="Times New Roman" w:hAnsi="Times New Roman"/>
          <w:b/>
          <w:sz w:val="18"/>
        </w:rPr>
      </w:pPr>
      <w:r>
        <w:rPr>
          <w:rFonts w:ascii="Times New Roman" w:hAnsi="Times New Roman"/>
          <w:b/>
          <w:sz w:val="18"/>
        </w:rPr>
        <w:t xml:space="preserve">500 Rutherford Avenue, Third Floor </w:t>
      </w:r>
    </w:p>
    <w:p>
      <w:pPr>
        <w:pStyle w:val="TextBody"/>
        <w:bidi w:val="0"/>
        <w:spacing w:before="0" w:after="0"/>
        <w:jc w:val="center"/>
        <w:rPr>
          <w:rFonts w:ascii="Times New Roman" w:hAnsi="Times New Roman"/>
          <w:b/>
          <w:sz w:val="18"/>
        </w:rPr>
      </w:pPr>
      <w:r>
        <w:rPr>
          <w:rFonts w:ascii="Times New Roman" w:hAnsi="Times New Roman"/>
          <w:b/>
          <w:sz w:val="18"/>
        </w:rPr>
        <w:t xml:space="preserve">Charlestown, MA 02129 </w:t>
      </w:r>
    </w:p>
    <w:p>
      <w:pPr>
        <w:pStyle w:val="TextBody"/>
        <w:bidi w:val="0"/>
        <w:spacing w:before="0" w:after="0"/>
        <w:jc w:val="center"/>
        <w:rPr>
          <w:rFonts w:ascii="Times New Roman" w:hAnsi="Times New Roman"/>
          <w:b/>
          <w:sz w:val="18"/>
        </w:rPr>
      </w:pPr>
      <w:r>
        <w:rPr>
          <w:rFonts w:ascii="Times New Roman" w:hAnsi="Times New Roman"/>
          <w:b/>
          <w:sz w:val="18"/>
        </w:rPr>
        <w:t>(617) 337-4680</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18"/>
              </w:rPr>
            </w:pPr>
            <w:r>
              <w:rPr>
                <w:rFonts w:ascii="Times New Roman" w:hAnsi="Times New Roman"/>
                <w:b/>
                <w:sz w:val="18"/>
              </w:rPr>
              <w:t>Caroline Dotolo</w:t>
            </w:r>
          </w:p>
          <w:p>
            <w:pPr>
              <w:pStyle w:val="TableContents"/>
              <w:bidi w:val="0"/>
              <w:spacing w:before="0" w:after="0"/>
              <w:jc w:val="center"/>
              <w:rPr>
                <w:rFonts w:ascii="Times New Roman" w:hAnsi="Times New Roman"/>
                <w:b/>
                <w:sz w:val="18"/>
              </w:rPr>
            </w:pPr>
            <w:r>
              <w:rPr>
                <w:rFonts w:ascii="Times New Roman" w:hAnsi="Times New Roman"/>
                <w:b/>
                <w:sz w:val="18"/>
              </w:rPr>
              <w:t>Andrea Sorrentino</w:t>
            </w:r>
          </w:p>
          <w:p>
            <w:pPr>
              <w:pStyle w:val="TableContents"/>
              <w:bidi w:val="0"/>
              <w:spacing w:before="0" w:after="0"/>
              <w:jc w:val="center"/>
              <w:rPr>
                <w:rFonts w:ascii="Times New Roman" w:hAnsi="Times New Roman"/>
                <w:b/>
                <w:sz w:val="18"/>
              </w:rPr>
            </w:pPr>
            <w:r>
              <w:rPr>
                <w:rFonts w:ascii="Times New Roman" w:hAnsi="Times New Roman"/>
                <w:b/>
                <w:sz w:val="18"/>
              </w:rPr>
              <w:t>Wilmer Cutler Pickering Hale and Dorr LLP</w:t>
            </w:r>
          </w:p>
          <w:p>
            <w:pPr>
              <w:pStyle w:val="TableContents"/>
              <w:bidi w:val="0"/>
              <w:spacing w:before="0" w:after="0"/>
              <w:jc w:val="center"/>
              <w:rPr>
                <w:rFonts w:ascii="Times New Roman" w:hAnsi="Times New Roman"/>
                <w:b/>
                <w:sz w:val="18"/>
              </w:rPr>
            </w:pPr>
            <w:r>
              <w:rPr>
                <w:rFonts w:ascii="Times New Roman" w:hAnsi="Times New Roman"/>
                <w:b/>
                <w:sz w:val="18"/>
              </w:rPr>
              <w:t>60 State Street</w:t>
            </w:r>
          </w:p>
          <w:p>
            <w:pPr>
              <w:pStyle w:val="TableContents"/>
              <w:bidi w:val="0"/>
              <w:spacing w:before="0" w:after="0"/>
              <w:jc w:val="center"/>
              <w:rPr>
                <w:rFonts w:ascii="Times New Roman" w:hAnsi="Times New Roman"/>
                <w:b/>
                <w:sz w:val="18"/>
              </w:rPr>
            </w:pPr>
            <w:r>
              <w:rPr>
                <w:rFonts w:ascii="Times New Roman" w:hAnsi="Times New Roman"/>
                <w:b/>
                <w:sz w:val="18"/>
              </w:rPr>
              <w:t>Boston, MA 02109</w:t>
            </w:r>
          </w:p>
          <w:p>
            <w:pPr>
              <w:pStyle w:val="TableContents"/>
              <w:bidi w:val="0"/>
              <w:spacing w:before="0" w:after="20"/>
              <w:jc w:val="center"/>
              <w:rPr>
                <w:rFonts w:ascii="Times New Roman" w:hAnsi="Times New Roman"/>
                <w:b/>
                <w:sz w:val="18"/>
              </w:rPr>
            </w:pPr>
            <w:r>
              <w:rPr>
                <w:rFonts w:ascii="Times New Roman" w:hAnsi="Times New Roman"/>
                <w:b/>
                <w:sz w:val="18"/>
              </w:rPr>
              <w:t>(617) 526-6000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8"/>
              </w:rPr>
            </w:pPr>
            <w:r>
              <w:rPr>
                <w:rFonts w:ascii="Times New Roman" w:hAnsi="Times New Roman"/>
                <w:b/>
                <w:sz w:val="18"/>
              </w:rPr>
              <w:t>Ty Howton</w:t>
            </w:r>
          </w:p>
          <w:p>
            <w:pPr>
              <w:pStyle w:val="TableContents"/>
              <w:bidi w:val="0"/>
              <w:spacing w:before="0" w:after="0"/>
              <w:jc w:val="center"/>
              <w:rPr>
                <w:rFonts w:ascii="Times New Roman" w:hAnsi="Times New Roman"/>
                <w:b/>
                <w:sz w:val="18"/>
              </w:rPr>
            </w:pPr>
            <w:r>
              <w:rPr>
                <w:rFonts w:ascii="Times New Roman" w:hAnsi="Times New Roman"/>
                <w:b/>
                <w:sz w:val="18"/>
              </w:rPr>
              <w:t>Chief Operating Officer</w:t>
            </w:r>
          </w:p>
          <w:p>
            <w:pPr>
              <w:pStyle w:val="TableContents"/>
              <w:bidi w:val="0"/>
              <w:spacing w:before="0" w:after="0"/>
              <w:jc w:val="center"/>
              <w:rPr>
                <w:rFonts w:ascii="Times New Roman" w:hAnsi="Times New Roman"/>
                <w:b/>
                <w:sz w:val="18"/>
              </w:rPr>
            </w:pPr>
            <w:r>
              <w:rPr>
                <w:rFonts w:ascii="Times New Roman" w:hAnsi="Times New Roman"/>
                <w:b/>
                <w:sz w:val="18"/>
              </w:rPr>
              <w:t>Solid Biosciences Inc.</w:t>
            </w:r>
          </w:p>
          <w:p>
            <w:pPr>
              <w:pStyle w:val="TableContents"/>
              <w:bidi w:val="0"/>
              <w:spacing w:before="0" w:after="0"/>
              <w:jc w:val="center"/>
              <w:rPr>
                <w:rFonts w:ascii="Times New Roman" w:hAnsi="Times New Roman"/>
                <w:b/>
                <w:sz w:val="18"/>
              </w:rPr>
            </w:pPr>
            <w:r>
              <w:rPr>
                <w:rFonts w:ascii="Times New Roman" w:hAnsi="Times New Roman"/>
                <w:b/>
                <w:sz w:val="18"/>
              </w:rPr>
              <w:t>500 Rutherford Avenue, Third Floor</w:t>
            </w:r>
          </w:p>
          <w:p>
            <w:pPr>
              <w:pStyle w:val="TableContents"/>
              <w:bidi w:val="0"/>
              <w:spacing w:before="0" w:after="0"/>
              <w:jc w:val="center"/>
              <w:rPr>
                <w:rFonts w:ascii="Times New Roman" w:hAnsi="Times New Roman"/>
                <w:b/>
                <w:sz w:val="18"/>
              </w:rPr>
            </w:pPr>
            <w:r>
              <w:rPr>
                <w:rFonts w:ascii="Times New Roman" w:hAnsi="Times New Roman"/>
                <w:b/>
                <w:sz w:val="18"/>
              </w:rPr>
              <w:t>Charlestown, MA 02129</w:t>
            </w:r>
          </w:p>
          <w:p>
            <w:pPr>
              <w:pStyle w:val="TableContents"/>
              <w:bidi w:val="0"/>
              <w:spacing w:before="0" w:after="20"/>
              <w:jc w:val="center"/>
              <w:rPr>
                <w:rFonts w:ascii="Times New Roman" w:hAnsi="Times New Roman"/>
                <w:b/>
                <w:sz w:val="18"/>
              </w:rPr>
            </w:pPr>
            <w:r>
              <w:rPr>
                <w:rFonts w:ascii="Times New Roman" w:hAnsi="Times New Roman"/>
                <w:b/>
                <w:sz w:val="18"/>
              </w:rPr>
              <w:t>(617) 337-4680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b/>
          <w:sz w:val="18"/>
        </w:rPr>
        <w:t>Approximate date of commencement of proposed sale to the public</w:t>
      </w:r>
      <w:r>
        <w:rPr>
          <w:rFonts w:ascii="Times New Roman" w:hAnsi="Times New Roman"/>
          <w:sz w:val="18"/>
        </w:rPr>
        <w:t xml:space="preserve">: From time to time after this registration statement becomes effective. </w:t>
      </w:r>
    </w:p>
    <w:p>
      <w:pPr>
        <w:pStyle w:val="TextBody"/>
        <w:bidi w:val="0"/>
        <w:spacing w:before="24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7"/>
        <w:gridCol w:w="103"/>
        <w:gridCol w:w="4836"/>
        <w:gridCol w:w="120"/>
        <w:gridCol w:w="2645"/>
        <w:gridCol w:w="103"/>
        <w:gridCol w:w="241"/>
      </w:tblGrid>
      <w:tr>
        <w:trPr/>
        <w:tc>
          <w:tcPr>
            <w:tcW w:w="215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150" w:hRule="atLeast"/>
        </w:trPr>
        <w:tc>
          <w:tcPr>
            <w:tcW w:w="2157" w:type="dxa"/>
            <w:tcBorders/>
            <w:vAlign w:val="center"/>
          </w:tcPr>
          <w:p>
            <w:pPr>
              <w:pStyle w:val="TableContents"/>
              <w:bidi w:val="0"/>
              <w:spacing w:before="0" w:after="283"/>
              <w:jc w:val="left"/>
              <w:rPr>
                <w:sz w:val="4"/>
                <w:szCs w:val="4"/>
              </w:rPr>
            </w:pPr>
            <w:r>
              <w:rPr>
                <w:sz w:val="4"/>
                <w:szCs w:val="4"/>
              </w:rPr>
            </w:r>
          </w:p>
        </w:tc>
        <w:tc>
          <w:tcPr>
            <w:tcW w:w="4939" w:type="dxa"/>
            <w:gridSpan w:val="2"/>
            <w:tcBorders/>
            <w:vAlign w:val="center"/>
          </w:tcPr>
          <w:p>
            <w:pPr>
              <w:pStyle w:val="TableContents"/>
              <w:bidi w:val="0"/>
              <w:spacing w:before="0" w:after="283"/>
              <w:jc w:val="left"/>
              <w:rPr>
                <w:sz w:val="4"/>
                <w:szCs w:val="4"/>
              </w:rPr>
            </w:pPr>
            <w:r>
              <w:rPr>
                <w:sz w:val="4"/>
                <w:szCs w:val="4"/>
              </w:rPr>
            </w:r>
          </w:p>
        </w:tc>
        <w:tc>
          <w:tcPr>
            <w:tcW w:w="2765"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150" w:hRule="atLeast"/>
        </w:trPr>
        <w:tc>
          <w:tcPr>
            <w:tcW w:w="2157" w:type="dxa"/>
            <w:tcBorders/>
            <w:vAlign w:val="center"/>
          </w:tcPr>
          <w:p>
            <w:pPr>
              <w:pStyle w:val="TableContents"/>
              <w:bidi w:val="0"/>
              <w:spacing w:before="0" w:after="283"/>
              <w:jc w:val="left"/>
              <w:rPr>
                <w:sz w:val="4"/>
                <w:szCs w:val="4"/>
              </w:rPr>
            </w:pPr>
            <w:r>
              <w:rPr>
                <w:sz w:val="4"/>
                <w:szCs w:val="4"/>
              </w:rPr>
            </w:r>
          </w:p>
        </w:tc>
        <w:tc>
          <w:tcPr>
            <w:tcW w:w="4939" w:type="dxa"/>
            <w:gridSpan w:val="2"/>
            <w:tcBorders/>
            <w:vAlign w:val="center"/>
          </w:tcPr>
          <w:p>
            <w:pPr>
              <w:pStyle w:val="TableContents"/>
              <w:bidi w:val="0"/>
              <w:spacing w:before="0" w:after="283"/>
              <w:jc w:val="left"/>
              <w:rPr>
                <w:sz w:val="4"/>
                <w:szCs w:val="4"/>
              </w:rPr>
            </w:pPr>
            <w:r>
              <w:rPr>
                <w:sz w:val="4"/>
                <w:szCs w:val="4"/>
              </w:rPr>
            </w:r>
          </w:p>
        </w:tc>
        <w:tc>
          <w:tcPr>
            <w:tcW w:w="2765"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774950" cy="8712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74950" cy="8712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securities from time to time in one or more offerings.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“SLDB.”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these securities involves significant risks. See the information included under “</w:t>
      </w:r>
      <w:hyperlink w:anchor="tx274438_5">
        <w:r>
          <w:rPr>
            <w:rStyle w:val="InternetLink"/>
            <w:rFonts w:ascii="Times New Roman" w:hAnsi="Times New Roman"/>
            <w:b/>
            <w:sz w:val="24"/>
          </w:rPr>
          <w:t>Risk Factors</w:t>
        </w:r>
      </w:hyperlink>
      <w:r>
        <w:rPr>
          <w:rFonts w:ascii="Times New Roman" w:hAnsi="Times New Roman"/>
          <w:b/>
          <w:sz w:val="24"/>
        </w:rPr>
        <w:t xml:space="preserve">” on page 6 of this prospectus and in any accompanying prospectus supplement, and under similar headings in the documents incorporated by reference in this prospectus or any prospectus supplement, for a discussion of the factors you should carefully consider before deciding to purchase these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274438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74438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74438_3">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74438_4">
              <w:r>
                <w:rPr>
                  <w:rStyle w:val="InternetLink"/>
                  <w:rFonts w:ascii="Times New Roman" w:hAnsi="Times New Roman"/>
                  <w:sz w:val="20"/>
                </w:rPr>
                <w:t>CAUTIONARY NOTE REGARDING FORWARD-LOOKING STATEMENTS AND INDUSTRY DATA</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74438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74438_6">
              <w:r>
                <w:rPr>
                  <w:rStyle w:val="InternetLink"/>
                  <w:rFonts w:ascii="Times New Roman" w:hAnsi="Times New Roman"/>
                  <w:sz w:val="20"/>
                </w:rPr>
                <w:t>SOLID BIOSCIENCES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74438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74438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74438_9">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74438_10">
              <w:r>
                <w:rPr>
                  <w:rStyle w:val="InternetLink"/>
                  <w:rFonts w:ascii="Times New Roman" w:hAnsi="Times New Roman"/>
                  <w:sz w:val="20"/>
                </w:rPr>
                <w:t>DESCRIPTION OF DEPOSITARY SHARES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74438_11">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74438_12">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74438_13">
              <w:r>
                <w:rPr>
                  <w:rStyle w:val="InternetLink"/>
                  <w:rFonts w:ascii="Times New Roman" w:hAnsi="Times New Roman"/>
                  <w:sz w:val="20"/>
                </w:rPr>
                <w:t>FORMS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74438_14">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74438_15">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74438_16">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274438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 “Where You Can Find More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“the Company,” “we,” “our” and “us” refer, collectively, to Solid Biosciences Inc., a Delaware corporation,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274438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www.solidbio.com. Our website is not a part of this prospectus and information contained on, or that can be accessed through, our website is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274438_3"/>
      <w:bookmarkEnd w:id="5"/>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001-38360)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as filed with the SEC on March 19, 2026, including the information specifically incorporated by reference into the Annual Report on Form 10-K from our </w:t>
            </w:r>
            <w:hyperlink r:id="rId4">
              <w:r>
                <w:rPr>
                  <w:rStyle w:val="InternetLink"/>
                  <w:rFonts w:ascii="Times New Roman" w:hAnsi="Times New Roman"/>
                  <w:sz w:val="20"/>
                </w:rPr>
                <w:t>definitive proxy statement</w:t>
              </w:r>
            </w:hyperlink>
            <w:r>
              <w:rPr>
                <w:rFonts w:ascii="Times New Roman" w:hAnsi="Times New Roman"/>
                <w:sz w:val="20"/>
              </w:rPr>
              <w:t xml:space="preserve"> for the 2026 Annual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fiscal quarters ended March 31, 2026 and June 30, 2026, as filed with the SEC on </w:t>
            </w:r>
            <w:hyperlink r:id="rId5">
              <w:r>
                <w:rPr>
                  <w:rStyle w:val="InternetLink"/>
                  <w:rFonts w:ascii="Times New Roman" w:hAnsi="Times New Roman"/>
                  <w:sz w:val="20"/>
                </w:rPr>
                <w:t>May  12, 2026</w:t>
              </w:r>
            </w:hyperlink>
            <w:r>
              <w:rPr>
                <w:rFonts w:ascii="Times New Roman" w:hAnsi="Times New Roman"/>
                <w:sz w:val="20"/>
              </w:rPr>
              <w:t xml:space="preserve"> and </w:t>
            </w:r>
            <w:hyperlink r:id="rId6">
              <w:r>
                <w:rPr>
                  <w:rStyle w:val="InternetLink"/>
                  <w:rFonts w:ascii="Times New Roman" w:hAnsi="Times New Roman"/>
                  <w:sz w:val="20"/>
                </w:rPr>
                <w:t>August 6,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Current Reports on Form 8-K as filed with the SEC on </w:t>
            </w:r>
            <w:hyperlink r:id="rId7">
              <w:r>
                <w:rPr>
                  <w:rStyle w:val="InternetLink"/>
                  <w:rFonts w:ascii="Times New Roman" w:hAnsi="Times New Roman"/>
                  <w:sz w:val="20"/>
                </w:rPr>
                <w:t>March  6, 2026</w:t>
              </w:r>
            </w:hyperlink>
            <w:r>
              <w:rPr>
                <w:rFonts w:ascii="Times New Roman" w:hAnsi="Times New Roman"/>
                <w:sz w:val="20"/>
              </w:rPr>
              <w:t xml:space="preserve">, </w:t>
            </w:r>
            <w:hyperlink r:id="rId8">
              <w:r>
                <w:rPr>
                  <w:rStyle w:val="InternetLink"/>
                  <w:rFonts w:ascii="Times New Roman" w:hAnsi="Times New Roman"/>
                  <w:sz w:val="20"/>
                </w:rPr>
                <w:t>March  12, 2026</w:t>
              </w:r>
            </w:hyperlink>
            <w:r>
              <w:rPr>
                <w:rFonts w:ascii="Times New Roman" w:hAnsi="Times New Roman"/>
                <w:sz w:val="20"/>
              </w:rPr>
              <w:t xml:space="preserve"> (Item 8.01 only), </w:t>
            </w:r>
            <w:hyperlink r:id="rId9">
              <w:r>
                <w:rPr>
                  <w:rStyle w:val="InternetLink"/>
                  <w:rFonts w:ascii="Times New Roman" w:hAnsi="Times New Roman"/>
                  <w:sz w:val="20"/>
                </w:rPr>
                <w:t>April  10, 2026</w:t>
              </w:r>
            </w:hyperlink>
            <w:r>
              <w:rPr>
                <w:rFonts w:ascii="Times New Roman" w:hAnsi="Times New Roman"/>
                <w:sz w:val="20"/>
              </w:rPr>
              <w:t xml:space="preserve"> and </w:t>
            </w:r>
            <w:hyperlink r:id="rId10">
              <w:r>
                <w:rPr>
                  <w:rStyle w:val="InternetLink"/>
                  <w:rFonts w:ascii="Times New Roman" w:hAnsi="Times New Roman"/>
                  <w:sz w:val="20"/>
                </w:rPr>
                <w:t>June 10,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1">
              <w:r>
                <w:rPr>
                  <w:rStyle w:val="InternetLink"/>
                  <w:rFonts w:ascii="Times New Roman" w:hAnsi="Times New Roman"/>
                  <w:sz w:val="20"/>
                </w:rPr>
                <w:t>Form 8-A</w:t>
              </w:r>
            </w:hyperlink>
            <w:r>
              <w:rPr>
                <w:rFonts w:ascii="Times New Roman" w:hAnsi="Times New Roman"/>
                <w:sz w:val="20"/>
              </w:rPr>
              <w:t xml:space="preserve"> as filed with the SEC on January  22, 2018, as the description therein has been updated and superseded by the description of our capital stock contained in </w:t>
            </w:r>
            <w:hyperlink r:id="rId12">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2025, as filed with the SEC on March 19, 2026, and including any amendments and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calling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Solid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500 Rutherford Avenue, Third Floor </w:t>
      </w:r>
    </w:p>
    <w:p>
      <w:pPr>
        <w:pStyle w:val="TextBody"/>
        <w:bidi w:val="0"/>
        <w:spacing w:before="0" w:after="0"/>
        <w:jc w:val="center"/>
        <w:rPr>
          <w:rFonts w:ascii="Times New Roman" w:hAnsi="Times New Roman"/>
          <w:sz w:val="20"/>
        </w:rPr>
      </w:pPr>
      <w:r>
        <w:rPr>
          <w:rFonts w:ascii="Times New Roman" w:hAnsi="Times New Roman"/>
          <w:sz w:val="20"/>
        </w:rPr>
        <w:t xml:space="preserve">Charlestown, MA 02129 </w:t>
      </w:r>
    </w:p>
    <w:p>
      <w:pPr>
        <w:pStyle w:val="TextBody"/>
        <w:bidi w:val="0"/>
        <w:spacing w:before="0" w:after="0"/>
        <w:jc w:val="center"/>
        <w:rPr>
          <w:rFonts w:ascii="Times New Roman" w:hAnsi="Times New Roman"/>
          <w:sz w:val="20"/>
        </w:rPr>
      </w:pPr>
      <w:r>
        <w:rPr>
          <w:rFonts w:ascii="Times New Roman" w:hAnsi="Times New Roman"/>
          <w:sz w:val="20"/>
        </w:rPr>
        <w:t>(617) 337-4680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274438_4"/>
      <w:bookmarkEnd w:id="6"/>
      <w:r>
        <w:rPr>
          <w:rFonts w:ascii="Times New Roman" w:hAnsi="Times New Roman"/>
          <w:b/>
          <w:sz w:val="20"/>
        </w:rPr>
        <w:t xml:space="preserve">CAUTIONARY NOTE REGARDING FORWARD-LOOKING STATEMENTS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in this prospectus include “forward-looking statements” within the meaning of Section 27A of the Securities Act of 1933, as amended, or the Securities Act, and Section 21E of the Exchange Act. All statements, other than statements of historical fact, contained in or incorporated by reference in this prospectus, including statements regarding our strategy, future operations, future financial position, future revenue, projected costs, prospects, plans and objectives of management, are forward-looking statements. The words “aim,” “anticipate,” “believe,” “continue,” “could,” “estimate,” “expect,” “intend,” “may,” “might,” “plan,” “possible,” “predict,” “project,” “seek,” “should,” “target,” “will,” “would” and similar expressions are intended to identify forward-looking statements, although not all forward-looking statements contain these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and the documents incorporated by reference herein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design and results of ongoing and planned preclinical studies and clinical trials for our neuromuscular (e.g., SGT-003, SGT-212), cardiac (e.g., SGT-501, SGT-601) or other future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or maintain collaborations or strategic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U.S. and foreign regulatory approval of our neuromuscular (e.g., SGT-003, SGT-212), cardiac (e.g., SGT-501, SGT-601) or other future candidates, and the timing and scope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outcomes of regulatory interactions;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patient populations and potential market opportunity for our neuromuscular (e.g., SGT-003, SGT-212), cardiac (e.g., SGT-501, SGT-601) or other future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capabilities and strategy, including capacity constraints and the scalability and commercial viability of our manufacturing methods and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develop and commercialize our neuromuscular (e.g., SGT-003, SGT-212), cardiac (e.g., SGT-501, SGT-601) or other future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neuromuscular (e.g., SGT-003, SGT-212), cardiac (e.g., SGT-501, SGT-601) or other future candidates we may develop,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sales, marketing and distribution capabilities and entry into agreements with third parties to market and sell our neuromuscular (e.g., SGT-003, SGT-212), cardiac (e.g., SGT-501, SGT-601) or other future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and clinical utility of our neuromuscular (e.g., SGT-003, SGT-212), cardiac (e.g., SGT-501, SGT-601) or other future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develop our platform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related to our use of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ongoing losses, future revenue, capital requirements, and need for and ability to obtain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intellectual property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and market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as a going concern;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regulations, and global political and economic developments, including the imposition of tariffs or other trade restrictions, on our business, operations, strategy and goals.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You are cautioned that these forward-looking statements are only predictions and are subject to risks, uncertainties and assumptions that are referenced in the section of any accompanying prospectus supplement entitled “Risk Factors.”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collaborations, joint ventures or investments that we may make or enter into.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documents incorporated by reference herein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274438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consider the risks and uncertainties described in this prospectus and any accompanying prospectus supplement, including the risk factors set forth in our most recent Annual Report on Form 10-K, our most recent Quarterly Report on Form 10-Q and other filings we make with the SEC from time to time, which are incorporated by reference herein, before making an investment decision pursuant to this prospectus and any accompanying prospectus supplement relating to a specific offering. </w:t>
      </w:r>
    </w:p>
    <w:p>
      <w:pPr>
        <w:pStyle w:val="TextBody"/>
        <w:bidi w:val="0"/>
        <w:spacing w:before="240" w:after="0"/>
        <w:jc w:val="left"/>
        <w:rPr>
          <w:rFonts w:ascii="Times New Roman" w:hAnsi="Times New Roman"/>
          <w:sz w:val="20"/>
        </w:rPr>
      </w:pPr>
      <w:r>
        <w:rPr>
          <w:rFonts w:ascii="Times New Roman" w:hAnsi="Times New Roman"/>
          <w:sz w:val="20"/>
        </w:rPr>
        <w:t xml:space="preserve">Our business, financial condition and results of operations could be materially and adversely affected by any or all of these risks or by additional risks and uncertainties not presently known to us or that we currently deem immaterial that may adversely affect us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274438_6"/>
      <w:bookmarkEnd w:id="8"/>
      <w:r>
        <w:rPr>
          <w:rFonts w:ascii="Times New Roman" w:hAnsi="Times New Roman"/>
          <w:b/>
          <w:sz w:val="20"/>
        </w:rPr>
        <w:t xml:space="preserve">SOLID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We are a life sciences company focused on advancing a portfolio of current and future gene therapy candidates, including SGT-003 for the treatment of Duchenne muscular dystrophy, or Duchenne, SGT-212 for the treatment of Friedreich’s ataxia, SGT-501 for the treatment of catecholaminergic polymorphic ventricular tachycardia, SGT-601 for the treatment of TNNT2-mediated dilated cardiomyopathy and additional assets for the treatment of genetic cardiac and neuromuscular diseases, at different stages of development, with varying levels of investment. We are advancing our diverse pipeline across rare neuromuscular and cardiac diseases, bringing together experts in science, technology, disease management and care. Patient-focused and founded by those directly impacted by Duchenne, our mission is to improve the daily lives of patients living with these devastating diseases. </w:t>
      </w:r>
    </w:p>
    <w:p>
      <w:pPr>
        <w:pStyle w:val="TextBody"/>
        <w:bidi w:val="0"/>
        <w:spacing w:before="240" w:after="0"/>
        <w:jc w:val="left"/>
        <w:rPr>
          <w:rFonts w:ascii="Times New Roman" w:hAnsi="Times New Roman"/>
          <w:sz w:val="20"/>
        </w:rPr>
      </w:pPr>
      <w:r>
        <w:rPr>
          <w:rFonts w:ascii="Times New Roman" w:hAnsi="Times New Roman"/>
          <w:sz w:val="20"/>
        </w:rPr>
        <w:t>Our principal executive offices are located at 500 Rutherford Avenue, Third Floor, Charlestown, MA 02129. Our main telephone number is (617) 337-4680.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274438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any securities offered under this prospectus for general corporate purposes unless otherwise indicated in the applicable prospectus supplement. General corporate purposes may include research and development costs, preclinical and clinical development, the acquisition or in-license of products, product candidates, companies, businesses or technologies, repayment and refinancing of debt, working capital and capital expenditures. We have not determined the amount of net proceeds to be used specifically for such purposes. As a result, management will retain broad discretion over the allocation of the net proceeds of any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274438_8"/>
      <w:bookmarkEnd w:id="10"/>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general terms and provisions of the debt securities that we may offer and sell from time to time. We will describe in a prospectus supplement the specific terms of the debt securities offered through that prospectus supplement, as well as any general terms and provisions described in this section that will not apply to those debt securities. As used in this “Description of Debt Securities”, the term “debt securities” means the senior and subordinated debt securities that we issue and the trustee authenticates and delivers under the applicable indenture. When we refer to “the Company,” “we,” “our,” and “us” in this section, we mean Solid Biosciences Inc. excluding, unless the context otherwise requires or as otherwise expressly stated,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subsidiaries unless such subsidiaries expressly guarantee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any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and/or free writing prospectus will include any additional or different terms of the debt securities of any series being offered, including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type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senior or subordinated debt securities, and, with respect to any subordinated debt securities the terms on which they are subordinated;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aggregate principal amount of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of the debt securities and the right, if any, to extend such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if any, at which the debt securities will bear interest, or the method of determining such rate or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such interest will accrue, the interest payment dates on which such interest will be payable or the method of determination of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and the duration of that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paying principal and interest and the place or places where principal and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of the debt securities if other than $1,000 or multiples of $1,000;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fund or other analogous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dates, prices, obligations and restrictions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currencies or currency units in which the debt securities will be denominated and the currency, currencies or currency units in which principal and interest, if any, on the debt securities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or exchange features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subject to the defeasance provisions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definitive or global form or in definitive form only upon satisfaction of certain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guaranteed as to payment or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special tax implications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defaults or covenants in addition to or in lieu of those set forth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we refer to “principal” in this section with reference to the debt securities, we are also referring to “premium, if any.”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Senior Debt Securities </w:t>
      </w:r>
    </w:p>
    <w:p>
      <w:pPr>
        <w:pStyle w:val="TextBody"/>
        <w:bidi w:val="0"/>
        <w:spacing w:before="120" w:after="0"/>
        <w:jc w:val="left"/>
        <w:rPr>
          <w:rFonts w:ascii="Times New Roman" w:hAnsi="Times New Roman"/>
          <w:sz w:val="20"/>
        </w:rPr>
      </w:pPr>
      <w:r>
        <w:rPr>
          <w:rFonts w:ascii="Times New Roman" w:hAnsi="Times New Roman"/>
          <w:i/>
          <w:sz w:val="20"/>
        </w:rPr>
        <w:t xml:space="preserve">Covenants. </w:t>
      </w:r>
      <w:r>
        <w:rPr>
          <w:rFonts w:ascii="Times New Roman" w:hAnsi="Times New Roman"/>
          <w:sz w:val="20"/>
        </w:rPr>
        <w:t xml:space="preserve">Unless we indicate otherwise in a prospectus supplement with respect to a particular series of senior debt securities, the senior debt securities 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 </w:t>
      </w:r>
    </w:p>
    <w:p>
      <w:pPr>
        <w:pStyle w:val="TextBody"/>
        <w:bidi w:val="0"/>
        <w:spacing w:before="240" w:after="0"/>
        <w:jc w:val="left"/>
        <w:rPr>
          <w:rFonts w:ascii="Times New Roman" w:hAnsi="Times New Roman"/>
          <w:sz w:val="20"/>
        </w:rPr>
      </w:pPr>
      <w:r>
        <w:rPr>
          <w:rFonts w:ascii="Times New Roman" w:hAnsi="Times New Roman"/>
          <w:i/>
          <w:sz w:val="20"/>
        </w:rPr>
        <w:t xml:space="preserve">Consolidation, Merger and Sale of Assets. </w:t>
      </w:r>
      <w:r>
        <w:rPr>
          <w:rFonts w:ascii="Times New Roman" w:hAnsi="Times New Roman"/>
          <w:sz w:val="20"/>
        </w:rPr>
        <w:t xml:space="preserve">Unless we indicate otherwise in a prospectus supplement with respect to a particular series of senior debt securities, we may not consolidate with or merge into any other person, in a transaction in which we are not the surviving corporation, or convey, transfer or lease our properties and assets substantially as an entirety to any person, in either case,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entity, if any, is a U.S. corporation, limited liability company, partnership or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entity assumes our obligations on the senior debt securities and under the senior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 </w:t>
      </w:r>
    </w:p>
    <w:p>
      <w:pPr>
        <w:pStyle w:val="TextBody"/>
        <w:bidi w:val="0"/>
        <w:spacing w:before="240" w:after="0"/>
        <w:jc w:val="left"/>
        <w:rPr>
          <w:rFonts w:ascii="Times New Roman" w:hAnsi="Times New Roman"/>
          <w:sz w:val="20"/>
        </w:rPr>
      </w:pPr>
      <w:r>
        <w:rPr>
          <w:rFonts w:ascii="Times New Roman" w:hAnsi="Times New Roman"/>
          <w:sz w:val="20"/>
        </w:rPr>
        <w:t xml:space="preserve">The surviving business entity will succeed to, and be substituted for, us under the senior indenture and the senior debt securities and, except in the case of a lease, we shall be released from all obligations under the senior indenture and the senior debt securities. </w:t>
      </w:r>
    </w:p>
    <w:p>
      <w:pPr>
        <w:pStyle w:val="TextBody"/>
        <w:bidi w:val="0"/>
        <w:spacing w:before="240" w:after="0"/>
        <w:jc w:val="left"/>
        <w:rPr>
          <w:rFonts w:ascii="Times New Roman" w:hAnsi="Times New Roman"/>
          <w:sz w:val="20"/>
        </w:rPr>
      </w:pPr>
      <w:r>
        <w:rPr>
          <w:rFonts w:ascii="Times New Roman" w:hAnsi="Times New Roman"/>
          <w:i/>
          <w:sz w:val="20"/>
        </w:rPr>
        <w:t xml:space="preserve">No Protection in the Event of a Change in Control. </w:t>
      </w:r>
      <w:r>
        <w:rPr>
          <w:rFonts w:ascii="Times New Roman" w:hAnsi="Times New Roman"/>
          <w:sz w:val="20"/>
        </w:rPr>
        <w:t xml:space="preserve">Unless we indicate otherwise in a prospectus supplement with respect to a 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 </w:t>
      </w:r>
    </w:p>
    <w:p>
      <w:pPr>
        <w:pStyle w:val="TextBody"/>
        <w:bidi w:val="0"/>
        <w:spacing w:before="240" w:after="0"/>
        <w:jc w:val="left"/>
        <w:rPr>
          <w:rFonts w:ascii="Times New Roman" w:hAnsi="Times New Roman"/>
          <w:sz w:val="20"/>
        </w:rPr>
      </w:pPr>
      <w:r>
        <w:rPr>
          <w:rFonts w:ascii="Times New Roman" w:hAnsi="Times New Roman"/>
          <w:i/>
          <w:sz w:val="20"/>
        </w:rPr>
        <w:t xml:space="preserve">Events of Default. </w:t>
      </w:r>
      <w:r>
        <w:rPr>
          <w:rFonts w:ascii="Times New Roman" w:hAnsi="Times New Roman"/>
          <w:sz w:val="20"/>
        </w:rPr>
        <w:t xml:space="preserve">Unless we indicate otherwise in a prospectus supplement with respect to a particular series of senior debt securities, the following are events of default under the senior indenture with respect to senior debt securities of each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interest on any senior debt securities of such series when due and payable, if that default continues for a period of 30 days (or such other period as may be specified for such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principal on the senior debt securities of such series when due and payable whether at maturity, upon redemption, by declaration or otherwise (and, if specified for such series, the continuance of such failure for a specified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or insolvency, whether or not voluntary;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for in such series of senior debt securities as may be specified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indicate otherwise in a prospectus supplement with respect to a particular series of senior debt securities, the default by us under any other debt, including any other series of our debt securities, is not a default under the senior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specified in the fourth bullet point above occurs and is continuing, the entire principal amount of and accrued interest on each series of senior debt securities then outstanding shall automatically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 </w:t>
      </w:r>
    </w:p>
    <w:p>
      <w:pPr>
        <w:pStyle w:val="TextBody"/>
        <w:bidi w:val="0"/>
        <w:spacing w:before="240" w:after="0"/>
        <w:jc w:val="left"/>
        <w:rPr>
          <w:rFonts w:ascii="Times New Roman" w:hAnsi="Times New Roman"/>
          <w:sz w:val="20"/>
        </w:rPr>
      </w:pPr>
      <w:r>
        <w:rPr>
          <w:rFonts w:ascii="Times New Roman" w:hAnsi="Times New Roman"/>
          <w:sz w:val="20"/>
        </w:rPr>
        <w:t xml:space="preserve">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gives the trustee written notice of a continuing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such series of senior debt securities make a written request to the trustee to pursue the remedy in respect of such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requesting holder or holders offer the trustee indemnity satisfactory to the trustee against any costs, liability or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comply with the request within 60 days after receipt of the request and the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such 60-day period, the holders of a majority in aggregate principal amount of such series of senior debt securities do not give the trustee a direction that is inconsistent with the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requires certain of our officers to certify, on or before a fixed date in each year in which any senior debt security is outstanding, as to their knowledge of our compliance with all covenants, agreements and conditions under the senior indenture. </w:t>
      </w:r>
    </w:p>
    <w:p>
      <w:pPr>
        <w:pStyle w:val="TextBody"/>
        <w:bidi w:val="0"/>
        <w:spacing w:before="240" w:after="0"/>
        <w:jc w:val="left"/>
        <w:rPr>
          <w:rFonts w:ascii="Times New Roman" w:hAnsi="Times New Roman"/>
          <w:sz w:val="20"/>
        </w:rPr>
      </w:pPr>
      <w:r>
        <w:rPr>
          <w:rFonts w:ascii="Times New Roman" w:hAnsi="Times New Roman"/>
          <w:i/>
          <w:sz w:val="20"/>
        </w:rPr>
        <w:t>Satisfaction and Discharge</w:t>
      </w:r>
      <w:r>
        <w:rPr>
          <w:rFonts w:ascii="Times New Roman" w:hAnsi="Times New Roman"/>
          <w:sz w:val="20"/>
        </w:rPr>
        <w:t xml:space="preserve">. We can satisfy and discharge our obligations to holders of any series of debt securities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the principal of and interest on all senior debt securities of such series (with certain limited exceptions) when due and payable;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senior trustee for cancellation all senior debt securities of such series theretofore authenticated under the senior indenture (with certain limited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Defeasance. </w:t>
      </w:r>
      <w:r>
        <w:rPr>
          <w:rFonts w:ascii="Times New Roman" w:hAnsi="Times New Roman"/>
          <w:sz w:val="20"/>
        </w:rPr>
        <w:t xml:space="preserve">Unless the applicable prospectus supplement provides otherwise, the following discussion of legal defeasance and covenant defeasance will apply to any series of debt securities issued under the indentures. </w:t>
      </w:r>
    </w:p>
    <w:p>
      <w:pPr>
        <w:pStyle w:val="TextBody"/>
        <w:bidi w:val="0"/>
        <w:spacing w:before="24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We can legally release ourselves from any payment or other obligations on the debt securities of any series (called “legal defeasance”) if certain conditions are met,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 legal opinion of our counsel confirming the tax law change or ruling described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legal defeasance, as described above, you would have to rely solely on the trust deposit for repayment of the debt securities. You could not look to us for repayment in the event of any shortfall. </w:t>
      </w:r>
    </w:p>
    <w:p>
      <w:pPr>
        <w:pStyle w:val="TextBody"/>
        <w:bidi w:val="0"/>
        <w:spacing w:before="240" w:after="0"/>
        <w:jc w:val="left"/>
        <w:rPr>
          <w:rFonts w:ascii="Times New Roman" w:hAnsi="Times New Roman"/>
          <w:sz w:val="20"/>
        </w:rPr>
      </w:pPr>
      <w:r>
        <w:rPr>
          <w:rFonts w:ascii="Times New Roman" w:hAnsi="Times New Roman"/>
          <w:i/>
          <w:sz w:val="20"/>
        </w:rPr>
        <w:t>Covenant Defeasance</w:t>
      </w:r>
      <w:r>
        <w:rPr>
          <w:rFonts w:ascii="Times New Roman" w:hAnsi="Times New Roman"/>
          <w:sz w:val="20"/>
        </w:rPr>
        <w:t xml:space="preserve">. Without any change in current U.S. federal tax law, we can make the same type of deposit described above and be released 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 </w:t>
      </w:r>
    </w:p>
    <w:p>
      <w:pPr>
        <w:pStyle w:val="TextBody"/>
        <w:bidi w:val="0"/>
        <w:spacing w:before="240" w:after="0"/>
        <w:jc w:val="left"/>
        <w:rPr>
          <w:rFonts w:ascii="Times New Roman" w:hAnsi="Times New Roman"/>
          <w:sz w:val="20"/>
        </w:rPr>
      </w:pPr>
      <w:r>
        <w:rPr>
          <w:rFonts w:ascii="Times New Roman" w:hAnsi="Times New Roman"/>
          <w:i/>
          <w:sz w:val="20"/>
        </w:rPr>
        <w:t xml:space="preserve">Modification and Waiver. </w:t>
      </w:r>
      <w:r>
        <w:rPr>
          <w:rFonts w:ascii="Times New Roman" w:hAnsi="Times New Roman"/>
          <w:sz w:val="20"/>
        </w:rPr>
        <w:t xml:space="preserve">We and the trustee may amend or supplement the senior indenture or the senior debt securities of any series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convey, transfer, assign, mortgage or pledge any assets as security for the senior debt securities of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requirements of the SEC in order to effect or maintain the qualification of the senior indenture under the Trust Indenture Act of 1939, as amended, or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or add guarantors with respect to the senior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forms or terms of the senior debt securities as permitted by the senior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the senior indenture by a successor trustee, or to make such changes as shall be necessary to provide for or facilitate the administration of the trusts in the senior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to the senior debt securities of any series so long as no senior debt securities of such series are outstanding;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extends the final maturity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principal amount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rate, or extends the time for payment of, interest on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amount payable upon the redemption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the currency of payment of principal of or interest on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principal amount of original issue discount securities payable upon acceleration of maturity or the amount provable in bankruptcy;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waives a continuing default in the payment of principal of or interest on the senior debt securities (other than any such default in payment resulting solely from an acceleration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the provisions relating to the waiver of past defaults or impairs the right of holders to receive payment or to institute suit for the enforcement of any payment or conversion of any senior debt securities of such series on or after the due date therefor;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affects the right to convert or exchange senior debt securities into common stock, other securities or property in accordance with the terms of the senior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above-stated percentage of outstanding senior debt securities of such series whose holders must consent to a supplemental indenture or modifies or amends or waives certain provisions of or defaults under the senior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 </w:t>
      </w:r>
    </w:p>
    <w:p>
      <w:pPr>
        <w:pStyle w:val="TextBody"/>
        <w:bidi w:val="0"/>
        <w:spacing w:before="240" w:after="0"/>
        <w:jc w:val="left"/>
        <w:rPr>
          <w:rFonts w:ascii="Times New Roman" w:hAnsi="Times New Roman"/>
          <w:sz w:val="20"/>
        </w:rPr>
      </w:pPr>
      <w:r>
        <w:rPr>
          <w:rFonts w:ascii="Times New Roman" w:hAnsi="Times New Roman"/>
          <w:i/>
          <w:sz w:val="20"/>
        </w:rPr>
        <w:t>Notice of Redemption.</w:t>
      </w:r>
      <w:r>
        <w:rPr>
          <w:rFonts w:ascii="Times New Roman" w:hAnsi="Times New Roman"/>
          <w:sz w:val="20"/>
        </w:rPr>
        <w:t xml:space="preserve"> Notice of any redemption of senior debt securities will be mailed at least 10 days but not more than 60 days before the 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 </w:t>
      </w:r>
    </w:p>
    <w:p>
      <w:pPr>
        <w:pStyle w:val="TextBody"/>
        <w:bidi w:val="0"/>
        <w:spacing w:before="240" w:after="0"/>
        <w:jc w:val="left"/>
        <w:rPr>
          <w:rFonts w:ascii="Times New Roman" w:hAnsi="Times New Roman"/>
          <w:sz w:val="20"/>
        </w:rPr>
      </w:pPr>
      <w:r>
        <w:rPr>
          <w:rFonts w:ascii="Times New Roman" w:hAnsi="Times New Roman"/>
          <w:i/>
          <w:sz w:val="20"/>
        </w:rPr>
        <w:t>Conversion Rights.</w:t>
      </w:r>
      <w:r>
        <w:rPr>
          <w:rFonts w:ascii="Times New Roman" w:hAnsi="Times New Roman"/>
          <w:sz w:val="20"/>
        </w:rPr>
        <w:t xml:space="preserve"> We will describe the terms upon which senior debt securities may be convertible into our common stock or other securities in a 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 </w:t>
      </w:r>
    </w:p>
    <w:p>
      <w:pPr>
        <w:pStyle w:val="TextBody"/>
        <w:bidi w:val="0"/>
        <w:spacing w:before="240" w:after="0"/>
        <w:jc w:val="left"/>
        <w:rPr>
          <w:rFonts w:ascii="Times New Roman" w:hAnsi="Times New Roman"/>
          <w:sz w:val="20"/>
        </w:rPr>
      </w:pPr>
      <w:r>
        <w:rPr>
          <w:rFonts w:ascii="Times New Roman" w:hAnsi="Times New Roman"/>
          <w:i/>
          <w:sz w:val="20"/>
        </w:rPr>
        <w:t xml:space="preserve">No Personal Liability of Incorporators, Stockholders, Officers or Directors. </w:t>
      </w:r>
      <w:r>
        <w:rPr>
          <w:rFonts w:ascii="Times New Roman" w:hAnsi="Times New Roman"/>
          <w:sz w:val="20"/>
        </w:rPr>
        <w:t xml:space="preserve">The senior indenture provides that no recourse shall be had under any 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 </w:t>
      </w:r>
    </w:p>
    <w:p>
      <w:pPr>
        <w:pStyle w:val="TextBody"/>
        <w:bidi w:val="0"/>
        <w:spacing w:before="240" w:after="0"/>
        <w:jc w:val="left"/>
        <w:rPr>
          <w:rFonts w:ascii="Times New Roman" w:hAnsi="Times New Roman"/>
          <w:sz w:val="20"/>
        </w:rPr>
      </w:pPr>
      <w:r>
        <w:rPr>
          <w:rFonts w:ascii="Times New Roman" w:hAnsi="Times New Roman"/>
          <w:i/>
          <w:sz w:val="20"/>
        </w:rPr>
        <w:t xml:space="preserve">Concerning the Trustee. </w:t>
      </w:r>
      <w:r>
        <w:rPr>
          <w:rFonts w:ascii="Times New Roman" w:hAnsi="Times New Roman"/>
          <w:sz w:val="20"/>
        </w:rPr>
        <w:t xml:space="preserve">The senior indenture provides that, except during the continuance of an event of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senior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 </w:t>
      </w:r>
    </w:p>
    <w:p>
      <w:pPr>
        <w:pStyle w:val="TextBody"/>
        <w:bidi w:val="0"/>
        <w:spacing w:before="240" w:after="0"/>
        <w:jc w:val="left"/>
        <w:rPr>
          <w:rFonts w:ascii="Times New Roman" w:hAnsi="Times New Roman"/>
          <w:sz w:val="20"/>
        </w:rPr>
      </w:pPr>
      <w:r>
        <w:rPr>
          <w:rFonts w:ascii="Times New Roman" w:hAnsi="Times New Roman"/>
          <w:sz w:val="20"/>
        </w:rPr>
        <w:t xml:space="preserve">We may have normal banking relationships with the senior trustee in the ordinary course of business. </w:t>
      </w:r>
    </w:p>
    <w:p>
      <w:pPr>
        <w:pStyle w:val="TextBody"/>
        <w:bidi w:val="0"/>
        <w:spacing w:before="240" w:after="0"/>
        <w:jc w:val="left"/>
        <w:rPr>
          <w:rFonts w:ascii="Times New Roman" w:hAnsi="Times New Roman"/>
          <w:sz w:val="20"/>
        </w:rPr>
      </w:pPr>
      <w:r>
        <w:rPr>
          <w:rFonts w:ascii="Times New Roman" w:hAnsi="Times New Roman"/>
          <w:i/>
          <w:sz w:val="20"/>
        </w:rPr>
        <w:t xml:space="preserve">Unclaimed Funds. </w:t>
      </w:r>
      <w:r>
        <w:rPr>
          <w:rFonts w:ascii="Times New Roman" w:hAnsi="Times New Roman"/>
          <w:sz w:val="20"/>
        </w:rPr>
        <w:t xml:space="preserve">All funds deposited with the trustee or any paying agent for the payment of principal, premium, interest or additional amounts 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 </w:t>
      </w:r>
    </w:p>
    <w:p>
      <w:pPr>
        <w:pStyle w:val="TextBody"/>
        <w:bidi w:val="0"/>
        <w:spacing w:before="240" w:after="0"/>
        <w:jc w:val="left"/>
        <w:rPr>
          <w:rFonts w:ascii="Times New Roman" w:hAnsi="Times New Roman"/>
          <w:sz w:val="20"/>
        </w:rPr>
      </w:pPr>
      <w:r>
        <w:rPr>
          <w:rFonts w:ascii="Times New Roman" w:hAnsi="Times New Roman"/>
          <w:i/>
          <w:sz w:val="20"/>
        </w:rPr>
        <w:t xml:space="preserve">Governing Law. </w:t>
      </w:r>
      <w:r>
        <w:rPr>
          <w:rFonts w:ascii="Times New Roman" w:hAnsi="Times New Roman"/>
          <w:sz w:val="20"/>
        </w:rPr>
        <w:t xml:space="preserve">The senior indenture and the senior debt securities will be governed by, and construed in accordance with, the internal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 or different subordination terms may be specified in the prospectus supplement applicable to a particular series. </w:t>
      </w:r>
    </w:p>
    <w:p>
      <w:pPr>
        <w:pStyle w:val="TextBody"/>
        <w:bidi w:val="0"/>
        <w:spacing w:before="240" w:after="0"/>
        <w:jc w:val="left"/>
        <w:rPr>
          <w:rFonts w:ascii="Times New Roman" w:hAnsi="Times New Roman"/>
          <w:sz w:val="20"/>
        </w:rPr>
      </w:pPr>
      <w:r>
        <w:rPr>
          <w:rFonts w:ascii="Times New Roman" w:hAnsi="Times New Roman"/>
          <w:i/>
          <w:sz w:val="20"/>
        </w:rPr>
        <w:t xml:space="preserve">Subordination. </w:t>
      </w:r>
      <w:r>
        <w:rPr>
          <w:rFonts w:ascii="Times New Roman" w:hAnsi="Times New Roman"/>
          <w:sz w:val="20"/>
        </w:rPr>
        <w:t xml:space="preserve">The indebtedness evidenced by the subordinated debt securities is subordinate to the prior payment in full of all 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indebtedness of that person for money borrowed;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indebtedness of that person evidenced by notes, debentures, bonds or other securities sold by that person for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lease obligations that are capitalized on the books of that person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renewals, extensions or refundings of indebtedness of the kinds described in the first, second or fourth bullet point above and all renewals or extensions of leases of the kinds described in the third or fourth bullet point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274438_9"/>
      <w:bookmarkEnd w:id="11"/>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is intended as a summary only and therefore is not a complete description of our capital stock. This description is based upon, and is qualified by reference to, our certificate of incorporation, which we refer to as our charter, our bylaws and applicable provisions of Delaware corporate law. You should read our charter and bylaws, which are filed as exhibits to the registration statement of which this prospectus forms a part, for the provisions that are important to you. </w:t>
      </w:r>
    </w:p>
    <w:p>
      <w:pPr>
        <w:pStyle w:val="TextBody"/>
        <w:bidi w:val="0"/>
        <w:spacing w:before="240" w:after="0"/>
        <w:jc w:val="left"/>
        <w:rPr>
          <w:rFonts w:ascii="Times New Roman" w:hAnsi="Times New Roman"/>
          <w:sz w:val="20"/>
        </w:rPr>
      </w:pPr>
      <w:r>
        <w:rPr>
          <w:rFonts w:ascii="Times New Roman" w:hAnsi="Times New Roman"/>
          <w:sz w:val="20"/>
        </w:rPr>
        <w:t xml:space="preserve">Our charter authorizes 480,000,000 shares of common stock, $0.001 par value per share, and 10,000,000 shares of preferred stock, $0.001 par value per share, all of which preferred stock is undesignated.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 xml:space="preserve">Voting Rights. </w:t>
      </w:r>
      <w:r>
        <w:rPr>
          <w:rFonts w:ascii="Times New Roman" w:hAnsi="Times New Roman"/>
          <w:sz w:val="20"/>
        </w:rPr>
        <w:t xml:space="preserve">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w:t>
      </w:r>
    </w:p>
    <w:p>
      <w:pPr>
        <w:pStyle w:val="TextBody"/>
        <w:bidi w:val="0"/>
        <w:spacing w:before="240" w:after="0"/>
        <w:jc w:val="left"/>
        <w:rPr>
          <w:rFonts w:ascii="Times New Roman" w:hAnsi="Times New Roman"/>
          <w:sz w:val="20"/>
        </w:rPr>
      </w:pPr>
      <w:r>
        <w:rPr>
          <w:rFonts w:ascii="Times New Roman" w:hAnsi="Times New Roman"/>
          <w:i/>
          <w:sz w:val="20"/>
        </w:rPr>
        <w:t xml:space="preserve">Dividends. </w:t>
      </w:r>
      <w:r>
        <w:rPr>
          <w:rFonts w:ascii="Times New Roman" w:hAnsi="Times New Roman"/>
          <w:sz w:val="20"/>
        </w:rPr>
        <w:t xml:space="preserve">Subject to preferences that may be applicable to any then-outstanding preferred stock, holders of our common stock are entitled to receive dividends, if any, as may be declared from time to time by our board of directors out of legally available funds. </w:t>
      </w:r>
    </w:p>
    <w:p>
      <w:pPr>
        <w:pStyle w:val="TextBody"/>
        <w:bidi w:val="0"/>
        <w:spacing w:before="240" w:after="0"/>
        <w:jc w:val="left"/>
        <w:rPr>
          <w:rFonts w:ascii="Times New Roman" w:hAnsi="Times New Roman"/>
          <w:sz w:val="20"/>
        </w:rPr>
      </w:pPr>
      <w:r>
        <w:rPr>
          <w:rFonts w:ascii="Times New Roman" w:hAnsi="Times New Roman"/>
          <w:i/>
          <w:sz w:val="20"/>
        </w:rPr>
        <w:t xml:space="preserve">Liquidation. </w:t>
      </w:r>
      <w:r>
        <w:rPr>
          <w:rFonts w:ascii="Times New Roman" w:hAnsi="Times New Roman"/>
          <w:sz w:val="20"/>
        </w:rPr>
        <w:t xml:space="preserve">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w:t>
      </w:r>
    </w:p>
    <w:p>
      <w:pPr>
        <w:pStyle w:val="TextBody"/>
        <w:bidi w:val="0"/>
        <w:spacing w:before="240" w:after="0"/>
        <w:jc w:val="left"/>
        <w:rPr>
          <w:rFonts w:ascii="Times New Roman" w:hAnsi="Times New Roman"/>
          <w:sz w:val="20"/>
        </w:rPr>
      </w:pPr>
      <w:r>
        <w:rPr>
          <w:rFonts w:ascii="Times New Roman" w:hAnsi="Times New Roman"/>
          <w:i/>
          <w:sz w:val="20"/>
        </w:rPr>
        <w:t xml:space="preserve">Other Rights. </w:t>
      </w:r>
      <w:r>
        <w:rPr>
          <w:rFonts w:ascii="Times New Roman" w:hAnsi="Times New Roman"/>
          <w:sz w:val="20"/>
        </w:rPr>
        <w:t xml:space="preserve">Holders of our common stock have no preemptive, conversion, subscription or other similar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 </w:t>
      </w:r>
    </w:p>
    <w:p>
      <w:pPr>
        <w:pStyle w:val="TextBody"/>
        <w:bidi w:val="0"/>
        <w:spacing w:before="240" w:after="0"/>
        <w:jc w:val="left"/>
        <w:rPr>
          <w:rFonts w:ascii="Times New Roman" w:hAnsi="Times New Roman"/>
          <w:sz w:val="20"/>
        </w:rPr>
      </w:pPr>
      <w:r>
        <w:rPr>
          <w:rFonts w:ascii="Times New Roman" w:hAnsi="Times New Roman"/>
          <w:i/>
          <w:sz w:val="20"/>
        </w:rPr>
        <w:t xml:space="preserve">Transfer Agent and Registrar. </w:t>
      </w:r>
      <w:r>
        <w:rPr>
          <w:rFonts w:ascii="Times New Roman" w:hAnsi="Times New Roman"/>
          <w:sz w:val="20"/>
        </w:rPr>
        <w:t xml:space="preserve">The transfer agent and registrar for the shares of our common stock is Computershare Trust Company, N.A.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stated value per share of the preferred stock and the number of shares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preferred stock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or method of calculation of dividends, the dates on which dividends will be payable, whether dividends will be cumulative or noncumulative and, if cumulative, the dates from which dividends will commence to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currency of the United States, the currency or currencies including composite currencies in which the preferred stock is denominated and/or in which payments will or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have elected to offer depositary shares as described under “Description of Depositary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rights, preferences, privileges, limitations and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 </w:t>
      </w:r>
    </w:p>
    <w:p>
      <w:pPr>
        <w:pStyle w:val="TextBody"/>
        <w:bidi w:val="0"/>
        <w:spacing w:before="240" w:after="0"/>
        <w:jc w:val="left"/>
        <w:rPr>
          <w:rFonts w:ascii="Times New Roman" w:hAnsi="Times New Roman"/>
          <w:sz w:val="20"/>
        </w:rPr>
      </w:pPr>
      <w:r>
        <w:rPr>
          <w:rFonts w:ascii="Times New Roman" w:hAnsi="Times New Roman"/>
          <w:sz w:val="20"/>
        </w:rPr>
        <w:t xml:space="preserve">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 </w:t>
      </w:r>
    </w:p>
    <w:p>
      <w:pPr>
        <w:pStyle w:val="TextBody"/>
        <w:bidi w:val="0"/>
        <w:spacing w:before="240" w:after="0"/>
        <w:jc w:val="left"/>
        <w:rPr>
          <w:rFonts w:ascii="Times New Roman" w:hAnsi="Times New Roman"/>
          <w:sz w:val="20"/>
        </w:rPr>
      </w:pPr>
      <w:r>
        <w:rPr>
          <w:rFonts w:ascii="Times New Roman" w:hAnsi="Times New Roman"/>
          <w:i/>
          <w:sz w:val="20"/>
        </w:rPr>
        <w:t>Rank</w:t>
      </w:r>
      <w:r>
        <w:rPr>
          <w:rFonts w:ascii="Times New Roman" w:hAnsi="Times New Roman"/>
          <w:sz w:val="20"/>
        </w:rPr>
        <w:t xml:space="preserve">. Unless otherwise specified in the prospectus supplement, the preferred stock will, with respect to dividend rights and rights upon our liquidation, dissolution or winding up of our affairs,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our common stock and to all equity securities ranking junior to such preferred stock with respect to dividend rights or rights upon our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equity securities issued by us, the terms of which specifically provide that such equity securities rank on a parity with the preferred stock with respect to dividend rights or rights upon our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equity securities issued by us, the terms of which specifically provide that such equity securities rank senior to the preferred stock with respect to dividend rights or rights upon our liquidation, dissolution or winding up of our affairs.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Holders of the preferred stock of each series will be entitled to receive, when, as and if declared by our board of directors, cash dividends at such rates and on such dates described in the prospectus supplement. Different series of preferred stock may be entitled to dividends at different rates or based on different methods of calculation.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dividend rate may be fixed or variable or both. Dividends will be payable to the holders of record as they appear on our stock books on record dates fixed by our board of directors, as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 </w:t>
      </w:r>
    </w:p>
    <w:p>
      <w:pPr>
        <w:pStyle w:val="TextBody"/>
        <w:bidi w:val="0"/>
        <w:spacing w:before="240" w:after="0"/>
        <w:jc w:val="left"/>
        <w:rPr>
          <w:rFonts w:ascii="Times New Roman" w:hAnsi="Times New Roman"/>
          <w:sz w:val="20"/>
        </w:rPr>
      </w:pPr>
      <w:r>
        <w:rPr>
          <w:rFonts w:ascii="Times New Roman" w:hAnsi="Times New Roman"/>
          <w:sz w:val="20"/>
        </w:rPr>
        <w:t xml:space="preserve">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 </w:t>
      </w:r>
    </w:p>
    <w:p>
      <w:pPr>
        <w:pStyle w:val="TextBody"/>
        <w:bidi w:val="0"/>
        <w:spacing w:before="240" w:after="0"/>
        <w:jc w:val="left"/>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 Upon any voluntary or involuntary liquidation, dissolution or winding up of our affairs, 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 </w:t>
      </w:r>
    </w:p>
    <w:p>
      <w:pPr>
        <w:pStyle w:val="TextBody"/>
        <w:bidi w:val="0"/>
        <w:spacing w:before="240" w:after="0"/>
        <w:jc w:val="left"/>
        <w:rPr>
          <w:rFonts w:ascii="Times New Roman" w:hAnsi="Times New Roman"/>
          <w:sz w:val="20"/>
        </w:rPr>
      </w:pPr>
      <w:r>
        <w:rPr>
          <w:rFonts w:ascii="Times New Roman" w:hAnsi="Times New Roman"/>
          <w:sz w:val="20"/>
        </w:rPr>
        <w:t xml:space="preserve">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 </w:t>
      </w:r>
    </w:p>
    <w:p>
      <w:pPr>
        <w:pStyle w:val="TextBody"/>
        <w:bidi w:val="0"/>
        <w:spacing w:before="240" w:after="0"/>
        <w:jc w:val="left"/>
        <w:rPr>
          <w:rFonts w:ascii="Times New Roman" w:hAnsi="Times New Roman"/>
          <w:sz w:val="20"/>
        </w:rPr>
      </w:pPr>
      <w:r>
        <w:rPr>
          <w:rFonts w:ascii="Times New Roman" w:hAnsi="Times New Roman"/>
          <w:i/>
          <w:sz w:val="20"/>
        </w:rPr>
        <w:t>Redemption</w:t>
      </w:r>
      <w:r>
        <w:rPr>
          <w:rFonts w:ascii="Times New Roman" w:hAnsi="Times New Roman"/>
          <w:sz w:val="20"/>
        </w:rPr>
        <w:t xml:space="preserve">. If so provided in the applicable prospectus supplement, the preferred stock will be subject to mandatory redemption or redemption at our option, as a whole or in part, in each case upon the terms, at the times and at the redemption prices set forth in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has a cumulative dividend, we have declared and paid or contemporaneously declare and pay or set aside funds to pay full cumulative dividends on the preferred stock for all past dividend periods and the then current dividend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series of preferred stock does not have a cumulative dividend, we have declared and paid or contemporaneously declare and pay or set aside funds to pay full dividends for the then current dividend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acquire any preferred stock of a series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does not have a cumulative dividend, we have declared and paid or contemporaneously declare and pay or set aside funds to pay full dividends on the preferred stock of such series for the then current dividend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 </w:t>
      </w:r>
    </w:p>
    <w:p>
      <w:pPr>
        <w:pStyle w:val="TextBody"/>
        <w:bidi w:val="0"/>
        <w:spacing w:before="240" w:after="0"/>
        <w:jc w:val="left"/>
        <w:rPr>
          <w:rFonts w:ascii="Times New Roman" w:hAnsi="Times New Roman"/>
          <w:sz w:val="20"/>
        </w:rPr>
      </w:pPr>
      <w:r>
        <w:rPr>
          <w:rFonts w:ascii="Times New Roman" w:hAnsi="Times New Roman"/>
          <w:sz w:val="20"/>
        </w:rPr>
        <w:t xml:space="preserve">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we will mail notice of redemption at least 10 days but not more than 60 days before the redemption date to each holder of record of preferred stock to be redeemed at the address shown on our stock transfer books. Each notice shall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and series of preferred stock to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certificates for such preferred stock are to be surrendered for payment of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dividends on the shares to be redeemed will cease to accrue on such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holder’s conversion rights, if any, as to such shares shall terminate;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number of shares to be redeemed from each such holder if fewer than all the shares of any series are to be redeemed.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preferred stock will not have any voting rights, except as required by law or as indicated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 </w:t>
      </w:r>
    </w:p>
    <w:p>
      <w:pPr>
        <w:pStyle w:val="TextBody"/>
        <w:bidi w:val="0"/>
        <w:spacing w:before="240" w:after="0"/>
        <w:jc w:val="left"/>
        <w:rPr>
          <w:rFonts w:ascii="Times New Roman" w:hAnsi="Times New Roman"/>
          <w:sz w:val="20"/>
        </w:rPr>
      </w:pPr>
      <w:r>
        <w:rPr>
          <w:rFonts w:ascii="Times New Roman" w:hAnsi="Times New Roman"/>
          <w:i/>
          <w:sz w:val="20"/>
        </w:rPr>
        <w:t>Conversion Rights</w:t>
      </w:r>
      <w:r>
        <w:rPr>
          <w:rFonts w:ascii="Times New Roman" w:hAnsi="Times New Roman"/>
          <w:sz w:val="20"/>
        </w:rPr>
        <w:t xml:space="preserve">. The terms and conditions, if any, upon which any series of preferred stock is convertible into shares of 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 </w:t>
      </w:r>
    </w:p>
    <w:p>
      <w:pPr>
        <w:pStyle w:val="TextBody"/>
        <w:bidi w:val="0"/>
        <w:spacing w:before="240" w:after="0"/>
        <w:jc w:val="left"/>
        <w:rPr>
          <w:rFonts w:ascii="Times New Roman" w:hAnsi="Times New Roman"/>
          <w:sz w:val="20"/>
        </w:rPr>
      </w:pPr>
      <w:r>
        <w:rPr>
          <w:rFonts w:ascii="Times New Roman" w:hAnsi="Times New Roman"/>
          <w:i/>
          <w:sz w:val="20"/>
        </w:rPr>
        <w:t>Transfer Agent and Registrar</w:t>
      </w:r>
      <w:r>
        <w:rPr>
          <w:rFonts w:ascii="Times New Roman" w:hAnsi="Times New Roman"/>
          <w:sz w:val="20"/>
        </w:rPr>
        <w:t xml:space="preserve">. The transfer agent and registrar for the preferred stock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i/>
          <w:sz w:val="20"/>
        </w:rPr>
      </w:pPr>
      <w:r>
        <w:rPr>
          <w:rFonts w:ascii="Times New Roman" w:hAnsi="Times New Roman"/>
          <w:i/>
          <w:sz w:val="20"/>
        </w:rPr>
        <w:t xml:space="preserve">Amended and Restated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the Amended and Restated Registration Rights Agreement, dated March 29, 2017, or the Registration Rights Agreement, with certain of our stockholders, or the Investors, pursuant to which holders of a substantial number of shares of our common stock have the right to require us to register these shares under the Securities Act. The Registration Rights Agreement provides for demand and piggyback registration rights for the Investors. All expenses of registration (other than underwriting discounts and commissions) under the Registration Rights Agreement will be borne by us. </w:t>
      </w:r>
    </w:p>
    <w:p>
      <w:pPr>
        <w:pStyle w:val="TextBody"/>
        <w:bidi w:val="0"/>
        <w:spacing w:before="240" w:after="0"/>
        <w:jc w:val="left"/>
        <w:rPr>
          <w:rFonts w:ascii="Times New Roman" w:hAnsi="Times New Roman"/>
          <w:sz w:val="20"/>
        </w:rPr>
      </w:pPr>
      <w:r>
        <w:rPr>
          <w:rFonts w:ascii="Times New Roman" w:hAnsi="Times New Roman"/>
          <w:b/>
          <w:i/>
          <w:sz w:val="20"/>
        </w:rPr>
        <w:t>Demand Registration Rights.</w:t>
      </w:r>
      <w:r>
        <w:rPr>
          <w:rFonts w:ascii="Times New Roman" w:hAnsi="Times New Roman"/>
          <w:sz w:val="20"/>
        </w:rPr>
        <w:t xml:space="preserve"> The Investors are entitled to demand registration rights. Under the terms of the Registration Rights Agreement, we are required, upon the written request of Investors holding at least 20% of the securities eligible for registration then outstanding, to file a registration statement and use our best efforts to effect as soon as practicable the registration of such shares. We are required to effect up to two such demand registrations pursuant to the Registration Rights Agreement. In addition, so long as we are eligible to register the sale of securities on Form S-3 or any similar “short-form” registration statement under the Securities Act, the Investors have the right to demand unlimited registrations under the Registration Rights Agreement (but not to exceed two registrations on Form S-3 in any calendar year) provided that the securities for sale on Form S-3 have an aggregate price to the public of not less than $2.0 million. </w:t>
      </w:r>
    </w:p>
    <w:p>
      <w:pPr>
        <w:pStyle w:val="TextBody"/>
        <w:bidi w:val="0"/>
        <w:spacing w:before="240" w:after="0"/>
        <w:jc w:val="left"/>
        <w:rPr>
          <w:rFonts w:ascii="Times New Roman" w:hAnsi="Times New Roman"/>
          <w:sz w:val="20"/>
        </w:rPr>
      </w:pPr>
      <w:r>
        <w:rPr>
          <w:rFonts w:ascii="Times New Roman" w:hAnsi="Times New Roman"/>
          <w:b/>
          <w:i/>
          <w:sz w:val="20"/>
        </w:rPr>
        <w:t>Piggyback Registration Rights.</w:t>
      </w:r>
      <w:r>
        <w:rPr>
          <w:rFonts w:ascii="Times New Roman" w:hAnsi="Times New Roman"/>
          <w:sz w:val="20"/>
        </w:rPr>
        <w:t xml:space="preserve"> If we register any of our equity securities either for our own account or for the account of other security holders (other than certain registrations on Form S-8 or Form S-4), the Investors are entitled to piggyback registration rights and may include their shares in the registration. The Investors waived these piggyback registration rights in connection with the filing of this registration statement. The underwriters may advise us to limit the number of shares included in any underwritten offering to the number of shares which we and the underwriters determine in our sole discretion will not jeopardize the success of the offering. If this occurs, the aggregate number of securities held by the Investors that may be included in the underwriting shall be allocated among all requesting Investors in proportion to the amount of securities sought to be sold by each Investor.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Fees; Indemnification.</w:t>
      </w:r>
      <w:r>
        <w:rPr>
          <w:rFonts w:ascii="Times New Roman" w:hAnsi="Times New Roman"/>
          <w:sz w:val="20"/>
        </w:rPr>
        <w:t xml:space="preserve"> Under the Registration Rights Agreement, we will be responsible, subject to certain exceptions, for the expenses of any registration of securities pursuant to the agreement, other than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contains customary cross-indemnification provisions, under which we are obligated to indemnify the Investors in the event of material misstatements or omissions in the registration statement or any violation of the Securities Act, Exchange Act, state securities law or any rule or regulation promulgated thereunder attributable to us, and they are obligated to indemnify us, severally and not jointly, for material misstatements, omissions or any violation of the Securities Act, Exchange Act, state securities law or any rule or regulation promulgated thereunder attributable to them. </w:t>
      </w:r>
    </w:p>
    <w:p>
      <w:pPr>
        <w:pStyle w:val="TextBody"/>
        <w:bidi w:val="0"/>
        <w:spacing w:before="240" w:after="0"/>
        <w:jc w:val="left"/>
        <w:rPr>
          <w:rFonts w:ascii="Times New Roman" w:hAnsi="Times New Roman"/>
          <w:sz w:val="20"/>
        </w:rPr>
      </w:pPr>
      <w:r>
        <w:rPr>
          <w:rFonts w:ascii="Times New Roman" w:hAnsi="Times New Roman"/>
          <w:b/>
          <w:i/>
          <w:sz w:val="20"/>
        </w:rPr>
        <w:t>Termination of Registration Rights</w:t>
      </w:r>
      <w:r>
        <w:rPr>
          <w:rFonts w:ascii="Times New Roman" w:hAnsi="Times New Roman"/>
          <w:i/>
          <w:sz w:val="20"/>
        </w:rPr>
        <w:t xml:space="preserve">. </w:t>
      </w:r>
      <w:r>
        <w:rPr>
          <w:rFonts w:ascii="Times New Roman" w:hAnsi="Times New Roman"/>
          <w:sz w:val="20"/>
        </w:rPr>
        <w:t xml:space="preserve">The demand registration rights and the piggyback registration rights granted under the Registration Rights Agreement will terminate, with respect to each Investor, as of the date when all registrable securities held by and issued to such Investor may be sold under Rule 144 under the Securities Act during any 90 day period, provided such Investor owns less than 1% of our outstanding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Investor Agreement </w:t>
      </w:r>
    </w:p>
    <w:p>
      <w:pPr>
        <w:pStyle w:val="TextBody"/>
        <w:bidi w:val="0"/>
        <w:spacing w:before="120" w:after="0"/>
        <w:jc w:val="left"/>
        <w:rPr>
          <w:rFonts w:ascii="Times New Roman" w:hAnsi="Times New Roman"/>
          <w:sz w:val="20"/>
        </w:rPr>
      </w:pPr>
      <w:r>
        <w:rPr>
          <w:rFonts w:ascii="Times New Roman" w:hAnsi="Times New Roman"/>
          <w:sz w:val="20"/>
        </w:rPr>
        <w:t xml:space="preserve">In October 2020, in connection with the execution of our collaboration and license agreement with Ultragenyx, we issued and sold 521,719 shares of our common stock to Ultragenyx. We are party to an Investor Agreement with Ultragenyx, dated October 22, 2020, pursuant to which we have agreed to file a registration statement registering all or a portion of the Ultragenyx shares upon receipt of a request from Ultragenyx within the ten year-period following Ultragenyx’s acquisition of the shares. In addition to other exceptions, we will not be required to effect more than two such demand registrations for Ultragenyx in the aggregate and we are not required to effect more than one such demand registration in any 12-month period. Ultragenyx is also entitled to certain “piggyback” registration rights such that for the ten year period following Ultragenyx’s acquisition of shares, subject to specified conditions and so long as Ultragenyx holds at least 1% of our outstanding common stock, whenever we propose to file a registration statement that includes shares of common stock by one or more selling stockholders (other than Ultragenyx), Ultragenyx will have the right to include some or all of its shares in such registration. The Investor Agreement also contains other customary terms and conditions of the parties with respect to the registration of the Ultragenyx shares.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Provisions of Our Certificate of Incorporation and Bylaws and Delaware Law That May Have Anti-Takeover Effects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the Delaware General Corporation Law, or the DGCL, our charter and our bylaws contain provisions that could have the effect of delaying, deterring or preventing another party from acquiring or seeking to acquire control of us through the use of the following: acquisition of us by means of a tender offer; acquisition of us by means of a proxy contest or otherwise; or removal of our incumbent officers and directors. These provisions may delay, deter or prevent a change in control or other takeover of us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are intended to discourage certain types of coercive takeover practices and inadequate takeover bids and to encourage anyone seeking to acquire control of us to negotiate first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Board of Directors Vacancies:</w:t>
            </w:r>
            <w:r>
              <w:rPr>
                <w:rFonts w:ascii="Times New Roman" w:hAnsi="Times New Roman"/>
                <w:sz w:val="20"/>
              </w:rPr>
              <w:t xml:space="preserve"> Our charter and bylaws authorize only our board of directors to fill vacant directorships, including newly created seats. In addition, the number of directors constituting our board of directors may only be set by a resolution adopted by a majority vote of our entire board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Classified Board:</w:t>
            </w:r>
            <w:r>
              <w:rPr>
                <w:rFonts w:ascii="Times New Roman" w:hAnsi="Times New Roman"/>
                <w:sz w:val="20"/>
              </w:rPr>
              <w:t xml:space="preserve"> Our charter and bylaws provide that our board of directors will be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Stockholder Action; Special Meetings of Stockholders:</w:t>
            </w:r>
            <w:r>
              <w:rPr>
                <w:rFonts w:ascii="Times New Roman" w:hAnsi="Times New Roman"/>
                <w:sz w:val="20"/>
              </w:rPr>
              <w:t xml:space="preserve"> Our charter provides that our stockholders may not take action by written consent, but may only take action at annual or special meetings of our stockholders. As a result, a holder controlling a majority of our capital stock would not be able to amend our bylaws or remove directors without holding a meeting of our stockholders called in accordance with our bylaws. Further, our bylaws and charter will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Advance Notice Requirements for Stockholder Proposals and Director Nominations:</w:t>
            </w:r>
            <w:r>
              <w:rPr>
                <w:rFonts w:ascii="Times New Roman" w:hAnsi="Times New Roman"/>
                <w:sz w:val="20"/>
              </w:rPr>
              <w:t xml:space="preserve"> Our bylaws provide advance notice procedures for stockholders seeking to bring matters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Supermajority Voting:</w:t>
            </w:r>
            <w:r>
              <w:rPr>
                <w:rFonts w:ascii="Times New Roman" w:hAnsi="Times New Roman"/>
                <w:sz w:val="20"/>
              </w:rPr>
              <w:t xml:space="preserve"> 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two-thirds of the votes that all our stockholders would be entitled to cast in an annual election of directors. In addition, the affirmative vote of the holders of at least two-thirds of the votes that all our stockholders would be entitled to cast in an election of directors is required to amend or repeal or to adopt certain provisions of our charter.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the right to cumulate votes in the election of directors unless a corporation’s certificate of incorporation provides otherwise. Our charter does not provide for cumulative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Removal of Directors Only for Cause:</w:t>
            </w:r>
            <w:r>
              <w:rPr>
                <w:rFonts w:ascii="Times New Roman" w:hAnsi="Times New Roman"/>
                <w:sz w:val="20"/>
              </w:rPr>
              <w:t xml:space="preserve"> Our charter provides that stockholders may remove directors only for cause and only by the affirmative vote of the holders of at least two-thirds of our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Exclusive Forum:</w:t>
            </w:r>
            <w:r>
              <w:rPr>
                <w:rFonts w:ascii="Times New Roman" w:hAnsi="Times New Roman"/>
                <w:sz w:val="20"/>
              </w:rPr>
              <w:t xml:space="preserve"> Our charter provides that the Court of Chancery of the State of Delaware will be the exclusive forum for: any derivative action or proceeding brought on our behalf; any action asserting a breach of fiduciary duty; any action asserting a claim against us arising pursuant to the DGCL, our charter or our bylaws; any action to interpret, apply, enforce or determine the validity of our charter or our bylaws; or any action asserting a claim against us that is governed by the internal affairs doctrine. We do not intend to have this choice of forum provision apply to, and this choice of forum provision will not apply to, actions arising under the Securities Act or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Delaware Business Combination Statute.</w:t>
            </w:r>
            <w:r>
              <w:rPr>
                <w:rFonts w:ascii="Times New Roman" w:hAnsi="Times New Roman"/>
                <w:sz w:val="20"/>
              </w:rPr>
              <w:t xml:space="preserve"> We are subject to Section 203 of the DGCL, or Section 203, which prohibits a Delaware 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or the interested stockholder. Section 203 provides that an interested stockholder may not engage in business combinations with the corporation for a period of three years after the date that such stockholder became an interested stockholder, with the following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such date, the board of directors of the corporation approved either the business combination or the transaction that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business combinations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transfer, pledge or other disposition of 10% or more of the aggregate market value of the assets of the corporation to or with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that has the effect of increasing the proportionate share of the stock or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by or through the 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274438_10"/>
      <w:bookmarkEnd w:id="12"/>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Stock </w:t>
      </w:r>
    </w:p>
    <w:p>
      <w:pPr>
        <w:pStyle w:val="TextBody"/>
        <w:bidi w:val="0"/>
        <w:spacing w:before="120" w:after="0"/>
        <w:jc w:val="left"/>
        <w:rPr>
          <w:rFonts w:ascii="Times New Roman" w:hAnsi="Times New Roman"/>
          <w:sz w:val="20"/>
        </w:rPr>
      </w:pPr>
      <w:r>
        <w:rPr>
          <w:rFonts w:ascii="Times New Roman" w:hAnsi="Times New Roman"/>
          <w:sz w:val="20"/>
        </w:rPr>
        <w:t xml:space="preserve">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of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Voting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Charges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form of depositary receipt evidencing the depositary shares and any provision of the deposit agreement may be amended by agreement between us and the depositary. However, any amendment that materially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depositary shares have been redeemed;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final distribution of the preferred stock in connection with our dissolution and such distribution has been made to all the holders of depositary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w:t>
      </w:r>
    </w:p>
    <w:p>
      <w:pPr>
        <w:pStyle w:val="TextBody"/>
        <w:bidi w:val="0"/>
        <w:spacing w:before="120" w:after="0"/>
        <w:jc w:val="left"/>
        <w:rPr>
          <w:rFonts w:ascii="Times New Roman" w:hAnsi="Times New Roman"/>
          <w:sz w:val="20"/>
        </w:rPr>
      </w:pPr>
      <w:r>
        <w:rPr>
          <w:rFonts w:ascii="Times New Roman" w:hAnsi="Times New Roman"/>
          <w:sz w:val="20"/>
        </w:rPr>
        <w:t xml:space="preserve">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274438_11"/>
      <w:bookmarkEnd w:id="13"/>
      <w:r>
        <w:rPr>
          <w:rFonts w:ascii="Times New Roman" w:hAnsi="Times New Roman"/>
          <w:b/>
          <w:sz w:val="20"/>
        </w:rPr>
        <w:t xml:space="preserve">DESCRIPTION OF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preferred stock or depositary shares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debt securities, preferred stock, depositary shares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preferred stock or depositary shares purchasable upon exercise of a warrant and the price at which those shares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and other provisions for changes to or adjustment in the exercise price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We may also issue pre-funded warrants to purchase common stock. A pre-funded warrant is a type of warrant that allows the holder to purchase a specified number of shares of common stock at a nominal exercise price, generally equal to the par value of the underlying common stock. The pre-funded warrants may be issued as individual warrant agreements to the holders. In addition to the terms described in the bullets above, the applicable prospectus supplement will describe the following terms of any pre-funded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pre-funded warrants will begin, generally on the date of issuance, and the date on which that right will expire, generally when the pre-funded warrant is exercised in full;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 may only be exercised pursuant to a cashless exercise procedure;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beneficial ownership limitations, such that a holder will not be entitled to exercise any portion of any pre-funded warrant that, upon giving effect to (or immediately prior to) such exercise, would cause the holder’s beneficial ownership to exceed a specified threshold, typically 4.99% or 9.99% (as elected by the holder), of the number of shares of our outstanding common stock or the combined voting power of all of our securities, which threshold may be subject to increase or decrease at the option of the holder, subject to a maximum ownership threshold, typically 9.99% or 19.99%, and compliance with a notice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fundamental transaction (generally including any reorganization, recapitalization or reclassification of our common stock, the sale, transfer or other disposition of all or substantially all of our assets, our consolidation or merger with or into another person in which we are not the surviving entity, the acquisition of more than 50% of our outstanding common stock, or any person or group becoming the beneficial owner of more than 50% of the voting power of our outstanding common stock), the right of the holder to receive, upon exercise of the pre-funded warrants, the same kind and amount of securities, cash or other property that such holder would have received had they exercised the pre-funded warrants immediately prior to such fundamental transaction, without regard to any limitations on exercise contained in the pre-funded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274438_12"/>
      <w:bookmarkEnd w:id="14"/>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the terms of the units and of the securities constituting the units, including whether and under what circumstances the securities comprising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any unit agent for the units, if applicable,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governing unit agreement,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provisions for the issuance, payment, settlement, transfer or exchange of the units or of the debt securities, common stock, preferred stock or warrants constituting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274438_13"/>
      <w:bookmarkEnd w:id="15"/>
      <w:r>
        <w:rPr>
          <w:rFonts w:ascii="Times New Roman" w:hAnsi="Times New Roman"/>
          <w:b/>
          <w:sz w:val="20"/>
        </w:rPr>
        <w:t xml:space="preserve">FORMS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of a particular series, depositary shares, warrants and units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 </w:t>
      </w:r>
    </w:p>
    <w:p>
      <w:pPr>
        <w:pStyle w:val="TextBody"/>
        <w:bidi w:val="0"/>
        <w:spacing w:before="240" w:after="0"/>
        <w:jc w:val="left"/>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warrant agreement or unit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warrant agreement or unit agreement. We understand that under existing industry practices,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request any action of holders or if an owner of a beneficial interest in a global security desires to give or take any action that a holder is entitled to give or take under the applicable indenture, deposit agreement, warrant agreement or unit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274438_14"/>
      <w:bookmarkEnd w:id="1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and the proceeds we will receive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re-allowed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before="240" w:after="0"/>
        <w:jc w:val="left"/>
        <w:rPr>
          <w:rFonts w:ascii="Times New Roman" w:hAnsi="Times New Roman"/>
          <w:sz w:val="20"/>
        </w:rPr>
      </w:pPr>
      <w:r>
        <w:rPr>
          <w:rFonts w:ascii="Times New Roman" w:hAnsi="Times New Roman"/>
          <w:sz w:val="20"/>
        </w:rPr>
        <w:t xml:space="preserve">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274438_15"/>
      <w:bookmarkEnd w:id="1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securities in respect of which this prospectus is being delivered will be passed upon by Wilmer Cutler Pickering Hale and Dorr LLP. </w:t>
      </w:r>
    </w:p>
    <w:p>
      <w:pPr>
        <w:pStyle w:val="TextBody"/>
        <w:bidi w:val="0"/>
        <w:spacing w:before="480" w:after="0"/>
        <w:jc w:val="center"/>
        <w:rPr>
          <w:rFonts w:ascii="Times New Roman" w:hAnsi="Times New Roman"/>
          <w:b/>
          <w:sz w:val="20"/>
        </w:rPr>
      </w:pPr>
      <w:bookmarkStart w:id="18" w:name="tx274438_16"/>
      <w:bookmarkEnd w:id="1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774950" cy="8712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2774950" cy="871220"/>
                    </a:xfrm>
                    <a:prstGeom prst="rect">
                      <a:avLst/>
                    </a:prstGeom>
                  </pic:spPr>
                </pic:pic>
              </a:graphicData>
            </a:graphic>
          </wp:inline>
        </w:drawing>
      </w:r>
      <w:r>
        <w:rPr/>
        <w:t xml:space="preserve"> </w:t>
      </w:r>
    </w:p>
    <w:p>
      <w:pPr>
        <w:pStyle w:val="TextBody"/>
        <w:bidi w:val="0"/>
        <w:spacing w:before="100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12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12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12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120" w:after="0"/>
        <w:jc w:val="center"/>
        <w:rPr>
          <w:rFonts w:ascii="Times New Roman" w:hAnsi="Times New Roman"/>
          <w:b/>
          <w:sz w:val="28"/>
        </w:rPr>
      </w:pPr>
      <w:r>
        <w:rPr>
          <w:rFonts w:ascii="Times New Roman" w:hAnsi="Times New Roman"/>
          <w:b/>
          <w:sz w:val="28"/>
        </w:rPr>
        <w:t xml:space="preserve">Warrants </w:t>
      </w:r>
    </w:p>
    <w:p>
      <w:pPr>
        <w:pStyle w:val="TextBody"/>
        <w:bidi w:val="0"/>
        <w:spacing w:before="12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0" w:after="0"/>
        <w:jc w:val="center"/>
        <w:rPr>
          <w:rFonts w:ascii="Times New Roman" w:hAnsi="Times New Roman"/>
          <w:b/>
          <w:sz w:val="20"/>
        </w:rPr>
      </w:pPr>
      <w:r>
        <w:rPr>
          <w:rFonts w:ascii="Times New Roman" w:hAnsi="Times New Roman"/>
          <w:b/>
          <w:sz w:val="20"/>
        </w:rPr>
        <w:t xml:space="preserve">August 6,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fees and expenses payable by us in connection with the sale of the offered securities being registered hereby, other than underwriting discounts and commissions.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26"/>
        <w:gridCol w:w="530"/>
        <w:gridCol w:w="140"/>
        <w:gridCol w:w="887"/>
        <w:gridCol w:w="356"/>
      </w:tblGrid>
      <w:tr>
        <w:trPr/>
        <w:tc>
          <w:tcPr>
            <w:tcW w:w="5026" w:type="dxa"/>
            <w:tcBorders/>
            <w:vAlign w:val="center"/>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5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7" w:type="dxa"/>
            <w:tcBorders/>
            <w:shd w:fill="CCEEFF" w:val="clear"/>
            <w:vAlign w:val="bottom"/>
          </w:tcPr>
          <w:p>
            <w:pPr>
              <w:pStyle w:val="TableContents"/>
              <w:bidi w:val="0"/>
              <w:spacing w:before="0" w:after="283"/>
              <w:jc w:val="right"/>
              <w:rPr/>
            </w:pPr>
            <w:r>
              <w:rPr/>
              <w:t>    </w:t>
            </w:r>
          </w:p>
        </w:tc>
        <w:tc>
          <w:tcPr>
            <w:tcW w:w="356" w:type="dxa"/>
            <w:tcBorders/>
            <w:shd w:fill="CCEEFF" w:val="clear"/>
            <w:vAlign w:val="bottom"/>
          </w:tcPr>
          <w:p>
            <w:pPr>
              <w:pStyle w:val="TableContents"/>
              <w:bidi w:val="0"/>
              <w:spacing w:before="0" w:after="283"/>
              <w:jc w:val="left"/>
              <w:rPr/>
            </w:pPr>
            <w:r>
              <w:rPr/>
              <w:t>(1) </w:t>
            </w:r>
          </w:p>
        </w:tc>
      </w:tr>
      <w:tr>
        <w:trPr/>
        <w:tc>
          <w:tcPr>
            <w:tcW w:w="5026"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w:t>
            </w:r>
          </w:p>
        </w:tc>
        <w:tc>
          <w:tcPr>
            <w:tcW w:w="5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   </w:t>
            </w:r>
          </w:p>
        </w:tc>
        <w:tc>
          <w:tcPr>
            <w:tcW w:w="356" w:type="dxa"/>
            <w:tcBorders/>
            <w:vAlign w:val="bottom"/>
          </w:tcPr>
          <w:p>
            <w:pPr>
              <w:pStyle w:val="TableContents"/>
              <w:bidi w:val="0"/>
              <w:spacing w:before="0" w:after="283"/>
              <w:jc w:val="left"/>
              <w:rPr/>
            </w:pPr>
            <w:r>
              <w:rPr/>
              <w:t>(2) </w:t>
            </w:r>
          </w:p>
        </w:tc>
      </w:tr>
      <w:tr>
        <w:trPr/>
        <w:tc>
          <w:tcPr>
            <w:tcW w:w="5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services</w:t>
            </w:r>
          </w:p>
        </w:tc>
        <w:tc>
          <w:tcPr>
            <w:tcW w:w="5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   </w:t>
            </w:r>
          </w:p>
        </w:tc>
        <w:tc>
          <w:tcPr>
            <w:tcW w:w="356" w:type="dxa"/>
            <w:tcBorders/>
            <w:shd w:fill="CCEEFF" w:val="clear"/>
            <w:vAlign w:val="bottom"/>
          </w:tcPr>
          <w:p>
            <w:pPr>
              <w:pStyle w:val="TableContents"/>
              <w:bidi w:val="0"/>
              <w:spacing w:before="0" w:after="283"/>
              <w:jc w:val="left"/>
              <w:rPr/>
            </w:pPr>
            <w:r>
              <w:rPr/>
              <w:t>(2) </w:t>
            </w:r>
          </w:p>
        </w:tc>
      </w:tr>
      <w:tr>
        <w:trPr/>
        <w:tc>
          <w:tcPr>
            <w:tcW w:w="5026" w:type="dxa"/>
            <w:tcBorders/>
          </w:tcPr>
          <w:p>
            <w:pPr>
              <w:pStyle w:val="TableContents"/>
              <w:bidi w:val="0"/>
              <w:spacing w:before="0" w:after="0"/>
              <w:jc w:val="left"/>
              <w:rPr>
                <w:rFonts w:ascii="Times New Roman" w:hAnsi="Times New Roman"/>
                <w:sz w:val="20"/>
              </w:rPr>
            </w:pPr>
            <w:r>
              <w:rPr>
                <w:rFonts w:ascii="Times New Roman" w:hAnsi="Times New Roman"/>
                <w:sz w:val="20"/>
              </w:rPr>
              <w:t>Legal fees of registrant’s counsel</w:t>
            </w:r>
          </w:p>
        </w:tc>
        <w:tc>
          <w:tcPr>
            <w:tcW w:w="5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   </w:t>
            </w:r>
          </w:p>
        </w:tc>
        <w:tc>
          <w:tcPr>
            <w:tcW w:w="356" w:type="dxa"/>
            <w:tcBorders/>
            <w:vAlign w:val="bottom"/>
          </w:tcPr>
          <w:p>
            <w:pPr>
              <w:pStyle w:val="TableContents"/>
              <w:bidi w:val="0"/>
              <w:spacing w:before="0" w:after="283"/>
              <w:jc w:val="left"/>
              <w:rPr/>
            </w:pPr>
            <w:r>
              <w:rPr/>
              <w:t>(2) </w:t>
            </w:r>
          </w:p>
        </w:tc>
      </w:tr>
      <w:tr>
        <w:trPr/>
        <w:tc>
          <w:tcPr>
            <w:tcW w:w="5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agent’s, trustee’s and depositary’s fees and expenses</w:t>
            </w:r>
          </w:p>
        </w:tc>
        <w:tc>
          <w:tcPr>
            <w:tcW w:w="5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   </w:t>
            </w:r>
          </w:p>
        </w:tc>
        <w:tc>
          <w:tcPr>
            <w:tcW w:w="356" w:type="dxa"/>
            <w:tcBorders/>
            <w:shd w:fill="CCEEFF" w:val="clear"/>
            <w:vAlign w:val="bottom"/>
          </w:tcPr>
          <w:p>
            <w:pPr>
              <w:pStyle w:val="TableContents"/>
              <w:bidi w:val="0"/>
              <w:spacing w:before="0" w:after="283"/>
              <w:jc w:val="left"/>
              <w:rPr/>
            </w:pPr>
            <w:r>
              <w:rPr/>
              <w:t>(2) </w:t>
            </w:r>
          </w:p>
        </w:tc>
      </w:tr>
      <w:tr>
        <w:trPr/>
        <w:tc>
          <w:tcPr>
            <w:tcW w:w="5026"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5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   </w:t>
            </w:r>
          </w:p>
        </w:tc>
        <w:tc>
          <w:tcPr>
            <w:tcW w:w="356" w:type="dxa"/>
            <w:tcBorders/>
            <w:vAlign w:val="bottom"/>
          </w:tcPr>
          <w:p>
            <w:pPr>
              <w:pStyle w:val="TableContents"/>
              <w:bidi w:val="0"/>
              <w:spacing w:before="0" w:after="283"/>
              <w:jc w:val="left"/>
              <w:rPr/>
            </w:pPr>
            <w:r>
              <w:rPr/>
              <w:t>(2) </w:t>
            </w:r>
          </w:p>
        </w:tc>
      </w:tr>
      <w:tr>
        <w:trPr/>
        <w:tc>
          <w:tcPr>
            <w:tcW w:w="5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7" w:type="dxa"/>
            <w:tcBorders/>
            <w:shd w:fill="CCEEFF" w:val="clear"/>
            <w:vAlign w:val="bottom"/>
          </w:tcPr>
          <w:p>
            <w:pPr>
              <w:pStyle w:val="TableContents"/>
              <w:bidi w:val="0"/>
              <w:spacing w:before="0" w:after="283"/>
              <w:jc w:val="right"/>
              <w:rPr/>
            </w:pPr>
            <w:r>
              <w:rPr/>
              <w:t>    </w:t>
            </w:r>
          </w:p>
        </w:tc>
        <w:tc>
          <w:tcPr>
            <w:tcW w:w="356" w:type="dxa"/>
            <w:tcBorders/>
            <w:shd w:fill="CCEEFF" w:val="clear"/>
            <w:vAlign w:val="bottom"/>
          </w:tcPr>
          <w:p>
            <w:pPr>
              <w:pStyle w:val="TableContents"/>
              <w:bidi w:val="0"/>
              <w:spacing w:before="0" w:after="283"/>
              <w:jc w:val="left"/>
              <w:rPr/>
            </w:pPr>
            <w:r>
              <w:rPr/>
              <w:t>(2)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Deferred in reliance upon Rules 456(b) and 457(r) under the Securities Act.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and expenses are calculated based on the securities offered and the number of issuances and accordingly are not estimated at this time and will be reflected in the applicable prospectus supplement.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qualified in its entirety by reference to the complete Delaware General Corporation Law (“DGCL”) and our Certificate of Incorporation, as amended (the “Certificate”), and Bylaws (the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w:t>
      </w:r>
      <w:r>
        <w:rPr>
          <w:rFonts w:ascii="Times New Roman" w:hAnsi="Times New Roman"/>
          <w:i/>
          <w:sz w:val="20"/>
        </w:rPr>
        <w:t>provided</w:t>
      </w:r>
      <w:r>
        <w:rPr>
          <w:rFonts w:ascii="Times New Roman" w:hAnsi="Times New Roman"/>
          <w:sz w:val="20"/>
        </w:rPr>
        <w:t xml:space="preserve"> that such person acted in good faith and in a manner he or she reasonably believed to be in or not opposed to the best interests of the corporation, and, in the case of claims, issues and matters as to which such person shall have been adjudged liable to the corporation, </w:t>
      </w:r>
      <w:r>
        <w:rPr>
          <w:rFonts w:ascii="Times New Roman" w:hAnsi="Times New Roman"/>
          <w:i/>
          <w:sz w:val="20"/>
        </w:rPr>
        <w:t>provided</w:t>
      </w:r>
      <w:r>
        <w:rPr>
          <w:rFonts w:ascii="Times New Roman" w:hAnsi="Times New Roman"/>
          <w:sz w:val="20"/>
        </w:rPr>
        <w:t xml:space="preserve"> that a court shall have determined, upon application, that, despite the adjudication of liability but in view of all of the circumstances of the case, such person is fairly and reasonably entitled to indemnity for such expenses which such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generally, that a corporation’s certificate of incorporation may contain a provision eliminating or limiting the personal liability of a director or officer to the corporation or its stockholders for monetary damages for breach of fiduciary duty as a director or officer, </w:t>
      </w:r>
      <w:r>
        <w:rPr>
          <w:rFonts w:ascii="Times New Roman" w:hAnsi="Times New Roman"/>
          <w:i/>
          <w:sz w:val="20"/>
        </w:rPr>
        <w:t>provided</w:t>
      </w:r>
      <w:r>
        <w:rPr>
          <w:rFonts w:ascii="Times New Roman" w:hAnsi="Times New Roman"/>
          <w:sz w:val="20"/>
        </w:rPr>
        <w:t xml:space="preserve"> that such provision may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may eliminate or limit the liability of a director or officer for any act or omission occurring prior to the date when such provision became effective. Our Certificate provides, to the fullest extent permitted by the DGCL, that no director shall be personally liable to us or our stockholders for monetary damages arising from a breach of fiduciary duty as a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Certificate and Bylaws provide for the indemnification of our directors and officers to the fullest extent permitted under the DGCL. As permitted by the DGCL, we have also entered into and expect to continue to enter into agreements to indemnify our directors, executive officers and other employees as determined by our board of directors. Under the terms of our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the company or any of its subsidiaries or was serving at our request in an official capacity for another entity. We must indemnify our officers and directors against (1) attorneys’ fees and (2) all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set forth certain procedures that will apply in the event of a claim for indemnification thereunder. These indemnification provisions and the indemnification agreements may be sufficiently broad to permit indemnification of our officers and directors for liabilities, including reimbursement of expenses incurred,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purchased a policy of directors’ and officers’ liability insurance that insures our directors and officers against the cost of defense, settlement or payment of a judgment in some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4"/>
        <w:gridCol w:w="312"/>
        <w:gridCol w:w="9079"/>
      </w:tblGrid>
      <w:tr>
        <w:trPr/>
        <w:tc>
          <w:tcPr>
            <w:tcW w:w="814"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9079" w:type="dxa"/>
            <w:tcBorders/>
            <w:vAlign w:val="center"/>
          </w:tcPr>
          <w:p>
            <w:pPr>
              <w:pStyle w:val="TableContents"/>
              <w:bidi w:val="0"/>
              <w:spacing w:before="0" w:after="283"/>
              <w:jc w:val="left"/>
              <w:rPr>
                <w:sz w:val="4"/>
                <w:szCs w:val="4"/>
              </w:rPr>
            </w:pPr>
            <w:r>
              <w:rPr>
                <w:sz w:val="4"/>
                <w:szCs w:val="4"/>
              </w:rPr>
            </w:r>
          </w:p>
        </w:tc>
      </w:tr>
      <w:tr>
        <w:trPr/>
        <w:tc>
          <w:tcPr>
            <w:tcW w:w="814" w:type="dxa"/>
            <w:tcBorders>
              <w:bottom w:val="single" w:sz="8" w:space="0" w:color="000000"/>
            </w:tcBorders>
            <w:tcMar>
              <w:bottom w:w="28" w:type="dxa"/>
            </w:tcMar>
            <w:vAlign w:val="bottom"/>
          </w:tcPr>
          <w:p>
            <w:pPr>
              <w:pStyle w:val="TableContents"/>
              <w:bidi w:val="0"/>
              <w:spacing w:before="0" w:after="283"/>
              <w:jc w:val="left"/>
              <w:rPr>
                <w:b/>
              </w:rPr>
            </w:pPr>
            <w:r>
              <w:rPr>
                <w:b/>
              </w:rPr>
              <w:t>Exhibit</w:t>
              <w:br/>
              <w:t>No.</w:t>
            </w:r>
          </w:p>
        </w:tc>
        <w:tc>
          <w:tcPr>
            <w:tcW w:w="312" w:type="dxa"/>
            <w:tcBorders/>
            <w:vAlign w:val="bottom"/>
          </w:tcPr>
          <w:p>
            <w:pPr>
              <w:pStyle w:val="TableContents"/>
              <w:bidi w:val="0"/>
              <w:spacing w:before="0" w:after="283"/>
              <w:jc w:val="left"/>
              <w:rPr/>
            </w:pPr>
            <w:r>
              <w:rPr/>
              <w:t>  </w:t>
            </w:r>
          </w:p>
        </w:tc>
        <w:tc>
          <w:tcPr>
            <w:tcW w:w="90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9391"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  </w:t>
            </w:r>
            <w:r>
              <w:rPr/>
              <w:t>1.1*</w:t>
            </w:r>
          </w:p>
        </w:tc>
        <w:tc>
          <w:tcPr>
            <w:tcW w:w="312" w:type="dxa"/>
            <w:tcBorders/>
            <w:vAlign w:val="bottom"/>
          </w:tcPr>
          <w:p>
            <w:pPr>
              <w:pStyle w:val="TableContents"/>
              <w:bidi w:val="0"/>
              <w:spacing w:before="0" w:after="283"/>
              <w:jc w:val="left"/>
              <w:rPr/>
            </w:pPr>
            <w:r>
              <w:rPr/>
              <w:t>  </w:t>
            </w:r>
          </w:p>
        </w:tc>
        <w:tc>
          <w:tcPr>
            <w:tcW w:w="9079" w:type="dxa"/>
            <w:tcBorders/>
          </w:tcPr>
          <w:p>
            <w:pPr>
              <w:pStyle w:val="TableContents"/>
              <w:bidi w:val="0"/>
              <w:spacing w:before="0" w:after="283"/>
              <w:jc w:val="left"/>
              <w:rPr/>
            </w:pPr>
            <w:r>
              <w:rPr/>
              <w:t>Form of Underwriting Agreement</w:t>
            </w:r>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9391"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  </w:t>
            </w:r>
            <w:r>
              <w:rPr/>
              <w:t>4.1</w:t>
            </w:r>
          </w:p>
        </w:tc>
        <w:tc>
          <w:tcPr>
            <w:tcW w:w="312" w:type="dxa"/>
            <w:tcBorders/>
            <w:vAlign w:val="bottom"/>
          </w:tcPr>
          <w:p>
            <w:pPr>
              <w:pStyle w:val="TableContents"/>
              <w:bidi w:val="0"/>
              <w:spacing w:before="0" w:after="283"/>
              <w:jc w:val="left"/>
              <w:rPr/>
            </w:pPr>
            <w:r>
              <w:rPr/>
              <w:t>  </w:t>
            </w:r>
          </w:p>
        </w:tc>
        <w:tc>
          <w:tcPr>
            <w:tcW w:w="9079" w:type="dxa"/>
            <w:tcBorders/>
          </w:tcPr>
          <w:p>
            <w:pPr>
              <w:pStyle w:val="TableContents"/>
              <w:bidi w:val="0"/>
              <w:spacing w:before="0" w:after="283"/>
              <w:jc w:val="left"/>
              <w:rPr/>
            </w:pPr>
            <w:hyperlink r:id="rId14">
              <w:r>
                <w:rPr>
                  <w:rStyle w:val="InternetLink"/>
                </w:rPr>
                <w:t xml:space="preserve">Certificate of Incorporation of the Registrant, as amended (incorporated herein by reference to Exhibit 3.1 to the Registrant’s Quarterly Report on Form 10-Q filed with the SEC on August 6, 2026) </w:t>
              </w:r>
            </w:hyperlink>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9391"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  </w:t>
            </w:r>
            <w:r>
              <w:rPr/>
              <w:t>4.2</w:t>
            </w:r>
          </w:p>
        </w:tc>
        <w:tc>
          <w:tcPr>
            <w:tcW w:w="312" w:type="dxa"/>
            <w:tcBorders/>
            <w:vAlign w:val="bottom"/>
          </w:tcPr>
          <w:p>
            <w:pPr>
              <w:pStyle w:val="TableContents"/>
              <w:bidi w:val="0"/>
              <w:spacing w:before="0" w:after="283"/>
              <w:jc w:val="left"/>
              <w:rPr/>
            </w:pPr>
            <w:r>
              <w:rPr/>
              <w:t>  </w:t>
            </w:r>
          </w:p>
        </w:tc>
        <w:tc>
          <w:tcPr>
            <w:tcW w:w="9079" w:type="dxa"/>
            <w:tcBorders/>
          </w:tcPr>
          <w:p>
            <w:pPr>
              <w:pStyle w:val="TableContents"/>
              <w:bidi w:val="0"/>
              <w:spacing w:before="0" w:after="283"/>
              <w:jc w:val="left"/>
              <w:rPr/>
            </w:pPr>
            <w:hyperlink r:id="rId15">
              <w:r>
                <w:rPr>
                  <w:rStyle w:val="InternetLink"/>
                </w:rPr>
                <w:t>Bylaws of the Registrant (incorporated by reference to Exhibit 4.2 to the Registration Statement on Form S-8 filed with the SEC on January 29, 2018)</w:t>
              </w:r>
            </w:hyperlink>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9391"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  </w:t>
            </w:r>
            <w:r>
              <w:rPr/>
              <w:t>4.3</w:t>
            </w:r>
          </w:p>
        </w:tc>
        <w:tc>
          <w:tcPr>
            <w:tcW w:w="312" w:type="dxa"/>
            <w:tcBorders/>
            <w:vAlign w:val="bottom"/>
          </w:tcPr>
          <w:p>
            <w:pPr>
              <w:pStyle w:val="TableContents"/>
              <w:bidi w:val="0"/>
              <w:spacing w:before="0" w:after="283"/>
              <w:jc w:val="left"/>
              <w:rPr/>
            </w:pPr>
            <w:r>
              <w:rPr/>
              <w:t>  </w:t>
            </w:r>
          </w:p>
        </w:tc>
        <w:tc>
          <w:tcPr>
            <w:tcW w:w="9079" w:type="dxa"/>
            <w:tcBorders/>
          </w:tcPr>
          <w:p>
            <w:pPr>
              <w:pStyle w:val="TableContents"/>
              <w:bidi w:val="0"/>
              <w:spacing w:before="0" w:after="283"/>
              <w:jc w:val="left"/>
              <w:rPr/>
            </w:pPr>
            <w:hyperlink r:id="rId16">
              <w:r>
                <w:rPr>
                  <w:rStyle w:val="InternetLink"/>
                </w:rPr>
                <w:t>Form of Common Stock Certificate (incorporated by reference to Exhibit 4.1 to the Registrant’s Registration Statement on Form S-1 filed with the SEC on December 29, 2017)</w:t>
              </w:r>
            </w:hyperlink>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9391"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  </w:t>
            </w:r>
            <w:r>
              <w:rPr/>
              <w:t>4.4</w:t>
            </w:r>
          </w:p>
        </w:tc>
        <w:tc>
          <w:tcPr>
            <w:tcW w:w="312" w:type="dxa"/>
            <w:tcBorders/>
            <w:vAlign w:val="bottom"/>
          </w:tcPr>
          <w:p>
            <w:pPr>
              <w:pStyle w:val="TableContents"/>
              <w:bidi w:val="0"/>
              <w:spacing w:before="0" w:after="283"/>
              <w:jc w:val="left"/>
              <w:rPr/>
            </w:pPr>
            <w:r>
              <w:rPr/>
              <w:t>  </w:t>
            </w:r>
          </w:p>
        </w:tc>
        <w:tc>
          <w:tcPr>
            <w:tcW w:w="9079" w:type="dxa"/>
            <w:tcBorders/>
          </w:tcPr>
          <w:p>
            <w:pPr>
              <w:pStyle w:val="TableContents"/>
              <w:bidi w:val="0"/>
              <w:spacing w:before="0" w:after="283"/>
              <w:jc w:val="left"/>
              <w:rPr/>
            </w:pPr>
            <w:hyperlink w:anchor="d274438dex44.htm">
              <w:r>
                <w:rPr>
                  <w:rStyle w:val="InternetLink"/>
                </w:rPr>
                <w:t>Form of Senior Indenture</w:t>
              </w:r>
            </w:hyperlink>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9391"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  </w:t>
            </w:r>
            <w:r>
              <w:rPr/>
              <w:t>4.5</w:t>
            </w:r>
          </w:p>
        </w:tc>
        <w:tc>
          <w:tcPr>
            <w:tcW w:w="312" w:type="dxa"/>
            <w:tcBorders/>
            <w:vAlign w:val="bottom"/>
          </w:tcPr>
          <w:p>
            <w:pPr>
              <w:pStyle w:val="TableContents"/>
              <w:bidi w:val="0"/>
              <w:spacing w:before="0" w:after="283"/>
              <w:jc w:val="left"/>
              <w:rPr/>
            </w:pPr>
            <w:r>
              <w:rPr/>
              <w:t>  </w:t>
            </w:r>
          </w:p>
        </w:tc>
        <w:tc>
          <w:tcPr>
            <w:tcW w:w="9079" w:type="dxa"/>
            <w:tcBorders/>
          </w:tcPr>
          <w:p>
            <w:pPr>
              <w:pStyle w:val="TableContents"/>
              <w:bidi w:val="0"/>
              <w:spacing w:before="0" w:after="283"/>
              <w:jc w:val="left"/>
              <w:rPr/>
            </w:pPr>
            <w:hyperlink w:anchor="d274438dex45.htm">
              <w:r>
                <w:rPr>
                  <w:rStyle w:val="InternetLink"/>
                </w:rPr>
                <w:t xml:space="preserve">Form of Subordinated Indenture </w:t>
              </w:r>
            </w:hyperlink>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9391"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  </w:t>
            </w:r>
            <w:r>
              <w:rPr/>
              <w:t>4.6</w:t>
            </w:r>
          </w:p>
        </w:tc>
        <w:tc>
          <w:tcPr>
            <w:tcW w:w="312" w:type="dxa"/>
            <w:tcBorders/>
            <w:vAlign w:val="bottom"/>
          </w:tcPr>
          <w:p>
            <w:pPr>
              <w:pStyle w:val="TableContents"/>
              <w:bidi w:val="0"/>
              <w:spacing w:before="0" w:after="283"/>
              <w:jc w:val="left"/>
              <w:rPr/>
            </w:pPr>
            <w:r>
              <w:rPr/>
              <w:t>  </w:t>
            </w:r>
          </w:p>
        </w:tc>
        <w:tc>
          <w:tcPr>
            <w:tcW w:w="9079" w:type="dxa"/>
            <w:tcBorders/>
          </w:tcPr>
          <w:p>
            <w:pPr>
              <w:pStyle w:val="TableContents"/>
              <w:bidi w:val="0"/>
              <w:spacing w:before="0" w:after="283"/>
              <w:jc w:val="left"/>
              <w:rPr/>
            </w:pPr>
            <w:hyperlink w:anchor="d274438dex46.htm">
              <w:r>
                <w:rPr>
                  <w:rStyle w:val="InternetLink"/>
                </w:rPr>
                <w:t>Form of Senior Note</w:t>
              </w:r>
            </w:hyperlink>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9391"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  </w:t>
            </w:r>
            <w:r>
              <w:rPr/>
              <w:t>4.7</w:t>
            </w:r>
          </w:p>
        </w:tc>
        <w:tc>
          <w:tcPr>
            <w:tcW w:w="312" w:type="dxa"/>
            <w:tcBorders/>
            <w:vAlign w:val="bottom"/>
          </w:tcPr>
          <w:p>
            <w:pPr>
              <w:pStyle w:val="TableContents"/>
              <w:bidi w:val="0"/>
              <w:spacing w:before="0" w:after="283"/>
              <w:jc w:val="left"/>
              <w:rPr/>
            </w:pPr>
            <w:r>
              <w:rPr/>
              <w:t>  </w:t>
            </w:r>
          </w:p>
        </w:tc>
        <w:tc>
          <w:tcPr>
            <w:tcW w:w="9079" w:type="dxa"/>
            <w:tcBorders/>
          </w:tcPr>
          <w:p>
            <w:pPr>
              <w:pStyle w:val="TableContents"/>
              <w:bidi w:val="0"/>
              <w:spacing w:before="0" w:after="283"/>
              <w:jc w:val="left"/>
              <w:rPr/>
            </w:pPr>
            <w:hyperlink w:anchor="d274438dex47.htm">
              <w:r>
                <w:rPr>
                  <w:rStyle w:val="InternetLink"/>
                </w:rPr>
                <w:t xml:space="preserve">Form of Subordinated Note </w:t>
              </w:r>
            </w:hyperlink>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9391"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  </w:t>
            </w:r>
            <w:r>
              <w:rPr/>
              <w:t>4.8*</w:t>
            </w:r>
          </w:p>
        </w:tc>
        <w:tc>
          <w:tcPr>
            <w:tcW w:w="312" w:type="dxa"/>
            <w:tcBorders/>
            <w:vAlign w:val="bottom"/>
          </w:tcPr>
          <w:p>
            <w:pPr>
              <w:pStyle w:val="TableContents"/>
              <w:bidi w:val="0"/>
              <w:spacing w:before="0" w:after="283"/>
              <w:jc w:val="left"/>
              <w:rPr/>
            </w:pPr>
            <w:r>
              <w:rPr/>
              <w:t>  </w:t>
            </w:r>
          </w:p>
        </w:tc>
        <w:tc>
          <w:tcPr>
            <w:tcW w:w="9079" w:type="dxa"/>
            <w:tcBorders/>
          </w:tcPr>
          <w:p>
            <w:pPr>
              <w:pStyle w:val="TableContents"/>
              <w:bidi w:val="0"/>
              <w:spacing w:before="0" w:after="283"/>
              <w:jc w:val="left"/>
              <w:rPr/>
            </w:pPr>
            <w:r>
              <w:rPr/>
              <w:t>Form of Deposit Agreement</w:t>
            </w:r>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9391"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  </w:t>
            </w:r>
            <w:r>
              <w:rPr/>
              <w:t>4.9*</w:t>
            </w:r>
          </w:p>
        </w:tc>
        <w:tc>
          <w:tcPr>
            <w:tcW w:w="312" w:type="dxa"/>
            <w:tcBorders/>
            <w:vAlign w:val="bottom"/>
          </w:tcPr>
          <w:p>
            <w:pPr>
              <w:pStyle w:val="TableContents"/>
              <w:bidi w:val="0"/>
              <w:spacing w:before="0" w:after="283"/>
              <w:jc w:val="left"/>
              <w:rPr/>
            </w:pPr>
            <w:r>
              <w:rPr/>
              <w:t>  </w:t>
            </w:r>
          </w:p>
        </w:tc>
        <w:tc>
          <w:tcPr>
            <w:tcW w:w="9079" w:type="dxa"/>
            <w:tcBorders/>
          </w:tcPr>
          <w:p>
            <w:pPr>
              <w:pStyle w:val="TableContents"/>
              <w:bidi w:val="0"/>
              <w:spacing w:before="0" w:after="283"/>
              <w:jc w:val="left"/>
              <w:rPr/>
            </w:pPr>
            <w:r>
              <w:rPr/>
              <w:t>Form of Warrant Agreement</w:t>
            </w:r>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9391"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  </w:t>
            </w:r>
            <w:r>
              <w:rPr/>
              <w:t>4.10*</w:t>
            </w:r>
          </w:p>
        </w:tc>
        <w:tc>
          <w:tcPr>
            <w:tcW w:w="312" w:type="dxa"/>
            <w:tcBorders/>
            <w:vAlign w:val="bottom"/>
          </w:tcPr>
          <w:p>
            <w:pPr>
              <w:pStyle w:val="TableContents"/>
              <w:bidi w:val="0"/>
              <w:spacing w:before="0" w:after="283"/>
              <w:jc w:val="left"/>
              <w:rPr/>
            </w:pPr>
            <w:r>
              <w:rPr/>
              <w:t>  </w:t>
            </w:r>
          </w:p>
        </w:tc>
        <w:tc>
          <w:tcPr>
            <w:tcW w:w="9079" w:type="dxa"/>
            <w:tcBorders/>
          </w:tcPr>
          <w:p>
            <w:pPr>
              <w:pStyle w:val="TableContents"/>
              <w:bidi w:val="0"/>
              <w:spacing w:before="0" w:after="283"/>
              <w:jc w:val="left"/>
              <w:rPr/>
            </w:pPr>
            <w:r>
              <w:rPr/>
              <w:t>Form of Pre-Funded Warrant</w:t>
            </w:r>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9391"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  </w:t>
            </w:r>
            <w:r>
              <w:rPr/>
              <w:t>4.11*</w:t>
            </w:r>
          </w:p>
        </w:tc>
        <w:tc>
          <w:tcPr>
            <w:tcW w:w="312" w:type="dxa"/>
            <w:tcBorders/>
            <w:vAlign w:val="bottom"/>
          </w:tcPr>
          <w:p>
            <w:pPr>
              <w:pStyle w:val="TableContents"/>
              <w:bidi w:val="0"/>
              <w:spacing w:before="0" w:after="283"/>
              <w:jc w:val="left"/>
              <w:rPr/>
            </w:pPr>
            <w:r>
              <w:rPr/>
              <w:t>  </w:t>
            </w:r>
          </w:p>
        </w:tc>
        <w:tc>
          <w:tcPr>
            <w:tcW w:w="9079" w:type="dxa"/>
            <w:tcBorders/>
          </w:tcPr>
          <w:p>
            <w:pPr>
              <w:pStyle w:val="TableContents"/>
              <w:bidi w:val="0"/>
              <w:spacing w:before="0" w:after="283"/>
              <w:jc w:val="left"/>
              <w:rPr/>
            </w:pPr>
            <w:r>
              <w:rPr/>
              <w:t>Form of Unit Agreement</w:t>
            </w:r>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9391"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  </w:t>
            </w:r>
            <w:r>
              <w:rPr/>
              <w:t>5.1</w:t>
            </w:r>
          </w:p>
        </w:tc>
        <w:tc>
          <w:tcPr>
            <w:tcW w:w="312" w:type="dxa"/>
            <w:tcBorders/>
            <w:vAlign w:val="bottom"/>
          </w:tcPr>
          <w:p>
            <w:pPr>
              <w:pStyle w:val="TableContents"/>
              <w:bidi w:val="0"/>
              <w:spacing w:before="0" w:after="283"/>
              <w:jc w:val="left"/>
              <w:rPr/>
            </w:pPr>
            <w:r>
              <w:rPr/>
              <w:t>  </w:t>
            </w:r>
          </w:p>
        </w:tc>
        <w:tc>
          <w:tcPr>
            <w:tcW w:w="9079" w:type="dxa"/>
            <w:tcBorders/>
          </w:tcPr>
          <w:p>
            <w:pPr>
              <w:pStyle w:val="TableContents"/>
              <w:bidi w:val="0"/>
              <w:spacing w:before="0" w:after="283"/>
              <w:jc w:val="left"/>
              <w:rPr/>
            </w:pPr>
            <w:hyperlink w:anchor="d274438dex51.htm">
              <w:r>
                <w:rPr>
                  <w:rStyle w:val="InternetLink"/>
                </w:rPr>
                <w:t xml:space="preserve">Opinion of Wilmer Cutler Pickering Hale and Dorr LLP </w:t>
              </w:r>
            </w:hyperlink>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9391"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 </w:t>
            </w:r>
            <w:r>
              <w:rPr/>
              <w:t>23.1</w:t>
            </w:r>
          </w:p>
        </w:tc>
        <w:tc>
          <w:tcPr>
            <w:tcW w:w="312" w:type="dxa"/>
            <w:tcBorders/>
            <w:vAlign w:val="bottom"/>
          </w:tcPr>
          <w:p>
            <w:pPr>
              <w:pStyle w:val="TableContents"/>
              <w:bidi w:val="0"/>
              <w:spacing w:before="0" w:after="283"/>
              <w:jc w:val="left"/>
              <w:rPr/>
            </w:pPr>
            <w:r>
              <w:rPr/>
              <w:t>  </w:t>
            </w:r>
          </w:p>
        </w:tc>
        <w:tc>
          <w:tcPr>
            <w:tcW w:w="9079" w:type="dxa"/>
            <w:tcBorders/>
          </w:tcPr>
          <w:p>
            <w:pPr>
              <w:pStyle w:val="TableContents"/>
              <w:bidi w:val="0"/>
              <w:spacing w:before="0" w:after="283"/>
              <w:jc w:val="left"/>
              <w:rPr/>
            </w:pPr>
            <w:hyperlink w:anchor="d274438dex231.htm">
              <w:r>
                <w:rPr>
                  <w:rStyle w:val="InternetLink"/>
                </w:rPr>
                <w:t xml:space="preserve">Consent of PricewaterhouseCoopers LLP, independent registered public accounting firm for the Registrant </w:t>
              </w:r>
            </w:hyperlink>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9391"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 </w:t>
            </w:r>
            <w:r>
              <w:rPr/>
              <w:t>23.2</w:t>
            </w:r>
          </w:p>
        </w:tc>
        <w:tc>
          <w:tcPr>
            <w:tcW w:w="312" w:type="dxa"/>
            <w:tcBorders/>
            <w:vAlign w:val="bottom"/>
          </w:tcPr>
          <w:p>
            <w:pPr>
              <w:pStyle w:val="TableContents"/>
              <w:bidi w:val="0"/>
              <w:spacing w:before="0" w:after="283"/>
              <w:jc w:val="left"/>
              <w:rPr/>
            </w:pPr>
            <w:r>
              <w:rPr/>
              <w:t>  </w:t>
            </w:r>
          </w:p>
        </w:tc>
        <w:tc>
          <w:tcPr>
            <w:tcW w:w="9079" w:type="dxa"/>
            <w:tcBorders/>
          </w:tcPr>
          <w:p>
            <w:pPr>
              <w:pStyle w:val="TableContents"/>
              <w:bidi w:val="0"/>
              <w:spacing w:before="0" w:after="283"/>
              <w:jc w:val="left"/>
              <w:rPr/>
            </w:pPr>
            <w:hyperlink w:anchor="d274438dex51.htm">
              <w:r>
                <w:rPr>
                  <w:rStyle w:val="InternetLink"/>
                </w:rPr>
                <w:t xml:space="preserve">Consent of Wilmer Cutler Pickering Hale and Dorr LLP (included in Exhibit 5.1) </w:t>
              </w:r>
            </w:hyperlink>
          </w:p>
        </w:tc>
      </w:tr>
      <w:tr>
        <w:trPr>
          <w:trHeight w:val="120" w:hRule="atLeast"/>
        </w:trPr>
        <w:tc>
          <w:tcPr>
            <w:tcW w:w="814" w:type="dxa"/>
            <w:tcBorders/>
            <w:vAlign w:val="center"/>
          </w:tcPr>
          <w:p>
            <w:pPr>
              <w:pStyle w:val="TableContents"/>
              <w:bidi w:val="0"/>
              <w:spacing w:before="0" w:after="283"/>
              <w:jc w:val="left"/>
              <w:rPr>
                <w:sz w:val="4"/>
                <w:szCs w:val="4"/>
              </w:rPr>
            </w:pPr>
            <w:r>
              <w:rPr>
                <w:sz w:val="4"/>
                <w:szCs w:val="4"/>
              </w:rPr>
            </w:r>
          </w:p>
        </w:tc>
        <w:tc>
          <w:tcPr>
            <w:tcW w:w="9391" w:type="dxa"/>
            <w:gridSpan w:val="2"/>
            <w:tcBorders/>
            <w:vAlign w:val="center"/>
          </w:tcPr>
          <w:p>
            <w:pPr>
              <w:pStyle w:val="TableContents"/>
              <w:bidi w:val="0"/>
              <w:spacing w:before="0" w:after="283"/>
              <w:jc w:val="left"/>
              <w:rPr>
                <w:sz w:val="4"/>
                <w:szCs w:val="4"/>
              </w:rPr>
            </w:pPr>
            <w:r>
              <w:rPr>
                <w:sz w:val="4"/>
                <w:szCs w:val="4"/>
              </w:rPr>
            </w:r>
          </w:p>
        </w:tc>
      </w:tr>
      <w:tr>
        <w:trPr/>
        <w:tc>
          <w:tcPr>
            <w:tcW w:w="814" w:type="dxa"/>
            <w:tcBorders/>
          </w:tcPr>
          <w:p>
            <w:pPr>
              <w:pStyle w:val="TableContents"/>
              <w:bidi w:val="0"/>
              <w:spacing w:before="0" w:after="283"/>
              <w:jc w:val="left"/>
              <w:rPr/>
            </w:pPr>
            <w:r>
              <w:rPr/>
              <w:t> </w:t>
            </w:r>
            <w:r>
              <w:rPr/>
              <w:t>24.1</w:t>
            </w:r>
          </w:p>
        </w:tc>
        <w:tc>
          <w:tcPr>
            <w:tcW w:w="312" w:type="dxa"/>
            <w:tcBorders/>
            <w:vAlign w:val="bottom"/>
          </w:tcPr>
          <w:p>
            <w:pPr>
              <w:pStyle w:val="TableContents"/>
              <w:bidi w:val="0"/>
              <w:spacing w:before="0" w:after="283"/>
              <w:jc w:val="left"/>
              <w:rPr/>
            </w:pPr>
            <w:r>
              <w:rPr/>
              <w:t>  </w:t>
            </w:r>
          </w:p>
        </w:tc>
        <w:tc>
          <w:tcPr>
            <w:tcW w:w="9079" w:type="dxa"/>
            <w:tcBorders/>
          </w:tcPr>
          <w:p>
            <w:pPr>
              <w:pStyle w:val="TableContents"/>
              <w:bidi w:val="0"/>
              <w:spacing w:before="0" w:after="283"/>
              <w:jc w:val="left"/>
              <w:rPr/>
            </w:pPr>
            <w:hyperlink w:anchor="sig">
              <w:r>
                <w:rPr>
                  <w:rStyle w:val="InternetLink"/>
                </w:rPr>
                <w:t xml:space="preserve">Powers of Attorney (included in the signature pages to the Registration Statement)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99"/>
        <w:gridCol w:w="515"/>
        <w:gridCol w:w="8891"/>
      </w:tblGrid>
      <w:tr>
        <w:trPr/>
        <w:tc>
          <w:tcPr>
            <w:tcW w:w="799"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8891" w:type="dxa"/>
            <w:tcBorders/>
            <w:vAlign w:val="center"/>
          </w:tcPr>
          <w:p>
            <w:pPr>
              <w:pStyle w:val="TableContents"/>
              <w:bidi w:val="0"/>
              <w:spacing w:before="0" w:after="283"/>
              <w:jc w:val="left"/>
              <w:rPr>
                <w:sz w:val="4"/>
                <w:szCs w:val="4"/>
              </w:rPr>
            </w:pPr>
            <w:r>
              <w:rPr>
                <w:sz w:val="4"/>
                <w:szCs w:val="4"/>
              </w:rPr>
            </w:r>
          </w:p>
        </w:tc>
      </w:tr>
      <w:tr>
        <w:trPr/>
        <w:tc>
          <w:tcPr>
            <w:tcW w:w="799" w:type="dxa"/>
            <w:tcBorders>
              <w:bottom w:val="single" w:sz="8" w:space="0" w:color="000000"/>
            </w:tcBorders>
            <w:tcMar>
              <w:bottom w:w="28" w:type="dxa"/>
            </w:tcMar>
            <w:vAlign w:val="bottom"/>
          </w:tcPr>
          <w:p>
            <w:pPr>
              <w:pStyle w:val="TableContents"/>
              <w:bidi w:val="0"/>
              <w:spacing w:before="0" w:after="283"/>
              <w:jc w:val="left"/>
              <w:rPr>
                <w:b/>
              </w:rPr>
            </w:pPr>
            <w:r>
              <w:rPr>
                <w:b/>
              </w:rPr>
              <w:t>Exhibit</w:t>
              <w:br/>
              <w:t>No.</w:t>
            </w:r>
          </w:p>
        </w:tc>
        <w:tc>
          <w:tcPr>
            <w:tcW w:w="515" w:type="dxa"/>
            <w:tcBorders/>
            <w:vAlign w:val="bottom"/>
          </w:tcPr>
          <w:p>
            <w:pPr>
              <w:pStyle w:val="TableContents"/>
              <w:bidi w:val="0"/>
              <w:spacing w:before="0" w:after="283"/>
              <w:jc w:val="left"/>
              <w:rPr/>
            </w:pPr>
            <w:r>
              <w:rPr/>
              <w:t>  </w:t>
            </w:r>
          </w:p>
        </w:tc>
        <w:tc>
          <w:tcPr>
            <w:tcW w:w="889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99" w:type="dxa"/>
            <w:tcBorders/>
            <w:vAlign w:val="center"/>
          </w:tcPr>
          <w:p>
            <w:pPr>
              <w:pStyle w:val="TableContents"/>
              <w:bidi w:val="0"/>
              <w:spacing w:before="0" w:after="283"/>
              <w:jc w:val="left"/>
              <w:rPr>
                <w:sz w:val="4"/>
                <w:szCs w:val="4"/>
              </w:rPr>
            </w:pPr>
            <w:r>
              <w:rPr>
                <w:sz w:val="4"/>
                <w:szCs w:val="4"/>
              </w:rPr>
            </w:r>
          </w:p>
        </w:tc>
        <w:tc>
          <w:tcPr>
            <w:tcW w:w="9406" w:type="dxa"/>
            <w:gridSpan w:val="2"/>
            <w:tcBorders/>
            <w:vAlign w:val="center"/>
          </w:tcPr>
          <w:p>
            <w:pPr>
              <w:pStyle w:val="TableContents"/>
              <w:bidi w:val="0"/>
              <w:spacing w:before="0" w:after="283"/>
              <w:jc w:val="left"/>
              <w:rPr>
                <w:sz w:val="4"/>
                <w:szCs w:val="4"/>
              </w:rPr>
            </w:pPr>
            <w:r>
              <w:rPr>
                <w:sz w:val="4"/>
                <w:szCs w:val="4"/>
              </w:rPr>
            </w:r>
          </w:p>
        </w:tc>
      </w:tr>
      <w:tr>
        <w:trPr/>
        <w:tc>
          <w:tcPr>
            <w:tcW w:w="799" w:type="dxa"/>
            <w:tcBorders/>
          </w:tcPr>
          <w:p>
            <w:pPr>
              <w:pStyle w:val="TableContents"/>
              <w:bidi w:val="0"/>
              <w:spacing w:before="0" w:after="283"/>
              <w:jc w:val="left"/>
              <w:rPr/>
            </w:pPr>
            <w:r>
              <w:rPr/>
              <w:t> </w:t>
            </w:r>
            <w:r>
              <w:rPr/>
              <w:t>25.1**</w:t>
            </w:r>
          </w:p>
        </w:tc>
        <w:tc>
          <w:tcPr>
            <w:tcW w:w="515"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r>
              <w:rPr/>
              <w:t>Statement of Eligibility on Form T-1 under the Trust Indenture Act of 1939, as amended, of the Trustee under the Senior Indenture</w:t>
            </w:r>
          </w:p>
        </w:tc>
      </w:tr>
      <w:tr>
        <w:trPr>
          <w:trHeight w:val="120" w:hRule="atLeast"/>
        </w:trPr>
        <w:tc>
          <w:tcPr>
            <w:tcW w:w="799" w:type="dxa"/>
            <w:tcBorders/>
            <w:vAlign w:val="center"/>
          </w:tcPr>
          <w:p>
            <w:pPr>
              <w:pStyle w:val="TableContents"/>
              <w:bidi w:val="0"/>
              <w:spacing w:before="0" w:after="283"/>
              <w:jc w:val="left"/>
              <w:rPr>
                <w:sz w:val="4"/>
                <w:szCs w:val="4"/>
              </w:rPr>
            </w:pPr>
            <w:r>
              <w:rPr>
                <w:sz w:val="4"/>
                <w:szCs w:val="4"/>
              </w:rPr>
            </w:r>
          </w:p>
        </w:tc>
        <w:tc>
          <w:tcPr>
            <w:tcW w:w="9406" w:type="dxa"/>
            <w:gridSpan w:val="2"/>
            <w:tcBorders/>
            <w:vAlign w:val="center"/>
          </w:tcPr>
          <w:p>
            <w:pPr>
              <w:pStyle w:val="TableContents"/>
              <w:bidi w:val="0"/>
              <w:spacing w:before="0" w:after="283"/>
              <w:jc w:val="left"/>
              <w:rPr>
                <w:sz w:val="4"/>
                <w:szCs w:val="4"/>
              </w:rPr>
            </w:pPr>
            <w:r>
              <w:rPr>
                <w:sz w:val="4"/>
                <w:szCs w:val="4"/>
              </w:rPr>
            </w:r>
          </w:p>
        </w:tc>
      </w:tr>
      <w:tr>
        <w:trPr/>
        <w:tc>
          <w:tcPr>
            <w:tcW w:w="799" w:type="dxa"/>
            <w:tcBorders/>
          </w:tcPr>
          <w:p>
            <w:pPr>
              <w:pStyle w:val="TableContents"/>
              <w:bidi w:val="0"/>
              <w:spacing w:before="0" w:after="283"/>
              <w:jc w:val="left"/>
              <w:rPr/>
            </w:pPr>
            <w:r>
              <w:rPr/>
              <w:t> </w:t>
            </w:r>
            <w:r>
              <w:rPr/>
              <w:t>25.2**</w:t>
            </w:r>
          </w:p>
        </w:tc>
        <w:tc>
          <w:tcPr>
            <w:tcW w:w="515"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r>
              <w:rPr/>
              <w:t>Statement of Eligibility on Form T-1 under the Trust Indenture Act of 1939, as amended, of the Trustee under the Subordinated Indenture</w:t>
            </w:r>
          </w:p>
        </w:tc>
      </w:tr>
      <w:tr>
        <w:trPr>
          <w:trHeight w:val="120" w:hRule="atLeast"/>
        </w:trPr>
        <w:tc>
          <w:tcPr>
            <w:tcW w:w="799" w:type="dxa"/>
            <w:tcBorders/>
            <w:vAlign w:val="center"/>
          </w:tcPr>
          <w:p>
            <w:pPr>
              <w:pStyle w:val="TableContents"/>
              <w:bidi w:val="0"/>
              <w:spacing w:before="0" w:after="283"/>
              <w:jc w:val="left"/>
              <w:rPr>
                <w:sz w:val="4"/>
                <w:szCs w:val="4"/>
              </w:rPr>
            </w:pPr>
            <w:r>
              <w:rPr>
                <w:sz w:val="4"/>
                <w:szCs w:val="4"/>
              </w:rPr>
            </w:r>
          </w:p>
        </w:tc>
        <w:tc>
          <w:tcPr>
            <w:tcW w:w="9406" w:type="dxa"/>
            <w:gridSpan w:val="2"/>
            <w:tcBorders/>
            <w:vAlign w:val="center"/>
          </w:tcPr>
          <w:p>
            <w:pPr>
              <w:pStyle w:val="TableContents"/>
              <w:bidi w:val="0"/>
              <w:spacing w:before="0" w:after="283"/>
              <w:jc w:val="left"/>
              <w:rPr>
                <w:sz w:val="4"/>
                <w:szCs w:val="4"/>
              </w:rPr>
            </w:pPr>
            <w:r>
              <w:rPr>
                <w:sz w:val="4"/>
                <w:szCs w:val="4"/>
              </w:rPr>
            </w:r>
          </w:p>
        </w:tc>
      </w:tr>
      <w:tr>
        <w:trPr/>
        <w:tc>
          <w:tcPr>
            <w:tcW w:w="799" w:type="dxa"/>
            <w:tcBorders/>
          </w:tcPr>
          <w:p>
            <w:pPr>
              <w:pStyle w:val="TableContents"/>
              <w:bidi w:val="0"/>
              <w:spacing w:before="0" w:after="283"/>
              <w:jc w:val="left"/>
              <w:rPr/>
            </w:pPr>
            <w:r>
              <w:rPr/>
              <w:t>107</w:t>
            </w:r>
          </w:p>
        </w:tc>
        <w:tc>
          <w:tcPr>
            <w:tcW w:w="515"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d274438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or by a Current Report on Form 8-K.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pursuant to Section 305(b)(2) of the Trust Indenture Act of 1939.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(a)(1)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this registration statement or any material change to such information in this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do not apply if the information required to be included in a post-effective amendment by those paragraphs is contained in reports filed with or furnished to the Commission by a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a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(5) 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such undersigned Registrant relating to the offering required to be filed pursuant to Rule 424; </w:t>
      </w:r>
    </w:p>
    <w:p>
      <w:pPr>
        <w:pStyle w:val="TextBody"/>
        <w:bidi w:val="0"/>
        <w:spacing w:before="24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such undersigned Registrant or used or referred to by such undersigned Registrant; </w:t>
      </w:r>
    </w:p>
    <w:p>
      <w:pPr>
        <w:pStyle w:val="TextBody"/>
        <w:bidi w:val="0"/>
        <w:spacing w:before="24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such undersigned Registrant or its securities provided by or on behalf of such undersigned Registrant; and </w:t>
      </w:r>
    </w:p>
    <w:p>
      <w:pPr>
        <w:pStyle w:val="TextBody"/>
        <w:bidi w:val="0"/>
        <w:spacing w:before="240" w:after="0"/>
        <w:jc w:val="left"/>
        <w:rPr>
          <w:rFonts w:ascii="Times New Roman" w:hAnsi="Times New Roman"/>
          <w:sz w:val="20"/>
        </w:rPr>
      </w:pPr>
      <w:r>
        <w:rPr>
          <w:rFonts w:ascii="Times New Roman" w:hAnsi="Times New Roman"/>
          <w:sz w:val="20"/>
        </w:rPr>
        <w:t xml:space="preserve">(iv) any other communication that is an offer in the offering made by such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(b) That, for purposes of determining any liability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 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 </w:t>
      </w:r>
    </w:p>
    <w:p>
      <w:pPr>
        <w:pStyle w:val="TextBody"/>
        <w:bidi w:val="0"/>
        <w:spacing w:before="240" w:after="0"/>
        <w:jc w:val="left"/>
        <w:rPr>
          <w:rFonts w:ascii="Times New Roman" w:hAnsi="Times New Roman"/>
          <w:sz w:val="20"/>
        </w:rPr>
      </w:pPr>
      <w:r>
        <w:rPr>
          <w:rFonts w:ascii="Times New Roman" w:hAnsi="Times New Roman"/>
          <w:sz w:val="20"/>
        </w:rPr>
        <w:t xml:space="preserve">(ii)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(d) 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(e) Insofar as indemnification for liabilities arising under the Securities Act may be permitted to directors, officers and controlling persons of any Registrant pursuant to the indemnification provisions described herein, or otherwise, each Registrant has been advised that in the opinion of the Commission such indemnification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Charlestown, Commonwealth of Massachusetts, on this 6th day of August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1"/>
        <w:gridCol w:w="60"/>
        <w:gridCol w:w="3321"/>
      </w:tblGrid>
      <w:tr>
        <w:trPr/>
        <w:tc>
          <w:tcPr>
            <w:tcW w:w="7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SOLID BIOSCIENCES INC.</w:t>
            </w:r>
          </w:p>
        </w:tc>
      </w:tr>
      <w:tr>
        <w:trPr>
          <w:trHeight w:val="240" w:hRule="atLeast"/>
        </w:trPr>
        <w:tc>
          <w:tcPr>
            <w:tcW w:w="701" w:type="dxa"/>
            <w:tcBorders/>
            <w:vAlign w:val="center"/>
          </w:tcPr>
          <w:p>
            <w:pPr>
              <w:pStyle w:val="TableContents"/>
              <w:bidi w:val="0"/>
              <w:spacing w:before="0" w:after="283"/>
              <w:jc w:val="left"/>
              <w:rPr>
                <w:sz w:val="4"/>
                <w:szCs w:val="4"/>
              </w:rPr>
            </w:pPr>
            <w:r>
              <w:rPr>
                <w:sz w:val="4"/>
                <w:szCs w:val="4"/>
              </w:rPr>
            </w:r>
          </w:p>
        </w:tc>
        <w:tc>
          <w:tcPr>
            <w:tcW w:w="3381" w:type="dxa"/>
            <w:gridSpan w:val="2"/>
            <w:tcBorders/>
            <w:vAlign w:val="center"/>
          </w:tcPr>
          <w:p>
            <w:pPr>
              <w:pStyle w:val="TableContents"/>
              <w:bidi w:val="0"/>
              <w:spacing w:before="0" w:after="283"/>
              <w:jc w:val="left"/>
              <w:rPr>
                <w:sz w:val="4"/>
                <w:szCs w:val="4"/>
              </w:rPr>
            </w:pPr>
            <w:r>
              <w:rPr>
                <w:sz w:val="4"/>
                <w:szCs w:val="4"/>
              </w:rPr>
            </w:r>
          </w:p>
        </w:tc>
      </w:tr>
      <w:tr>
        <w:trPr/>
        <w:tc>
          <w:tcPr>
            <w:tcW w:w="70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1" w:type="dxa"/>
            <w:tcBorders>
              <w:bottom w:val="single" w:sz="2" w:space="0" w:color="000000"/>
            </w:tcBorders>
            <w:tcMar>
              <w:bottom w:w="28" w:type="dxa"/>
            </w:tcMar>
          </w:tcPr>
          <w:p>
            <w:pPr>
              <w:pStyle w:val="TableContents"/>
              <w:bidi w:val="0"/>
              <w:spacing w:before="0" w:after="283"/>
              <w:jc w:val="left"/>
              <w:rPr/>
            </w:pPr>
            <w:r>
              <w:rPr/>
              <w:t>/s/ Alexander Cumbo</w:t>
            </w:r>
          </w:p>
        </w:tc>
      </w:tr>
      <w:tr>
        <w:trPr/>
        <w:tc>
          <w:tcPr>
            <w:tcW w:w="70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1" w:type="dxa"/>
            <w:tcBorders/>
            <w:vAlign w:val="bottom"/>
          </w:tcPr>
          <w:p>
            <w:pPr>
              <w:pStyle w:val="TableContents"/>
              <w:bidi w:val="0"/>
              <w:spacing w:before="0" w:after="283"/>
              <w:jc w:val="left"/>
              <w:rPr/>
            </w:pPr>
            <w:r>
              <w:rPr/>
              <w:t>Alexander Cumbo</w:t>
            </w:r>
          </w:p>
        </w:tc>
      </w:tr>
      <w:tr>
        <w:trPr/>
        <w:tc>
          <w:tcPr>
            <w:tcW w:w="70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1" w:type="dxa"/>
            <w:tcBorders/>
            <w:vAlign w:val="bottom"/>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sig"/>
      <w:bookmarkEnd w:id="19"/>
      <w:r>
        <w:rPr>
          <w:rFonts w:ascii="Times New Roman" w:hAnsi="Times New Roman"/>
          <w:b/>
          <w:sz w:val="20"/>
        </w:rPr>
        <w:t xml:space="preserve">SIGNATURES AND 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We, the undersigned officers and directors of Solid Biosciences Inc. hereby severally constitute and appoint Alexander Cumbo, Kevin Tan and Ty Howton, and each of them singly, our true and lawful attorneys-in-fact with full power to any of them, and to each of them singly, to sign for us and in our names in the capacities indicated below the Registration Statement on Form S-3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all such things in our name and on our behalf in our capacities as officers and directors to enable Solid Biosciences Inc.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59"/>
        <w:gridCol w:w="120"/>
        <w:gridCol w:w="5504"/>
        <w:gridCol w:w="174"/>
        <w:gridCol w:w="1848"/>
      </w:tblGrid>
      <w:tr>
        <w:trPr/>
        <w:tc>
          <w:tcPr>
            <w:tcW w:w="25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504"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255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55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74" w:type="dxa"/>
            <w:tcBorders/>
            <w:vAlign w:val="bottom"/>
          </w:tcPr>
          <w:p>
            <w:pPr>
              <w:pStyle w:val="TableContents"/>
              <w:bidi w:val="0"/>
              <w:spacing w:before="0" w:after="283"/>
              <w:jc w:val="left"/>
              <w:rPr/>
            </w:pPr>
            <w:r>
              <w:rPr/>
              <w:t> </w:t>
            </w:r>
          </w:p>
        </w:tc>
        <w:tc>
          <w:tcPr>
            <w:tcW w:w="18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2559" w:type="dxa"/>
            <w:tcBorders/>
            <w:vAlign w:val="center"/>
          </w:tcPr>
          <w:p>
            <w:pPr>
              <w:pStyle w:val="TableContents"/>
              <w:bidi w:val="0"/>
              <w:spacing w:before="0" w:after="283"/>
              <w:jc w:val="left"/>
              <w:rPr>
                <w:sz w:val="4"/>
                <w:szCs w:val="4"/>
              </w:rPr>
            </w:pPr>
            <w:r>
              <w:rPr>
                <w:sz w:val="4"/>
                <w:szCs w:val="4"/>
              </w:rPr>
            </w:r>
          </w:p>
        </w:tc>
        <w:tc>
          <w:tcPr>
            <w:tcW w:w="5624" w:type="dxa"/>
            <w:gridSpan w:val="2"/>
            <w:tcBorders/>
            <w:vAlign w:val="center"/>
          </w:tcPr>
          <w:p>
            <w:pPr>
              <w:pStyle w:val="TableContents"/>
              <w:bidi w:val="0"/>
              <w:spacing w:before="0" w:after="283"/>
              <w:jc w:val="left"/>
              <w:rPr>
                <w:sz w:val="4"/>
                <w:szCs w:val="4"/>
              </w:rPr>
            </w:pPr>
            <w:r>
              <w:rPr>
                <w:sz w:val="4"/>
                <w:szCs w:val="4"/>
              </w:rPr>
            </w:r>
          </w:p>
        </w:tc>
        <w:tc>
          <w:tcPr>
            <w:tcW w:w="2022" w:type="dxa"/>
            <w:gridSpan w:val="2"/>
            <w:tcBorders/>
            <w:vAlign w:val="center"/>
          </w:tcPr>
          <w:p>
            <w:pPr>
              <w:pStyle w:val="TableContents"/>
              <w:bidi w:val="0"/>
              <w:spacing w:before="0" w:after="283"/>
              <w:jc w:val="left"/>
              <w:rPr>
                <w:sz w:val="4"/>
                <w:szCs w:val="4"/>
              </w:rPr>
            </w:pPr>
            <w:r>
              <w:rPr>
                <w:sz w:val="4"/>
                <w:szCs w:val="4"/>
              </w:rPr>
            </w:r>
          </w:p>
        </w:tc>
      </w:tr>
      <w:tr>
        <w:trPr/>
        <w:tc>
          <w:tcPr>
            <w:tcW w:w="25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Alexander Cumbo</w:t>
            </w:r>
          </w:p>
          <w:p>
            <w:pPr>
              <w:pStyle w:val="TableContents"/>
              <w:bidi w:val="0"/>
              <w:spacing w:before="0" w:after="20"/>
              <w:jc w:val="left"/>
              <w:rPr>
                <w:rFonts w:ascii="Times New Roman" w:hAnsi="Times New Roman"/>
                <w:sz w:val="20"/>
              </w:rPr>
            </w:pPr>
            <w:r>
              <w:rPr>
                <w:rFonts w:ascii="Times New Roman" w:hAnsi="Times New Roman"/>
                <w:sz w:val="20"/>
              </w:rPr>
              <w:t>Alexander Cumbo</w:t>
            </w:r>
          </w:p>
        </w:tc>
        <w:tc>
          <w:tcPr>
            <w:tcW w:w="120"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74" w:type="dxa"/>
            <w:tcBorders/>
            <w:vAlign w:val="bottom"/>
          </w:tcPr>
          <w:p>
            <w:pPr>
              <w:pStyle w:val="TableContents"/>
              <w:bidi w:val="0"/>
              <w:spacing w:before="0" w:after="283"/>
              <w:jc w:val="left"/>
              <w:rPr/>
            </w:pPr>
            <w:r>
              <w:rPr/>
              <w:t> </w:t>
            </w:r>
          </w:p>
        </w:tc>
        <w:tc>
          <w:tcPr>
            <w:tcW w:w="1848" w:type="dxa"/>
            <w:tcBorders/>
          </w:tcPr>
          <w:p>
            <w:pPr>
              <w:pStyle w:val="TableContents"/>
              <w:bidi w:val="0"/>
              <w:spacing w:before="0" w:after="283"/>
              <w:jc w:val="center"/>
              <w:rPr/>
            </w:pPr>
            <w:r>
              <w:rPr/>
              <w:t>August 6, 2026</w:t>
            </w:r>
          </w:p>
        </w:tc>
      </w:tr>
      <w:tr>
        <w:trPr>
          <w:trHeight w:val="240" w:hRule="atLeast"/>
        </w:trPr>
        <w:tc>
          <w:tcPr>
            <w:tcW w:w="2559" w:type="dxa"/>
            <w:tcBorders/>
            <w:vAlign w:val="center"/>
          </w:tcPr>
          <w:p>
            <w:pPr>
              <w:pStyle w:val="TableContents"/>
              <w:bidi w:val="0"/>
              <w:spacing w:before="0" w:after="283"/>
              <w:jc w:val="left"/>
              <w:rPr>
                <w:sz w:val="4"/>
                <w:szCs w:val="4"/>
              </w:rPr>
            </w:pPr>
            <w:r>
              <w:rPr>
                <w:sz w:val="4"/>
                <w:szCs w:val="4"/>
              </w:rPr>
            </w:r>
          </w:p>
        </w:tc>
        <w:tc>
          <w:tcPr>
            <w:tcW w:w="5624" w:type="dxa"/>
            <w:gridSpan w:val="2"/>
            <w:tcBorders/>
            <w:vAlign w:val="center"/>
          </w:tcPr>
          <w:p>
            <w:pPr>
              <w:pStyle w:val="TableContents"/>
              <w:bidi w:val="0"/>
              <w:spacing w:before="0" w:after="283"/>
              <w:jc w:val="left"/>
              <w:rPr>
                <w:sz w:val="4"/>
                <w:szCs w:val="4"/>
              </w:rPr>
            </w:pPr>
            <w:r>
              <w:rPr>
                <w:sz w:val="4"/>
                <w:szCs w:val="4"/>
              </w:rPr>
            </w:r>
          </w:p>
        </w:tc>
        <w:tc>
          <w:tcPr>
            <w:tcW w:w="2022" w:type="dxa"/>
            <w:gridSpan w:val="2"/>
            <w:tcBorders/>
            <w:vAlign w:val="center"/>
          </w:tcPr>
          <w:p>
            <w:pPr>
              <w:pStyle w:val="TableContents"/>
              <w:bidi w:val="0"/>
              <w:spacing w:before="0" w:after="283"/>
              <w:jc w:val="left"/>
              <w:rPr>
                <w:sz w:val="4"/>
                <w:szCs w:val="4"/>
              </w:rPr>
            </w:pPr>
            <w:r>
              <w:rPr>
                <w:sz w:val="4"/>
                <w:szCs w:val="4"/>
              </w:rPr>
            </w:r>
          </w:p>
        </w:tc>
      </w:tr>
      <w:tr>
        <w:trPr/>
        <w:tc>
          <w:tcPr>
            <w:tcW w:w="25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Kevin Tan</w:t>
            </w:r>
          </w:p>
          <w:p>
            <w:pPr>
              <w:pStyle w:val="TableContents"/>
              <w:bidi w:val="0"/>
              <w:spacing w:before="0" w:after="20"/>
              <w:jc w:val="left"/>
              <w:rPr>
                <w:rFonts w:ascii="Times New Roman" w:hAnsi="Times New Roman"/>
                <w:sz w:val="20"/>
              </w:rPr>
            </w:pPr>
            <w:r>
              <w:rPr>
                <w:rFonts w:ascii="Times New Roman" w:hAnsi="Times New Roman"/>
                <w:sz w:val="20"/>
              </w:rPr>
              <w:t>Kevin Tan</w:t>
            </w:r>
          </w:p>
        </w:tc>
        <w:tc>
          <w:tcPr>
            <w:tcW w:w="120"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and Accounting Officer)</w:t>
            </w:r>
          </w:p>
        </w:tc>
        <w:tc>
          <w:tcPr>
            <w:tcW w:w="174" w:type="dxa"/>
            <w:tcBorders/>
            <w:vAlign w:val="bottom"/>
          </w:tcPr>
          <w:p>
            <w:pPr>
              <w:pStyle w:val="TableContents"/>
              <w:bidi w:val="0"/>
              <w:spacing w:before="0" w:after="283"/>
              <w:jc w:val="left"/>
              <w:rPr/>
            </w:pPr>
            <w:r>
              <w:rPr/>
              <w:t> </w:t>
            </w:r>
          </w:p>
        </w:tc>
        <w:tc>
          <w:tcPr>
            <w:tcW w:w="1848" w:type="dxa"/>
            <w:tcBorders/>
          </w:tcPr>
          <w:p>
            <w:pPr>
              <w:pStyle w:val="TableContents"/>
              <w:bidi w:val="0"/>
              <w:spacing w:before="0" w:after="283"/>
              <w:jc w:val="center"/>
              <w:rPr/>
            </w:pPr>
            <w:r>
              <w:rPr/>
              <w:t>August 6, 2026</w:t>
            </w:r>
          </w:p>
        </w:tc>
      </w:tr>
      <w:tr>
        <w:trPr>
          <w:trHeight w:val="240" w:hRule="atLeast"/>
        </w:trPr>
        <w:tc>
          <w:tcPr>
            <w:tcW w:w="2559" w:type="dxa"/>
            <w:tcBorders/>
            <w:vAlign w:val="center"/>
          </w:tcPr>
          <w:p>
            <w:pPr>
              <w:pStyle w:val="TableContents"/>
              <w:bidi w:val="0"/>
              <w:spacing w:before="0" w:after="283"/>
              <w:jc w:val="left"/>
              <w:rPr>
                <w:sz w:val="4"/>
                <w:szCs w:val="4"/>
              </w:rPr>
            </w:pPr>
            <w:r>
              <w:rPr>
                <w:sz w:val="4"/>
                <w:szCs w:val="4"/>
              </w:rPr>
            </w:r>
          </w:p>
        </w:tc>
        <w:tc>
          <w:tcPr>
            <w:tcW w:w="5624" w:type="dxa"/>
            <w:gridSpan w:val="2"/>
            <w:tcBorders/>
            <w:vAlign w:val="center"/>
          </w:tcPr>
          <w:p>
            <w:pPr>
              <w:pStyle w:val="TableContents"/>
              <w:bidi w:val="0"/>
              <w:spacing w:before="0" w:after="283"/>
              <w:jc w:val="left"/>
              <w:rPr>
                <w:sz w:val="4"/>
                <w:szCs w:val="4"/>
              </w:rPr>
            </w:pPr>
            <w:r>
              <w:rPr>
                <w:sz w:val="4"/>
                <w:szCs w:val="4"/>
              </w:rPr>
            </w:r>
          </w:p>
        </w:tc>
        <w:tc>
          <w:tcPr>
            <w:tcW w:w="2022" w:type="dxa"/>
            <w:gridSpan w:val="2"/>
            <w:tcBorders/>
            <w:vAlign w:val="center"/>
          </w:tcPr>
          <w:p>
            <w:pPr>
              <w:pStyle w:val="TableContents"/>
              <w:bidi w:val="0"/>
              <w:spacing w:before="0" w:after="283"/>
              <w:jc w:val="left"/>
              <w:rPr>
                <w:sz w:val="4"/>
                <w:szCs w:val="4"/>
              </w:rPr>
            </w:pPr>
            <w:r>
              <w:rPr>
                <w:sz w:val="4"/>
                <w:szCs w:val="4"/>
              </w:rPr>
            </w:r>
          </w:p>
        </w:tc>
      </w:tr>
      <w:tr>
        <w:trPr/>
        <w:tc>
          <w:tcPr>
            <w:tcW w:w="25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Ian F. Smith</w:t>
            </w:r>
          </w:p>
          <w:p>
            <w:pPr>
              <w:pStyle w:val="TableContents"/>
              <w:bidi w:val="0"/>
              <w:spacing w:before="0" w:after="20"/>
              <w:jc w:val="left"/>
              <w:rPr>
                <w:rFonts w:ascii="Times New Roman" w:hAnsi="Times New Roman"/>
                <w:sz w:val="20"/>
              </w:rPr>
            </w:pPr>
            <w:r>
              <w:rPr>
                <w:rFonts w:ascii="Times New Roman" w:hAnsi="Times New Roman"/>
                <w:sz w:val="20"/>
              </w:rPr>
              <w:t>Ian F. Smith</w:t>
            </w:r>
          </w:p>
        </w:tc>
        <w:tc>
          <w:tcPr>
            <w:tcW w:w="120"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center"/>
              <w:rPr/>
            </w:pPr>
            <w:r>
              <w:rPr/>
              <w:t>Executive Chairman of the Board of Directors</w:t>
            </w:r>
          </w:p>
        </w:tc>
        <w:tc>
          <w:tcPr>
            <w:tcW w:w="174" w:type="dxa"/>
            <w:tcBorders/>
            <w:vAlign w:val="bottom"/>
          </w:tcPr>
          <w:p>
            <w:pPr>
              <w:pStyle w:val="TableContents"/>
              <w:bidi w:val="0"/>
              <w:spacing w:before="0" w:after="283"/>
              <w:jc w:val="left"/>
              <w:rPr/>
            </w:pPr>
            <w:r>
              <w:rPr/>
              <w:t> </w:t>
            </w:r>
          </w:p>
        </w:tc>
        <w:tc>
          <w:tcPr>
            <w:tcW w:w="1848" w:type="dxa"/>
            <w:tcBorders/>
          </w:tcPr>
          <w:p>
            <w:pPr>
              <w:pStyle w:val="TableContents"/>
              <w:bidi w:val="0"/>
              <w:spacing w:before="0" w:after="283"/>
              <w:jc w:val="center"/>
              <w:rPr/>
            </w:pPr>
            <w:r>
              <w:rPr/>
              <w:t>August 6, 2026</w:t>
            </w:r>
          </w:p>
        </w:tc>
      </w:tr>
      <w:tr>
        <w:trPr>
          <w:trHeight w:val="240" w:hRule="atLeast"/>
        </w:trPr>
        <w:tc>
          <w:tcPr>
            <w:tcW w:w="2559" w:type="dxa"/>
            <w:tcBorders/>
            <w:vAlign w:val="center"/>
          </w:tcPr>
          <w:p>
            <w:pPr>
              <w:pStyle w:val="TableContents"/>
              <w:bidi w:val="0"/>
              <w:spacing w:before="0" w:after="283"/>
              <w:jc w:val="left"/>
              <w:rPr>
                <w:sz w:val="4"/>
                <w:szCs w:val="4"/>
              </w:rPr>
            </w:pPr>
            <w:r>
              <w:rPr>
                <w:sz w:val="4"/>
                <w:szCs w:val="4"/>
              </w:rPr>
            </w:r>
          </w:p>
        </w:tc>
        <w:tc>
          <w:tcPr>
            <w:tcW w:w="5624" w:type="dxa"/>
            <w:gridSpan w:val="2"/>
            <w:tcBorders/>
            <w:vAlign w:val="center"/>
          </w:tcPr>
          <w:p>
            <w:pPr>
              <w:pStyle w:val="TableContents"/>
              <w:bidi w:val="0"/>
              <w:spacing w:before="0" w:after="283"/>
              <w:jc w:val="left"/>
              <w:rPr>
                <w:sz w:val="4"/>
                <w:szCs w:val="4"/>
              </w:rPr>
            </w:pPr>
            <w:r>
              <w:rPr>
                <w:sz w:val="4"/>
                <w:szCs w:val="4"/>
              </w:rPr>
            </w:r>
          </w:p>
        </w:tc>
        <w:tc>
          <w:tcPr>
            <w:tcW w:w="2022" w:type="dxa"/>
            <w:gridSpan w:val="2"/>
            <w:tcBorders/>
            <w:vAlign w:val="center"/>
          </w:tcPr>
          <w:p>
            <w:pPr>
              <w:pStyle w:val="TableContents"/>
              <w:bidi w:val="0"/>
              <w:spacing w:before="0" w:after="283"/>
              <w:jc w:val="left"/>
              <w:rPr>
                <w:sz w:val="4"/>
                <w:szCs w:val="4"/>
              </w:rPr>
            </w:pPr>
            <w:r>
              <w:rPr>
                <w:sz w:val="4"/>
                <w:szCs w:val="4"/>
              </w:rPr>
            </w:r>
          </w:p>
        </w:tc>
      </w:tr>
      <w:tr>
        <w:trPr/>
        <w:tc>
          <w:tcPr>
            <w:tcW w:w="25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Martin Freed</w:t>
            </w:r>
          </w:p>
          <w:p>
            <w:pPr>
              <w:pStyle w:val="TableContents"/>
              <w:bidi w:val="0"/>
              <w:spacing w:before="0" w:after="20"/>
              <w:jc w:val="left"/>
              <w:rPr>
                <w:rFonts w:ascii="Times New Roman" w:hAnsi="Times New Roman"/>
                <w:sz w:val="20"/>
              </w:rPr>
            </w:pPr>
            <w:r>
              <w:rPr>
                <w:rFonts w:ascii="Times New Roman" w:hAnsi="Times New Roman"/>
                <w:sz w:val="20"/>
              </w:rPr>
              <w:t>Martin Freed, M.D.</w:t>
            </w:r>
          </w:p>
        </w:tc>
        <w:tc>
          <w:tcPr>
            <w:tcW w:w="120"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center"/>
              <w:rPr/>
            </w:pPr>
            <w:r>
              <w:rPr/>
              <w:t>Director</w:t>
            </w:r>
          </w:p>
        </w:tc>
        <w:tc>
          <w:tcPr>
            <w:tcW w:w="174" w:type="dxa"/>
            <w:tcBorders/>
            <w:vAlign w:val="bottom"/>
          </w:tcPr>
          <w:p>
            <w:pPr>
              <w:pStyle w:val="TableContents"/>
              <w:bidi w:val="0"/>
              <w:spacing w:before="0" w:after="283"/>
              <w:jc w:val="left"/>
              <w:rPr/>
            </w:pPr>
            <w:r>
              <w:rPr/>
              <w:t> </w:t>
            </w:r>
          </w:p>
        </w:tc>
        <w:tc>
          <w:tcPr>
            <w:tcW w:w="1848" w:type="dxa"/>
            <w:tcBorders/>
          </w:tcPr>
          <w:p>
            <w:pPr>
              <w:pStyle w:val="TableContents"/>
              <w:bidi w:val="0"/>
              <w:spacing w:before="0" w:after="283"/>
              <w:jc w:val="center"/>
              <w:rPr/>
            </w:pPr>
            <w:r>
              <w:rPr/>
              <w:t>August 6, 2026</w:t>
            </w:r>
          </w:p>
        </w:tc>
      </w:tr>
      <w:tr>
        <w:trPr>
          <w:trHeight w:val="240" w:hRule="atLeast"/>
        </w:trPr>
        <w:tc>
          <w:tcPr>
            <w:tcW w:w="2559" w:type="dxa"/>
            <w:tcBorders/>
            <w:vAlign w:val="center"/>
          </w:tcPr>
          <w:p>
            <w:pPr>
              <w:pStyle w:val="TableContents"/>
              <w:bidi w:val="0"/>
              <w:spacing w:before="0" w:after="283"/>
              <w:jc w:val="left"/>
              <w:rPr>
                <w:sz w:val="4"/>
                <w:szCs w:val="4"/>
              </w:rPr>
            </w:pPr>
            <w:r>
              <w:rPr>
                <w:sz w:val="4"/>
                <w:szCs w:val="4"/>
              </w:rPr>
            </w:r>
          </w:p>
        </w:tc>
        <w:tc>
          <w:tcPr>
            <w:tcW w:w="5624" w:type="dxa"/>
            <w:gridSpan w:val="2"/>
            <w:tcBorders/>
            <w:vAlign w:val="center"/>
          </w:tcPr>
          <w:p>
            <w:pPr>
              <w:pStyle w:val="TableContents"/>
              <w:bidi w:val="0"/>
              <w:spacing w:before="0" w:after="283"/>
              <w:jc w:val="left"/>
              <w:rPr>
                <w:sz w:val="4"/>
                <w:szCs w:val="4"/>
              </w:rPr>
            </w:pPr>
            <w:r>
              <w:rPr>
                <w:sz w:val="4"/>
                <w:szCs w:val="4"/>
              </w:rPr>
            </w:r>
          </w:p>
        </w:tc>
        <w:tc>
          <w:tcPr>
            <w:tcW w:w="2022" w:type="dxa"/>
            <w:gridSpan w:val="2"/>
            <w:tcBorders/>
            <w:vAlign w:val="center"/>
          </w:tcPr>
          <w:p>
            <w:pPr>
              <w:pStyle w:val="TableContents"/>
              <w:bidi w:val="0"/>
              <w:spacing w:before="0" w:after="283"/>
              <w:jc w:val="left"/>
              <w:rPr>
                <w:sz w:val="4"/>
                <w:szCs w:val="4"/>
              </w:rPr>
            </w:pPr>
            <w:r>
              <w:rPr>
                <w:sz w:val="4"/>
                <w:szCs w:val="4"/>
              </w:rPr>
            </w:r>
          </w:p>
        </w:tc>
      </w:tr>
      <w:tr>
        <w:trPr/>
        <w:tc>
          <w:tcPr>
            <w:tcW w:w="25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Ilan Ganot</w:t>
            </w:r>
          </w:p>
          <w:p>
            <w:pPr>
              <w:pStyle w:val="TableContents"/>
              <w:bidi w:val="0"/>
              <w:spacing w:before="0" w:after="20"/>
              <w:jc w:val="left"/>
              <w:rPr>
                <w:rFonts w:ascii="Times New Roman" w:hAnsi="Times New Roman"/>
                <w:sz w:val="20"/>
              </w:rPr>
            </w:pPr>
            <w:r>
              <w:rPr>
                <w:rFonts w:ascii="Times New Roman" w:hAnsi="Times New Roman"/>
                <w:sz w:val="20"/>
              </w:rPr>
              <w:t>Ilan Ganot</w:t>
            </w:r>
          </w:p>
        </w:tc>
        <w:tc>
          <w:tcPr>
            <w:tcW w:w="120"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center"/>
              <w:rPr/>
            </w:pPr>
            <w:r>
              <w:rPr/>
              <w:t>Director</w:t>
            </w:r>
          </w:p>
        </w:tc>
        <w:tc>
          <w:tcPr>
            <w:tcW w:w="174" w:type="dxa"/>
            <w:tcBorders/>
            <w:vAlign w:val="bottom"/>
          </w:tcPr>
          <w:p>
            <w:pPr>
              <w:pStyle w:val="TableContents"/>
              <w:bidi w:val="0"/>
              <w:spacing w:before="0" w:after="283"/>
              <w:jc w:val="left"/>
              <w:rPr/>
            </w:pPr>
            <w:r>
              <w:rPr/>
              <w:t> </w:t>
            </w:r>
          </w:p>
        </w:tc>
        <w:tc>
          <w:tcPr>
            <w:tcW w:w="1848" w:type="dxa"/>
            <w:tcBorders/>
          </w:tcPr>
          <w:p>
            <w:pPr>
              <w:pStyle w:val="TableContents"/>
              <w:bidi w:val="0"/>
              <w:spacing w:before="0" w:after="283"/>
              <w:jc w:val="center"/>
              <w:rPr/>
            </w:pPr>
            <w:r>
              <w:rPr/>
              <w:t>August 6, 2026</w:t>
            </w:r>
          </w:p>
        </w:tc>
      </w:tr>
      <w:tr>
        <w:trPr>
          <w:trHeight w:val="240" w:hRule="atLeast"/>
        </w:trPr>
        <w:tc>
          <w:tcPr>
            <w:tcW w:w="2559" w:type="dxa"/>
            <w:tcBorders/>
            <w:vAlign w:val="center"/>
          </w:tcPr>
          <w:p>
            <w:pPr>
              <w:pStyle w:val="TableContents"/>
              <w:bidi w:val="0"/>
              <w:spacing w:before="0" w:after="283"/>
              <w:jc w:val="left"/>
              <w:rPr>
                <w:sz w:val="4"/>
                <w:szCs w:val="4"/>
              </w:rPr>
            </w:pPr>
            <w:r>
              <w:rPr>
                <w:sz w:val="4"/>
                <w:szCs w:val="4"/>
              </w:rPr>
            </w:r>
          </w:p>
        </w:tc>
        <w:tc>
          <w:tcPr>
            <w:tcW w:w="5624" w:type="dxa"/>
            <w:gridSpan w:val="2"/>
            <w:tcBorders/>
            <w:vAlign w:val="center"/>
          </w:tcPr>
          <w:p>
            <w:pPr>
              <w:pStyle w:val="TableContents"/>
              <w:bidi w:val="0"/>
              <w:spacing w:before="0" w:after="283"/>
              <w:jc w:val="left"/>
              <w:rPr>
                <w:sz w:val="4"/>
                <w:szCs w:val="4"/>
              </w:rPr>
            </w:pPr>
            <w:r>
              <w:rPr>
                <w:sz w:val="4"/>
                <w:szCs w:val="4"/>
              </w:rPr>
            </w:r>
          </w:p>
        </w:tc>
        <w:tc>
          <w:tcPr>
            <w:tcW w:w="2022" w:type="dxa"/>
            <w:gridSpan w:val="2"/>
            <w:tcBorders/>
            <w:vAlign w:val="center"/>
          </w:tcPr>
          <w:p>
            <w:pPr>
              <w:pStyle w:val="TableContents"/>
              <w:bidi w:val="0"/>
              <w:spacing w:before="0" w:after="283"/>
              <w:jc w:val="left"/>
              <w:rPr>
                <w:sz w:val="4"/>
                <w:szCs w:val="4"/>
              </w:rPr>
            </w:pPr>
            <w:r>
              <w:rPr>
                <w:sz w:val="4"/>
                <w:szCs w:val="4"/>
              </w:rPr>
            </w:r>
          </w:p>
        </w:tc>
      </w:tr>
      <w:tr>
        <w:trPr/>
        <w:tc>
          <w:tcPr>
            <w:tcW w:w="25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Clare Kahn</w:t>
            </w:r>
          </w:p>
          <w:p>
            <w:pPr>
              <w:pStyle w:val="TableContents"/>
              <w:bidi w:val="0"/>
              <w:spacing w:before="0" w:after="20"/>
              <w:jc w:val="left"/>
              <w:rPr>
                <w:rFonts w:ascii="Times New Roman" w:hAnsi="Times New Roman"/>
                <w:sz w:val="20"/>
              </w:rPr>
            </w:pPr>
            <w:r>
              <w:rPr>
                <w:rFonts w:ascii="Times New Roman" w:hAnsi="Times New Roman"/>
                <w:sz w:val="20"/>
              </w:rPr>
              <w:t>Clare Kahn</w:t>
            </w:r>
          </w:p>
        </w:tc>
        <w:tc>
          <w:tcPr>
            <w:tcW w:w="120"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center"/>
              <w:rPr/>
            </w:pPr>
            <w:r>
              <w:rPr/>
              <w:t>Director</w:t>
            </w:r>
          </w:p>
        </w:tc>
        <w:tc>
          <w:tcPr>
            <w:tcW w:w="174" w:type="dxa"/>
            <w:tcBorders/>
            <w:vAlign w:val="bottom"/>
          </w:tcPr>
          <w:p>
            <w:pPr>
              <w:pStyle w:val="TableContents"/>
              <w:bidi w:val="0"/>
              <w:spacing w:before="0" w:after="283"/>
              <w:jc w:val="left"/>
              <w:rPr/>
            </w:pPr>
            <w:r>
              <w:rPr/>
              <w:t> </w:t>
            </w:r>
          </w:p>
        </w:tc>
        <w:tc>
          <w:tcPr>
            <w:tcW w:w="1848" w:type="dxa"/>
            <w:tcBorders/>
          </w:tcPr>
          <w:p>
            <w:pPr>
              <w:pStyle w:val="TableContents"/>
              <w:bidi w:val="0"/>
              <w:spacing w:before="0" w:after="283"/>
              <w:jc w:val="center"/>
              <w:rPr/>
            </w:pPr>
            <w:r>
              <w:rPr/>
              <w:t>August 6, 2026</w:t>
            </w:r>
          </w:p>
        </w:tc>
      </w:tr>
      <w:tr>
        <w:trPr>
          <w:trHeight w:val="240" w:hRule="atLeast"/>
        </w:trPr>
        <w:tc>
          <w:tcPr>
            <w:tcW w:w="2559" w:type="dxa"/>
            <w:tcBorders/>
            <w:vAlign w:val="center"/>
          </w:tcPr>
          <w:p>
            <w:pPr>
              <w:pStyle w:val="TableContents"/>
              <w:bidi w:val="0"/>
              <w:spacing w:before="0" w:after="283"/>
              <w:jc w:val="left"/>
              <w:rPr>
                <w:sz w:val="4"/>
                <w:szCs w:val="4"/>
              </w:rPr>
            </w:pPr>
            <w:r>
              <w:rPr>
                <w:sz w:val="4"/>
                <w:szCs w:val="4"/>
              </w:rPr>
            </w:r>
          </w:p>
        </w:tc>
        <w:tc>
          <w:tcPr>
            <w:tcW w:w="5624" w:type="dxa"/>
            <w:gridSpan w:val="2"/>
            <w:tcBorders/>
            <w:vAlign w:val="center"/>
          </w:tcPr>
          <w:p>
            <w:pPr>
              <w:pStyle w:val="TableContents"/>
              <w:bidi w:val="0"/>
              <w:spacing w:before="0" w:after="283"/>
              <w:jc w:val="left"/>
              <w:rPr>
                <w:sz w:val="4"/>
                <w:szCs w:val="4"/>
              </w:rPr>
            </w:pPr>
            <w:r>
              <w:rPr>
                <w:sz w:val="4"/>
                <w:szCs w:val="4"/>
              </w:rPr>
            </w:r>
          </w:p>
        </w:tc>
        <w:tc>
          <w:tcPr>
            <w:tcW w:w="2022" w:type="dxa"/>
            <w:gridSpan w:val="2"/>
            <w:tcBorders/>
            <w:vAlign w:val="center"/>
          </w:tcPr>
          <w:p>
            <w:pPr>
              <w:pStyle w:val="TableContents"/>
              <w:bidi w:val="0"/>
              <w:spacing w:before="0" w:after="283"/>
              <w:jc w:val="left"/>
              <w:rPr>
                <w:sz w:val="4"/>
                <w:szCs w:val="4"/>
              </w:rPr>
            </w:pPr>
            <w:r>
              <w:rPr>
                <w:sz w:val="4"/>
                <w:szCs w:val="4"/>
              </w:rPr>
            </w:r>
          </w:p>
        </w:tc>
      </w:tr>
      <w:tr>
        <w:trPr/>
        <w:tc>
          <w:tcPr>
            <w:tcW w:w="25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Georgia Keresty</w:t>
            </w:r>
          </w:p>
          <w:p>
            <w:pPr>
              <w:pStyle w:val="TableContents"/>
              <w:bidi w:val="0"/>
              <w:spacing w:before="0" w:after="20"/>
              <w:jc w:val="left"/>
              <w:rPr>
                <w:rFonts w:ascii="Times New Roman" w:hAnsi="Times New Roman"/>
                <w:sz w:val="20"/>
              </w:rPr>
            </w:pPr>
            <w:r>
              <w:rPr>
                <w:rFonts w:ascii="Times New Roman" w:hAnsi="Times New Roman"/>
                <w:sz w:val="20"/>
              </w:rPr>
              <w:t>Georgia Keresty</w:t>
            </w:r>
          </w:p>
        </w:tc>
        <w:tc>
          <w:tcPr>
            <w:tcW w:w="120"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center"/>
              <w:rPr/>
            </w:pPr>
            <w:r>
              <w:rPr/>
              <w:t>Director</w:t>
            </w:r>
          </w:p>
        </w:tc>
        <w:tc>
          <w:tcPr>
            <w:tcW w:w="174" w:type="dxa"/>
            <w:tcBorders/>
            <w:vAlign w:val="bottom"/>
          </w:tcPr>
          <w:p>
            <w:pPr>
              <w:pStyle w:val="TableContents"/>
              <w:bidi w:val="0"/>
              <w:spacing w:before="0" w:after="283"/>
              <w:jc w:val="left"/>
              <w:rPr/>
            </w:pPr>
            <w:r>
              <w:rPr/>
              <w:t> </w:t>
            </w:r>
          </w:p>
        </w:tc>
        <w:tc>
          <w:tcPr>
            <w:tcW w:w="1848" w:type="dxa"/>
            <w:tcBorders/>
          </w:tcPr>
          <w:p>
            <w:pPr>
              <w:pStyle w:val="TableContents"/>
              <w:bidi w:val="0"/>
              <w:spacing w:before="0" w:after="283"/>
              <w:jc w:val="center"/>
              <w:rPr/>
            </w:pPr>
            <w:r>
              <w:rPr/>
              <w:t>August 6, 2026</w:t>
            </w:r>
          </w:p>
        </w:tc>
      </w:tr>
      <w:tr>
        <w:trPr>
          <w:trHeight w:val="240" w:hRule="atLeast"/>
        </w:trPr>
        <w:tc>
          <w:tcPr>
            <w:tcW w:w="2559" w:type="dxa"/>
            <w:tcBorders/>
            <w:vAlign w:val="center"/>
          </w:tcPr>
          <w:p>
            <w:pPr>
              <w:pStyle w:val="TableContents"/>
              <w:bidi w:val="0"/>
              <w:spacing w:before="0" w:after="283"/>
              <w:jc w:val="left"/>
              <w:rPr>
                <w:sz w:val="4"/>
                <w:szCs w:val="4"/>
              </w:rPr>
            </w:pPr>
            <w:r>
              <w:rPr>
                <w:sz w:val="4"/>
                <w:szCs w:val="4"/>
              </w:rPr>
            </w:r>
          </w:p>
        </w:tc>
        <w:tc>
          <w:tcPr>
            <w:tcW w:w="5624" w:type="dxa"/>
            <w:gridSpan w:val="2"/>
            <w:tcBorders/>
            <w:vAlign w:val="center"/>
          </w:tcPr>
          <w:p>
            <w:pPr>
              <w:pStyle w:val="TableContents"/>
              <w:bidi w:val="0"/>
              <w:spacing w:before="0" w:after="283"/>
              <w:jc w:val="left"/>
              <w:rPr>
                <w:sz w:val="4"/>
                <w:szCs w:val="4"/>
              </w:rPr>
            </w:pPr>
            <w:r>
              <w:rPr>
                <w:sz w:val="4"/>
                <w:szCs w:val="4"/>
              </w:rPr>
            </w:r>
          </w:p>
        </w:tc>
        <w:tc>
          <w:tcPr>
            <w:tcW w:w="2022" w:type="dxa"/>
            <w:gridSpan w:val="2"/>
            <w:tcBorders/>
            <w:vAlign w:val="center"/>
          </w:tcPr>
          <w:p>
            <w:pPr>
              <w:pStyle w:val="TableContents"/>
              <w:bidi w:val="0"/>
              <w:spacing w:before="0" w:after="283"/>
              <w:jc w:val="left"/>
              <w:rPr>
                <w:sz w:val="4"/>
                <w:szCs w:val="4"/>
              </w:rPr>
            </w:pPr>
            <w:r>
              <w:rPr>
                <w:sz w:val="4"/>
                <w:szCs w:val="4"/>
              </w:rPr>
            </w:r>
          </w:p>
        </w:tc>
      </w:tr>
      <w:tr>
        <w:trPr/>
        <w:tc>
          <w:tcPr>
            <w:tcW w:w="25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Sukumar Nagendran</w:t>
            </w:r>
          </w:p>
          <w:p>
            <w:pPr>
              <w:pStyle w:val="TableContents"/>
              <w:bidi w:val="0"/>
              <w:spacing w:before="0" w:after="20"/>
              <w:jc w:val="left"/>
              <w:rPr>
                <w:rFonts w:ascii="Times New Roman" w:hAnsi="Times New Roman"/>
                <w:sz w:val="20"/>
              </w:rPr>
            </w:pPr>
            <w:r>
              <w:rPr>
                <w:rFonts w:ascii="Times New Roman" w:hAnsi="Times New Roman"/>
                <w:sz w:val="20"/>
              </w:rPr>
              <w:t>Sukumar Nagendran, M.D.</w:t>
            </w:r>
          </w:p>
        </w:tc>
        <w:tc>
          <w:tcPr>
            <w:tcW w:w="120"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center"/>
              <w:rPr/>
            </w:pPr>
            <w:r>
              <w:rPr/>
              <w:t>Director</w:t>
            </w:r>
          </w:p>
        </w:tc>
        <w:tc>
          <w:tcPr>
            <w:tcW w:w="174" w:type="dxa"/>
            <w:tcBorders/>
            <w:vAlign w:val="bottom"/>
          </w:tcPr>
          <w:p>
            <w:pPr>
              <w:pStyle w:val="TableContents"/>
              <w:bidi w:val="0"/>
              <w:spacing w:before="0" w:after="283"/>
              <w:jc w:val="left"/>
              <w:rPr/>
            </w:pPr>
            <w:r>
              <w:rPr/>
              <w:t> </w:t>
            </w:r>
          </w:p>
        </w:tc>
        <w:tc>
          <w:tcPr>
            <w:tcW w:w="1848" w:type="dxa"/>
            <w:tcBorders/>
          </w:tcPr>
          <w:p>
            <w:pPr>
              <w:pStyle w:val="TableContents"/>
              <w:bidi w:val="0"/>
              <w:spacing w:before="0" w:after="283"/>
              <w:jc w:val="center"/>
              <w:rPr/>
            </w:pPr>
            <w:r>
              <w:rPr/>
              <w:t>August 6, 2026</w:t>
            </w:r>
          </w:p>
        </w:tc>
      </w:tr>
      <w:tr>
        <w:trPr>
          <w:trHeight w:val="240" w:hRule="atLeast"/>
        </w:trPr>
        <w:tc>
          <w:tcPr>
            <w:tcW w:w="2559" w:type="dxa"/>
            <w:tcBorders/>
            <w:vAlign w:val="center"/>
          </w:tcPr>
          <w:p>
            <w:pPr>
              <w:pStyle w:val="TableContents"/>
              <w:bidi w:val="0"/>
              <w:spacing w:before="0" w:after="283"/>
              <w:jc w:val="left"/>
              <w:rPr>
                <w:sz w:val="4"/>
                <w:szCs w:val="4"/>
              </w:rPr>
            </w:pPr>
            <w:r>
              <w:rPr>
                <w:sz w:val="4"/>
                <w:szCs w:val="4"/>
              </w:rPr>
            </w:r>
          </w:p>
        </w:tc>
        <w:tc>
          <w:tcPr>
            <w:tcW w:w="5624" w:type="dxa"/>
            <w:gridSpan w:val="2"/>
            <w:tcBorders/>
            <w:vAlign w:val="center"/>
          </w:tcPr>
          <w:p>
            <w:pPr>
              <w:pStyle w:val="TableContents"/>
              <w:bidi w:val="0"/>
              <w:spacing w:before="0" w:after="283"/>
              <w:jc w:val="left"/>
              <w:rPr>
                <w:sz w:val="4"/>
                <w:szCs w:val="4"/>
              </w:rPr>
            </w:pPr>
            <w:r>
              <w:rPr>
                <w:sz w:val="4"/>
                <w:szCs w:val="4"/>
              </w:rPr>
            </w:r>
          </w:p>
        </w:tc>
        <w:tc>
          <w:tcPr>
            <w:tcW w:w="2022" w:type="dxa"/>
            <w:gridSpan w:val="2"/>
            <w:tcBorders/>
            <w:vAlign w:val="center"/>
          </w:tcPr>
          <w:p>
            <w:pPr>
              <w:pStyle w:val="TableContents"/>
              <w:bidi w:val="0"/>
              <w:spacing w:before="0" w:after="283"/>
              <w:jc w:val="left"/>
              <w:rPr>
                <w:sz w:val="4"/>
                <w:szCs w:val="4"/>
              </w:rPr>
            </w:pPr>
            <w:r>
              <w:rPr>
                <w:sz w:val="4"/>
                <w:szCs w:val="4"/>
              </w:rPr>
            </w:r>
          </w:p>
        </w:tc>
      </w:tr>
      <w:tr>
        <w:trPr/>
        <w:tc>
          <w:tcPr>
            <w:tcW w:w="25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Adam Stone</w:t>
            </w:r>
          </w:p>
          <w:p>
            <w:pPr>
              <w:pStyle w:val="TableContents"/>
              <w:bidi w:val="0"/>
              <w:spacing w:before="0" w:after="20"/>
              <w:jc w:val="left"/>
              <w:rPr>
                <w:rFonts w:ascii="Times New Roman" w:hAnsi="Times New Roman"/>
                <w:sz w:val="20"/>
              </w:rPr>
            </w:pPr>
            <w:r>
              <w:rPr>
                <w:rFonts w:ascii="Times New Roman" w:hAnsi="Times New Roman"/>
                <w:sz w:val="20"/>
              </w:rPr>
              <w:t>Adam Stone</w:t>
            </w:r>
          </w:p>
        </w:tc>
        <w:tc>
          <w:tcPr>
            <w:tcW w:w="120"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center"/>
              <w:rPr/>
            </w:pPr>
            <w:r>
              <w:rPr/>
              <w:t>Director</w:t>
            </w:r>
          </w:p>
        </w:tc>
        <w:tc>
          <w:tcPr>
            <w:tcW w:w="174" w:type="dxa"/>
            <w:tcBorders/>
            <w:vAlign w:val="bottom"/>
          </w:tcPr>
          <w:p>
            <w:pPr>
              <w:pStyle w:val="TableContents"/>
              <w:bidi w:val="0"/>
              <w:spacing w:before="0" w:after="283"/>
              <w:jc w:val="left"/>
              <w:rPr/>
            </w:pPr>
            <w:r>
              <w:rPr/>
              <w:t> </w:t>
            </w:r>
          </w:p>
        </w:tc>
        <w:tc>
          <w:tcPr>
            <w:tcW w:w="1848" w:type="dxa"/>
            <w:tcBorders/>
          </w:tcPr>
          <w:p>
            <w:pPr>
              <w:pStyle w:val="TableContents"/>
              <w:bidi w:val="0"/>
              <w:spacing w:before="0" w:after="283"/>
              <w:jc w:val="center"/>
              <w:rPr/>
            </w:pPr>
            <w:r>
              <w:rPr/>
              <w:t>August 6, 2026</w:t>
            </w:r>
          </w:p>
        </w:tc>
      </w:tr>
      <w:tr>
        <w:trPr>
          <w:trHeight w:val="240" w:hRule="atLeast"/>
        </w:trPr>
        <w:tc>
          <w:tcPr>
            <w:tcW w:w="2559" w:type="dxa"/>
            <w:tcBorders/>
            <w:vAlign w:val="center"/>
          </w:tcPr>
          <w:p>
            <w:pPr>
              <w:pStyle w:val="TableContents"/>
              <w:bidi w:val="0"/>
              <w:spacing w:before="0" w:after="283"/>
              <w:jc w:val="left"/>
              <w:rPr>
                <w:sz w:val="4"/>
                <w:szCs w:val="4"/>
              </w:rPr>
            </w:pPr>
            <w:r>
              <w:rPr>
                <w:sz w:val="4"/>
                <w:szCs w:val="4"/>
              </w:rPr>
            </w:r>
          </w:p>
        </w:tc>
        <w:tc>
          <w:tcPr>
            <w:tcW w:w="5624" w:type="dxa"/>
            <w:gridSpan w:val="2"/>
            <w:tcBorders/>
            <w:vAlign w:val="center"/>
          </w:tcPr>
          <w:p>
            <w:pPr>
              <w:pStyle w:val="TableContents"/>
              <w:bidi w:val="0"/>
              <w:spacing w:before="0" w:after="283"/>
              <w:jc w:val="left"/>
              <w:rPr>
                <w:sz w:val="4"/>
                <w:szCs w:val="4"/>
              </w:rPr>
            </w:pPr>
            <w:r>
              <w:rPr>
                <w:sz w:val="4"/>
                <w:szCs w:val="4"/>
              </w:rPr>
            </w:r>
          </w:p>
        </w:tc>
        <w:tc>
          <w:tcPr>
            <w:tcW w:w="2022" w:type="dxa"/>
            <w:gridSpan w:val="2"/>
            <w:tcBorders/>
            <w:vAlign w:val="center"/>
          </w:tcPr>
          <w:p>
            <w:pPr>
              <w:pStyle w:val="TableContents"/>
              <w:bidi w:val="0"/>
              <w:spacing w:before="0" w:after="283"/>
              <w:jc w:val="left"/>
              <w:rPr>
                <w:sz w:val="4"/>
                <w:szCs w:val="4"/>
              </w:rPr>
            </w:pPr>
            <w:r>
              <w:rPr>
                <w:sz w:val="4"/>
                <w:szCs w:val="4"/>
              </w:rPr>
            </w:r>
          </w:p>
        </w:tc>
      </w:tr>
      <w:tr>
        <w:trPr/>
        <w:tc>
          <w:tcPr>
            <w:tcW w:w="25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Lynne Sullivan</w:t>
            </w:r>
          </w:p>
          <w:p>
            <w:pPr>
              <w:pStyle w:val="TableContents"/>
              <w:bidi w:val="0"/>
              <w:spacing w:before="0" w:after="20"/>
              <w:jc w:val="left"/>
              <w:rPr>
                <w:rFonts w:ascii="Times New Roman" w:hAnsi="Times New Roman"/>
                <w:sz w:val="20"/>
              </w:rPr>
            </w:pPr>
            <w:r>
              <w:rPr>
                <w:rFonts w:ascii="Times New Roman" w:hAnsi="Times New Roman"/>
                <w:sz w:val="20"/>
              </w:rPr>
              <w:t>Lynne Sullivan</w:t>
            </w:r>
          </w:p>
        </w:tc>
        <w:tc>
          <w:tcPr>
            <w:tcW w:w="120"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283"/>
              <w:jc w:val="center"/>
              <w:rPr/>
            </w:pPr>
            <w:r>
              <w:rPr/>
              <w:t>Director</w:t>
            </w:r>
          </w:p>
        </w:tc>
        <w:tc>
          <w:tcPr>
            <w:tcW w:w="174" w:type="dxa"/>
            <w:tcBorders/>
            <w:vAlign w:val="bottom"/>
          </w:tcPr>
          <w:p>
            <w:pPr>
              <w:pStyle w:val="TableContents"/>
              <w:bidi w:val="0"/>
              <w:spacing w:before="0" w:after="283"/>
              <w:jc w:val="left"/>
              <w:rPr/>
            </w:pPr>
            <w:r>
              <w:rPr/>
              <w:t> </w:t>
            </w:r>
          </w:p>
        </w:tc>
        <w:tc>
          <w:tcPr>
            <w:tcW w:w="1848" w:type="dxa"/>
            <w:tcBorders/>
          </w:tcPr>
          <w:p>
            <w:pPr>
              <w:pStyle w:val="TableContents"/>
              <w:bidi w:val="0"/>
              <w:spacing w:before="0" w:after="283"/>
              <w:jc w:val="center"/>
              <w:rPr/>
            </w:pPr>
            <w:r>
              <w:rPr/>
              <w:t>August 6,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20" w:name="d274438dex44.htm"/>
      <w:bookmarkStart w:id="21" w:name="ksd274438dex44"/>
      <w:bookmarkEnd w:id="20"/>
      <w:bookmarkEnd w:id="21"/>
      <w:r>
        <w:rPr>
          <w:rFonts w:ascii="Times New Roman" w:hAnsi="Times New Roman"/>
          <w:b/>
          <w:sz w:val="20"/>
        </w:rPr>
        <w:t xml:space="preserve">Exhibit 4.4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SOLID BIOSCIENCES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_______________ </w:t>
      </w:r>
    </w:p>
    <w:p>
      <w:pPr>
        <w:pStyle w:val="TextBody"/>
        <w:bidi w:val="0"/>
        <w:spacing w:before="240" w:after="0"/>
        <w:jc w:val="center"/>
        <w:rPr>
          <w:rFonts w:ascii="Times New Roman" w:hAnsi="Times New Roman"/>
          <w:b/>
          <w:sz w:val="20"/>
        </w:rPr>
      </w:pPr>
      <w:r>
        <w:rPr>
          <w:rFonts w:ascii="Times New Roman" w:hAnsi="Times New Roman"/>
          <w:b/>
          <w:sz w:val="20"/>
        </w:rPr>
        <w:t xml:space="preserve">SENIOR DEBT SECURITIES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CROSS-REFERENCE TABLE1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99"/>
        <w:gridCol w:w="227"/>
        <w:gridCol w:w="1179"/>
      </w:tblGrid>
      <w:tr>
        <w:trPr/>
        <w:tc>
          <w:tcPr>
            <w:tcW w:w="8799"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8799"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Section of</w:t>
            </w:r>
          </w:p>
          <w:p>
            <w:pPr>
              <w:pStyle w:val="TableContents"/>
              <w:bidi w:val="0"/>
              <w:spacing w:before="0" w:after="0"/>
              <w:jc w:val="left"/>
              <w:rPr>
                <w:rFonts w:ascii="Times New Roman" w:hAnsi="Times New Roman"/>
                <w:b/>
                <w:sz w:val="16"/>
              </w:rPr>
            </w:pPr>
            <w:r>
              <w:rPr>
                <w:rFonts w:ascii="Times New Roman" w:hAnsi="Times New Roman"/>
                <w:b/>
                <w:sz w:val="16"/>
              </w:rPr>
              <w:t>Trust Indenture Act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of 1939, as amended</w:t>
            </w:r>
          </w:p>
        </w:tc>
        <w:tc>
          <w:tcPr>
            <w:tcW w:w="227" w:type="dxa"/>
            <w:tcBorders/>
            <w:vAlign w:val="bottom"/>
          </w:tcPr>
          <w:p>
            <w:pPr>
              <w:pStyle w:val="TableContents"/>
              <w:bidi w:val="0"/>
              <w:spacing w:before="0" w:after="283"/>
              <w:jc w:val="left"/>
              <w:rPr/>
            </w:pPr>
            <w:r>
              <w:rPr/>
              <w:t>  </w:t>
            </w:r>
          </w:p>
        </w:tc>
        <w:tc>
          <w:tcPr>
            <w:tcW w:w="1179" w:type="dxa"/>
            <w:tcBorders>
              <w:bottom w:val="single" w:sz="8" w:space="0" w:color="000000"/>
            </w:tcBorders>
            <w:tcMar>
              <w:bottom w:w="28" w:type="dxa"/>
            </w:tcMar>
            <w:vAlign w:val="bottom"/>
          </w:tcPr>
          <w:p>
            <w:pPr>
              <w:pStyle w:val="TableContents"/>
              <w:bidi w:val="0"/>
              <w:spacing w:before="0" w:after="283"/>
              <w:jc w:val="center"/>
              <w:rPr>
                <w:b/>
              </w:rPr>
            </w:pPr>
            <w:r>
              <w:rPr>
                <w:b/>
              </w:rPr>
              <w:t>Section of</w:t>
              <w:br/>
              <w:t>Indenture</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310(a)</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6.09</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310(b)</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6.08</w:t>
            </w:r>
          </w:p>
        </w:tc>
      </w:tr>
      <w:tr>
        <w:trPr/>
        <w:tc>
          <w:tcPr>
            <w:tcW w:w="8799"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6.10</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310(c)</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Inapplicable</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311(a)</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6.13</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311(b)</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6.13</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311(c)</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Inapplicable</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312(a)</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jc w:val="left"/>
              <w:rPr/>
            </w:pPr>
            <w:r>
              <w:rPr/>
              <w:t>4.01</w:t>
            </w:r>
          </w:p>
          <w:p>
            <w:pPr>
              <w:pStyle w:val="TableContents"/>
              <w:bidi w:val="0"/>
              <w:spacing w:before="0" w:after="20"/>
              <w:jc w:val="left"/>
              <w:rPr>
                <w:rFonts w:ascii="Times New Roman" w:hAnsi="Times New Roman"/>
                <w:sz w:val="20"/>
              </w:rPr>
            </w:pPr>
            <w:r>
              <w:rPr>
                <w:rFonts w:ascii="Times New Roman" w:hAnsi="Times New Roman"/>
                <w:sz w:val="20"/>
              </w:rPr>
              <w:t>4.04</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312(b)</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4.04(c)</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312(c)</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4.04(c)</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313(a)</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4.03</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313(b)</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4.03</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313(c)</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4.03</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313(d)</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4.03</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314(a)</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4.02</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314(b)</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Inapplicable</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314(c)</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jc w:val="left"/>
              <w:rPr/>
            </w:pPr>
            <w:r>
              <w:rPr/>
              <w:t>2.04</w:t>
            </w:r>
          </w:p>
          <w:p>
            <w:pPr>
              <w:pStyle w:val="TableContents"/>
              <w:bidi w:val="0"/>
              <w:spacing w:before="0" w:after="0"/>
              <w:jc w:val="left"/>
              <w:rPr>
                <w:rFonts w:ascii="Times New Roman" w:hAnsi="Times New Roman"/>
                <w:sz w:val="20"/>
              </w:rPr>
            </w:pPr>
            <w:r>
              <w:rPr>
                <w:rFonts w:ascii="Times New Roman" w:hAnsi="Times New Roman"/>
                <w:sz w:val="20"/>
              </w:rPr>
              <w:t>8.04</w:t>
            </w:r>
          </w:p>
          <w:p>
            <w:pPr>
              <w:pStyle w:val="TableContents"/>
              <w:bidi w:val="0"/>
              <w:spacing w:before="0" w:after="0"/>
              <w:jc w:val="left"/>
              <w:rPr>
                <w:rFonts w:ascii="Times New Roman" w:hAnsi="Times New Roman"/>
                <w:sz w:val="20"/>
              </w:rPr>
            </w:pPr>
            <w:r>
              <w:rPr>
                <w:rFonts w:ascii="Times New Roman" w:hAnsi="Times New Roman"/>
                <w:sz w:val="20"/>
              </w:rPr>
              <w:t>9.01(c)</w:t>
            </w:r>
          </w:p>
          <w:p>
            <w:pPr>
              <w:pStyle w:val="TableContents"/>
              <w:bidi w:val="0"/>
              <w:spacing w:before="0" w:after="0"/>
              <w:jc w:val="left"/>
              <w:rPr>
                <w:rFonts w:ascii="Times New Roman" w:hAnsi="Times New Roman"/>
                <w:sz w:val="20"/>
              </w:rPr>
            </w:pPr>
            <w:r>
              <w:rPr>
                <w:rFonts w:ascii="Times New Roman" w:hAnsi="Times New Roman"/>
                <w:sz w:val="20"/>
              </w:rPr>
              <w:t>10.01(b)</w:t>
            </w:r>
          </w:p>
          <w:p>
            <w:pPr>
              <w:pStyle w:val="TableContents"/>
              <w:bidi w:val="0"/>
              <w:spacing w:before="0" w:after="20"/>
              <w:jc w:val="left"/>
              <w:rPr>
                <w:rFonts w:ascii="Times New Roman" w:hAnsi="Times New Roman"/>
                <w:sz w:val="20"/>
              </w:rPr>
            </w:pPr>
            <w:r>
              <w:rPr>
                <w:rFonts w:ascii="Times New Roman" w:hAnsi="Times New Roman"/>
                <w:sz w:val="20"/>
              </w:rPr>
              <w:t>11.05</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314(d)</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Inapplicable</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314(e)</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11.05</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314(f)</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Inapplicable</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315(a)</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jc w:val="left"/>
              <w:rPr/>
            </w:pPr>
            <w:r>
              <w:rPr/>
              <w:t>6.01</w:t>
            </w:r>
          </w:p>
          <w:p>
            <w:pPr>
              <w:pStyle w:val="TableContents"/>
              <w:bidi w:val="0"/>
              <w:spacing w:before="0" w:after="20"/>
              <w:jc w:val="left"/>
              <w:rPr>
                <w:rFonts w:ascii="Times New Roman" w:hAnsi="Times New Roman"/>
                <w:sz w:val="20"/>
              </w:rPr>
            </w:pPr>
            <w:r>
              <w:rPr>
                <w:rFonts w:ascii="Times New Roman" w:hAnsi="Times New Roman"/>
                <w:sz w:val="20"/>
              </w:rPr>
              <w:t>6.02</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315(b)</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5.11</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315(c)</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6.01</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315(d)</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6.01</w:t>
            </w:r>
          </w:p>
        </w:tc>
      </w:tr>
      <w:tr>
        <w:trPr/>
        <w:tc>
          <w:tcPr>
            <w:tcW w:w="8799"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6.02</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315(e)</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5.12</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316(a)</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jc w:val="left"/>
              <w:rPr/>
            </w:pPr>
            <w:r>
              <w:rPr/>
              <w:t>5.09</w:t>
            </w:r>
          </w:p>
          <w:p>
            <w:pPr>
              <w:pStyle w:val="TableContents"/>
              <w:bidi w:val="0"/>
              <w:spacing w:before="0" w:after="20"/>
              <w:jc w:val="left"/>
              <w:rPr>
                <w:rFonts w:ascii="Times New Roman" w:hAnsi="Times New Roman"/>
                <w:sz w:val="20"/>
              </w:rPr>
            </w:pPr>
            <w:r>
              <w:rPr>
                <w:rFonts w:ascii="Times New Roman" w:hAnsi="Times New Roman"/>
                <w:sz w:val="20"/>
              </w:rPr>
              <w:t>5.10</w:t>
            </w:r>
          </w:p>
        </w:tc>
      </w:tr>
      <w:tr>
        <w:trPr/>
        <w:tc>
          <w:tcPr>
            <w:tcW w:w="8799"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7.04</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316(b)</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jc w:val="left"/>
              <w:rPr/>
            </w:pPr>
            <w:r>
              <w:rPr/>
              <w:t>5.06</w:t>
            </w:r>
          </w:p>
          <w:p>
            <w:pPr>
              <w:pStyle w:val="TableContents"/>
              <w:bidi w:val="0"/>
              <w:spacing w:before="0" w:after="20"/>
              <w:jc w:val="left"/>
              <w:rPr>
                <w:rFonts w:ascii="Times New Roman" w:hAnsi="Times New Roman"/>
                <w:sz w:val="20"/>
              </w:rPr>
            </w:pPr>
            <w:r>
              <w:rPr>
                <w:rFonts w:ascii="Times New Roman" w:hAnsi="Times New Roman"/>
                <w:sz w:val="20"/>
              </w:rPr>
              <w:t>5.10</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316(c)</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7.02</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317(a)</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5.04</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317(b)</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3.04</w:t>
            </w:r>
          </w:p>
        </w:tc>
      </w:tr>
      <w:tr>
        <w:trPr/>
        <w:tc>
          <w:tcPr>
            <w:tcW w:w="8799" w:type="dxa"/>
            <w:tcBorders/>
          </w:tcPr>
          <w:p>
            <w:pPr>
              <w:pStyle w:val="TableContents"/>
              <w:bidi w:val="0"/>
              <w:spacing w:before="0" w:after="0"/>
              <w:jc w:val="left"/>
              <w:rPr>
                <w:rFonts w:ascii="Times New Roman" w:hAnsi="Times New Roman"/>
                <w:sz w:val="20"/>
              </w:rPr>
            </w:pPr>
            <w:r>
              <w:rPr>
                <w:rFonts w:ascii="Times New Roman" w:hAnsi="Times New Roman"/>
                <w:sz w:val="20"/>
              </w:rPr>
              <w:t>318(a)</w:t>
            </w:r>
          </w:p>
        </w:tc>
        <w:tc>
          <w:tcPr>
            <w:tcW w:w="227"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left"/>
              <w:rPr/>
            </w:pPr>
            <w:r>
              <w:rPr/>
              <w:t>11.07</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Cross-Reference Table does not constitute part of the Indenture and shall not have any bearing on the interpretation of any of its terms or provisions.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83"/>
        <w:gridCol w:w="126"/>
        <w:gridCol w:w="7548"/>
        <w:gridCol w:w="180"/>
        <w:gridCol w:w="130"/>
        <w:gridCol w:w="575"/>
        <w:gridCol w:w="63"/>
      </w:tblGrid>
      <w:tr>
        <w:trPr/>
        <w:tc>
          <w:tcPr>
            <w:tcW w:w="158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548"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83"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4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257" w:type="dxa"/>
            <w:gridSpan w:val="3"/>
            <w:tcBorders/>
            <w:vAlign w:val="center"/>
          </w:tcPr>
          <w:p>
            <w:pPr>
              <w:pStyle w:val="TableContents"/>
              <w:bidi w:val="0"/>
              <w:spacing w:before="0" w:after="283"/>
              <w:jc w:val="left"/>
              <w:rPr>
                <w:sz w:val="4"/>
                <w:szCs w:val="4"/>
              </w:rPr>
            </w:pPr>
            <w:r>
              <w:rPr>
                <w:sz w:val="4"/>
                <w:szCs w:val="4"/>
              </w:rPr>
            </w:r>
          </w:p>
        </w:tc>
        <w:tc>
          <w:tcPr>
            <w:tcW w:w="948" w:type="dxa"/>
            <w:gridSpan w:val="4"/>
            <w:tcBorders/>
            <w:vAlign w:val="center"/>
          </w:tcPr>
          <w:p>
            <w:pPr>
              <w:pStyle w:val="TableContents"/>
              <w:bidi w:val="0"/>
              <w:spacing w:before="0" w:after="283"/>
              <w:jc w:val="left"/>
              <w:rPr>
                <w:sz w:val="4"/>
                <w:szCs w:val="4"/>
              </w:rPr>
            </w:pPr>
            <w:r>
              <w:rPr>
                <w:sz w:val="4"/>
                <w:szCs w:val="4"/>
              </w:rPr>
            </w:r>
          </w:p>
        </w:tc>
      </w:tr>
      <w:tr>
        <w:trPr/>
        <w:tc>
          <w:tcPr>
            <w:tcW w:w="925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 DEFINITIONS</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583" w:type="dxa"/>
            <w:tcBorders/>
            <w:vAlign w:val="center"/>
          </w:tcPr>
          <w:p>
            <w:pPr>
              <w:pStyle w:val="TableContents"/>
              <w:bidi w:val="0"/>
              <w:spacing w:before="0" w:after="283"/>
              <w:jc w:val="left"/>
              <w:rPr>
                <w:sz w:val="4"/>
                <w:szCs w:val="4"/>
              </w:rPr>
            </w:pPr>
            <w:r>
              <w:rPr>
                <w:sz w:val="4"/>
                <w:szCs w:val="4"/>
              </w:rPr>
            </w:r>
          </w:p>
        </w:tc>
        <w:tc>
          <w:tcPr>
            <w:tcW w:w="7674" w:type="dxa"/>
            <w:gridSpan w:val="2"/>
            <w:tcBorders/>
            <w:vAlign w:val="center"/>
          </w:tcPr>
          <w:p>
            <w:pPr>
              <w:pStyle w:val="TableContents"/>
              <w:bidi w:val="0"/>
              <w:spacing w:before="0" w:after="283"/>
              <w:jc w:val="left"/>
              <w:rPr>
                <w:sz w:val="4"/>
                <w:szCs w:val="4"/>
              </w:rPr>
            </w:pPr>
            <w:r>
              <w:rPr>
                <w:sz w:val="4"/>
                <w:szCs w:val="4"/>
              </w:rPr>
            </w:r>
          </w:p>
        </w:tc>
        <w:tc>
          <w:tcPr>
            <w:tcW w:w="948" w:type="dxa"/>
            <w:gridSpan w:val="4"/>
            <w:tcBorders/>
            <w:vAlign w:val="center"/>
          </w:tcPr>
          <w:p>
            <w:pPr>
              <w:pStyle w:val="TableContents"/>
              <w:bidi w:val="0"/>
              <w:spacing w:before="0" w:after="283"/>
              <w:jc w:val="left"/>
              <w:rPr>
                <w:sz w:val="4"/>
                <w:szCs w:val="4"/>
              </w:rPr>
            </w:pPr>
            <w:r>
              <w:rPr>
                <w:sz w:val="4"/>
                <w:szCs w:val="4"/>
              </w:rPr>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Certain Terms Defined</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257" w:type="dxa"/>
            <w:gridSpan w:val="3"/>
            <w:tcBorders/>
            <w:vAlign w:val="center"/>
          </w:tcPr>
          <w:p>
            <w:pPr>
              <w:pStyle w:val="TableContents"/>
              <w:bidi w:val="0"/>
              <w:spacing w:before="0" w:after="283"/>
              <w:jc w:val="left"/>
              <w:rPr>
                <w:sz w:val="4"/>
                <w:szCs w:val="4"/>
              </w:rPr>
            </w:pPr>
            <w:r>
              <w:rPr>
                <w:sz w:val="4"/>
                <w:szCs w:val="4"/>
              </w:rPr>
            </w:r>
          </w:p>
        </w:tc>
        <w:tc>
          <w:tcPr>
            <w:tcW w:w="948" w:type="dxa"/>
            <w:gridSpan w:val="4"/>
            <w:tcBorders/>
            <w:vAlign w:val="center"/>
          </w:tcPr>
          <w:p>
            <w:pPr>
              <w:pStyle w:val="TableContents"/>
              <w:bidi w:val="0"/>
              <w:spacing w:before="0" w:after="283"/>
              <w:jc w:val="left"/>
              <w:rPr>
                <w:sz w:val="4"/>
                <w:szCs w:val="4"/>
              </w:rPr>
            </w:pPr>
            <w:r>
              <w:rPr>
                <w:sz w:val="4"/>
                <w:szCs w:val="4"/>
              </w:rPr>
            </w:r>
          </w:p>
        </w:tc>
      </w:tr>
      <w:tr>
        <w:trPr/>
        <w:tc>
          <w:tcPr>
            <w:tcW w:w="925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2 SECURITIES</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1583" w:type="dxa"/>
            <w:tcBorders/>
            <w:vAlign w:val="center"/>
          </w:tcPr>
          <w:p>
            <w:pPr>
              <w:pStyle w:val="TableContents"/>
              <w:bidi w:val="0"/>
              <w:spacing w:before="0" w:after="283"/>
              <w:jc w:val="left"/>
              <w:rPr>
                <w:sz w:val="4"/>
                <w:szCs w:val="4"/>
              </w:rPr>
            </w:pPr>
            <w:r>
              <w:rPr>
                <w:sz w:val="4"/>
                <w:szCs w:val="4"/>
              </w:rPr>
            </w:r>
          </w:p>
        </w:tc>
        <w:tc>
          <w:tcPr>
            <w:tcW w:w="7674" w:type="dxa"/>
            <w:gridSpan w:val="2"/>
            <w:tcBorders/>
            <w:vAlign w:val="center"/>
          </w:tcPr>
          <w:p>
            <w:pPr>
              <w:pStyle w:val="TableContents"/>
              <w:bidi w:val="0"/>
              <w:spacing w:before="0" w:after="283"/>
              <w:jc w:val="left"/>
              <w:rPr>
                <w:sz w:val="4"/>
                <w:szCs w:val="4"/>
              </w:rPr>
            </w:pPr>
            <w:r>
              <w:rPr>
                <w:sz w:val="4"/>
                <w:szCs w:val="4"/>
              </w:rPr>
            </w:r>
          </w:p>
        </w:tc>
        <w:tc>
          <w:tcPr>
            <w:tcW w:w="948" w:type="dxa"/>
            <w:gridSpan w:val="4"/>
            <w:tcBorders/>
            <w:vAlign w:val="center"/>
          </w:tcPr>
          <w:p>
            <w:pPr>
              <w:pStyle w:val="TableContents"/>
              <w:bidi w:val="0"/>
              <w:spacing w:before="0" w:after="283"/>
              <w:jc w:val="left"/>
              <w:rPr>
                <w:sz w:val="4"/>
                <w:szCs w:val="4"/>
              </w:rPr>
            </w:pPr>
            <w:r>
              <w:rPr>
                <w:sz w:val="4"/>
                <w:szCs w:val="4"/>
              </w:rPr>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Forms Generally</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Form of Trustee’s Certificate of Authentication</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Amount Unlimited; Issuable in Series</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Authentication and Delivery of Securities</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Execution of Securities</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of Authentication</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Denomination and Date of Securities; Payments of Interest</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Transfer and Exchange</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Mutilated, Defaced, Destroyed, Lost and Stolen Securities</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Cancellation of Securities; Destruction Thereof</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Temporary Securities</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CUSIP Numbers</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257" w:type="dxa"/>
            <w:gridSpan w:val="3"/>
            <w:tcBorders/>
            <w:vAlign w:val="center"/>
          </w:tcPr>
          <w:p>
            <w:pPr>
              <w:pStyle w:val="TableContents"/>
              <w:bidi w:val="0"/>
              <w:spacing w:before="0" w:after="283"/>
              <w:jc w:val="left"/>
              <w:rPr>
                <w:sz w:val="4"/>
                <w:szCs w:val="4"/>
              </w:rPr>
            </w:pPr>
            <w:r>
              <w:rPr>
                <w:sz w:val="4"/>
                <w:szCs w:val="4"/>
              </w:rPr>
            </w:r>
          </w:p>
        </w:tc>
        <w:tc>
          <w:tcPr>
            <w:tcW w:w="948" w:type="dxa"/>
            <w:gridSpan w:val="4"/>
            <w:tcBorders/>
            <w:vAlign w:val="center"/>
          </w:tcPr>
          <w:p>
            <w:pPr>
              <w:pStyle w:val="TableContents"/>
              <w:bidi w:val="0"/>
              <w:spacing w:before="0" w:after="283"/>
              <w:jc w:val="left"/>
              <w:rPr>
                <w:sz w:val="4"/>
                <w:szCs w:val="4"/>
              </w:rPr>
            </w:pPr>
            <w:r>
              <w:rPr>
                <w:sz w:val="4"/>
                <w:szCs w:val="4"/>
              </w:rPr>
            </w:r>
          </w:p>
        </w:tc>
      </w:tr>
      <w:tr>
        <w:trPr/>
        <w:tc>
          <w:tcPr>
            <w:tcW w:w="925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3 COVENANTS OF THE ISSUER</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583" w:type="dxa"/>
            <w:tcBorders/>
            <w:vAlign w:val="center"/>
          </w:tcPr>
          <w:p>
            <w:pPr>
              <w:pStyle w:val="TableContents"/>
              <w:bidi w:val="0"/>
              <w:spacing w:before="0" w:after="283"/>
              <w:jc w:val="left"/>
              <w:rPr>
                <w:sz w:val="4"/>
                <w:szCs w:val="4"/>
              </w:rPr>
            </w:pPr>
            <w:r>
              <w:rPr>
                <w:sz w:val="4"/>
                <w:szCs w:val="4"/>
              </w:rPr>
            </w:r>
          </w:p>
        </w:tc>
        <w:tc>
          <w:tcPr>
            <w:tcW w:w="7674" w:type="dxa"/>
            <w:gridSpan w:val="2"/>
            <w:tcBorders/>
            <w:vAlign w:val="center"/>
          </w:tcPr>
          <w:p>
            <w:pPr>
              <w:pStyle w:val="TableContents"/>
              <w:bidi w:val="0"/>
              <w:spacing w:before="0" w:after="283"/>
              <w:jc w:val="left"/>
              <w:rPr>
                <w:sz w:val="4"/>
                <w:szCs w:val="4"/>
              </w:rPr>
            </w:pPr>
            <w:r>
              <w:rPr>
                <w:sz w:val="4"/>
                <w:szCs w:val="4"/>
              </w:rPr>
            </w:r>
          </w:p>
        </w:tc>
        <w:tc>
          <w:tcPr>
            <w:tcW w:w="948" w:type="dxa"/>
            <w:gridSpan w:val="4"/>
            <w:tcBorders/>
            <w:vAlign w:val="center"/>
          </w:tcPr>
          <w:p>
            <w:pPr>
              <w:pStyle w:val="TableContents"/>
              <w:bidi w:val="0"/>
              <w:spacing w:before="0" w:after="283"/>
              <w:jc w:val="left"/>
              <w:rPr>
                <w:sz w:val="4"/>
                <w:szCs w:val="4"/>
              </w:rPr>
            </w:pPr>
            <w:r>
              <w:rPr>
                <w:sz w:val="4"/>
                <w:szCs w:val="4"/>
              </w:rPr>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Payment of Principal and Interest</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Offices for Payments, Etc.</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to Fill a Vacancy in Office of Trustee</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Paying Agents</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Written Statement to Trustee</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257" w:type="dxa"/>
            <w:gridSpan w:val="3"/>
            <w:tcBorders/>
            <w:vAlign w:val="center"/>
          </w:tcPr>
          <w:p>
            <w:pPr>
              <w:pStyle w:val="TableContents"/>
              <w:bidi w:val="0"/>
              <w:spacing w:before="0" w:after="283"/>
              <w:jc w:val="left"/>
              <w:rPr>
                <w:sz w:val="4"/>
                <w:szCs w:val="4"/>
              </w:rPr>
            </w:pPr>
            <w:r>
              <w:rPr>
                <w:sz w:val="4"/>
                <w:szCs w:val="4"/>
              </w:rPr>
            </w:r>
          </w:p>
        </w:tc>
        <w:tc>
          <w:tcPr>
            <w:tcW w:w="948" w:type="dxa"/>
            <w:gridSpan w:val="4"/>
            <w:tcBorders/>
            <w:vAlign w:val="center"/>
          </w:tcPr>
          <w:p>
            <w:pPr>
              <w:pStyle w:val="TableContents"/>
              <w:bidi w:val="0"/>
              <w:spacing w:before="0" w:after="283"/>
              <w:jc w:val="left"/>
              <w:rPr>
                <w:sz w:val="4"/>
                <w:szCs w:val="4"/>
              </w:rPr>
            </w:pPr>
            <w:r>
              <w:rPr>
                <w:sz w:val="4"/>
                <w:szCs w:val="4"/>
              </w:rPr>
            </w:r>
          </w:p>
        </w:tc>
      </w:tr>
      <w:tr>
        <w:trPr/>
        <w:tc>
          <w:tcPr>
            <w:tcW w:w="925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4 SECURITYHOLDERS LISTS AND REPORTS BY THE ISSUER AND THE TRUSTEE</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583" w:type="dxa"/>
            <w:tcBorders/>
            <w:vAlign w:val="center"/>
          </w:tcPr>
          <w:p>
            <w:pPr>
              <w:pStyle w:val="TableContents"/>
              <w:bidi w:val="0"/>
              <w:spacing w:before="0" w:after="283"/>
              <w:jc w:val="left"/>
              <w:rPr>
                <w:sz w:val="4"/>
                <w:szCs w:val="4"/>
              </w:rPr>
            </w:pPr>
            <w:r>
              <w:rPr>
                <w:sz w:val="4"/>
                <w:szCs w:val="4"/>
              </w:rPr>
            </w:r>
          </w:p>
        </w:tc>
        <w:tc>
          <w:tcPr>
            <w:tcW w:w="7674" w:type="dxa"/>
            <w:gridSpan w:val="2"/>
            <w:tcBorders/>
            <w:vAlign w:val="center"/>
          </w:tcPr>
          <w:p>
            <w:pPr>
              <w:pStyle w:val="TableContents"/>
              <w:bidi w:val="0"/>
              <w:spacing w:before="0" w:after="283"/>
              <w:jc w:val="left"/>
              <w:rPr>
                <w:sz w:val="4"/>
                <w:szCs w:val="4"/>
              </w:rPr>
            </w:pPr>
            <w:r>
              <w:rPr>
                <w:sz w:val="4"/>
                <w:szCs w:val="4"/>
              </w:rPr>
            </w:r>
          </w:p>
        </w:tc>
        <w:tc>
          <w:tcPr>
            <w:tcW w:w="948" w:type="dxa"/>
            <w:gridSpan w:val="4"/>
            <w:tcBorders/>
            <w:vAlign w:val="center"/>
          </w:tcPr>
          <w:p>
            <w:pPr>
              <w:pStyle w:val="TableContents"/>
              <w:bidi w:val="0"/>
              <w:spacing w:before="0" w:after="283"/>
              <w:jc w:val="left"/>
              <w:rPr>
                <w:sz w:val="4"/>
                <w:szCs w:val="4"/>
              </w:rPr>
            </w:pPr>
            <w:r>
              <w:rPr>
                <w:sz w:val="4"/>
                <w:szCs w:val="4"/>
              </w:rPr>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Issuer to Furnish Trustee Information as to Names and Addresses of Securityholders</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Reports by the Issuer</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Reports by the Trustee</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Preservation of Information; Communication with Securityholders</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257" w:type="dxa"/>
            <w:gridSpan w:val="3"/>
            <w:tcBorders/>
            <w:vAlign w:val="center"/>
          </w:tcPr>
          <w:p>
            <w:pPr>
              <w:pStyle w:val="TableContents"/>
              <w:bidi w:val="0"/>
              <w:spacing w:before="0" w:after="283"/>
              <w:jc w:val="left"/>
              <w:rPr>
                <w:sz w:val="4"/>
                <w:szCs w:val="4"/>
              </w:rPr>
            </w:pPr>
            <w:r>
              <w:rPr>
                <w:sz w:val="4"/>
                <w:szCs w:val="4"/>
              </w:rPr>
            </w:r>
          </w:p>
        </w:tc>
        <w:tc>
          <w:tcPr>
            <w:tcW w:w="948" w:type="dxa"/>
            <w:gridSpan w:val="4"/>
            <w:tcBorders/>
            <w:vAlign w:val="center"/>
          </w:tcPr>
          <w:p>
            <w:pPr>
              <w:pStyle w:val="TableContents"/>
              <w:bidi w:val="0"/>
              <w:spacing w:before="0" w:after="283"/>
              <w:jc w:val="left"/>
              <w:rPr>
                <w:sz w:val="4"/>
                <w:szCs w:val="4"/>
              </w:rPr>
            </w:pPr>
            <w:r>
              <w:rPr>
                <w:sz w:val="4"/>
                <w:szCs w:val="4"/>
              </w:rPr>
            </w:r>
          </w:p>
        </w:tc>
      </w:tr>
      <w:tr>
        <w:trPr/>
        <w:tc>
          <w:tcPr>
            <w:tcW w:w="925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5 REMEDIES OF THE TRUSTEE AND SECURITYHOLDERS ON EVENT OF DEFAULT</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583" w:type="dxa"/>
            <w:tcBorders/>
            <w:vAlign w:val="center"/>
          </w:tcPr>
          <w:p>
            <w:pPr>
              <w:pStyle w:val="TableContents"/>
              <w:bidi w:val="0"/>
              <w:spacing w:before="0" w:after="283"/>
              <w:jc w:val="left"/>
              <w:rPr>
                <w:sz w:val="4"/>
                <w:szCs w:val="4"/>
              </w:rPr>
            </w:pPr>
            <w:r>
              <w:rPr>
                <w:sz w:val="4"/>
                <w:szCs w:val="4"/>
              </w:rPr>
            </w:r>
          </w:p>
        </w:tc>
        <w:tc>
          <w:tcPr>
            <w:tcW w:w="7674" w:type="dxa"/>
            <w:gridSpan w:val="2"/>
            <w:tcBorders/>
            <w:vAlign w:val="center"/>
          </w:tcPr>
          <w:p>
            <w:pPr>
              <w:pStyle w:val="TableContents"/>
              <w:bidi w:val="0"/>
              <w:spacing w:before="0" w:after="283"/>
              <w:jc w:val="left"/>
              <w:rPr>
                <w:sz w:val="4"/>
                <w:szCs w:val="4"/>
              </w:rPr>
            </w:pPr>
            <w:r>
              <w:rPr>
                <w:sz w:val="4"/>
                <w:szCs w:val="4"/>
              </w:rPr>
            </w:r>
          </w:p>
        </w:tc>
        <w:tc>
          <w:tcPr>
            <w:tcW w:w="948" w:type="dxa"/>
            <w:gridSpan w:val="4"/>
            <w:tcBorders/>
            <w:vAlign w:val="center"/>
          </w:tcPr>
          <w:p>
            <w:pPr>
              <w:pStyle w:val="TableContents"/>
              <w:bidi w:val="0"/>
              <w:spacing w:before="0" w:after="283"/>
              <w:jc w:val="left"/>
              <w:rPr>
                <w:sz w:val="4"/>
                <w:szCs w:val="4"/>
              </w:rPr>
            </w:pPr>
            <w:r>
              <w:rPr>
                <w:sz w:val="4"/>
                <w:szCs w:val="4"/>
              </w:rPr>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Event of Default Defined; Acceleration of Maturity; Waiver of Default</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Collection of Debt by Trustee; Trustee May Prove Debt</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Proceeds</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Suits for Enforcement</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Restoration of Rights on Abandonment of Proceedings</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Limitations on Suits by Securityholders</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5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126" w:type="dxa"/>
            <w:tcBorders/>
            <w:vAlign w:val="bottom"/>
          </w:tcPr>
          <w:p>
            <w:pPr>
              <w:pStyle w:val="TableContents"/>
              <w:bidi w:val="0"/>
              <w:spacing w:before="0" w:after="283"/>
              <w:jc w:val="left"/>
              <w:rPr/>
            </w:pPr>
            <w:r>
              <w:rPr/>
              <w:t> </w:t>
            </w:r>
          </w:p>
        </w:tc>
        <w:tc>
          <w:tcPr>
            <w:tcW w:w="7548" w:type="dxa"/>
            <w:tcBorders/>
          </w:tcPr>
          <w:p>
            <w:pPr>
              <w:pStyle w:val="TableContents"/>
              <w:bidi w:val="0"/>
              <w:spacing w:before="0" w:after="0"/>
              <w:jc w:val="left"/>
              <w:rPr>
                <w:rFonts w:ascii="Times New Roman" w:hAnsi="Times New Roman"/>
                <w:sz w:val="20"/>
              </w:rPr>
            </w:pPr>
            <w:r>
              <w:rPr>
                <w:rFonts w:ascii="Times New Roman" w:hAnsi="Times New Roman"/>
                <w:sz w:val="20"/>
              </w:rPr>
              <w:t>Unconditional Right of Securityholders to Institute Certain Suits</w:t>
            </w:r>
          </w:p>
        </w:tc>
        <w:tc>
          <w:tcPr>
            <w:tcW w:w="18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61"/>
        <w:gridCol w:w="123"/>
        <w:gridCol w:w="8070"/>
        <w:gridCol w:w="165"/>
        <w:gridCol w:w="60"/>
        <w:gridCol w:w="263"/>
        <w:gridCol w:w="63"/>
      </w:tblGrid>
      <w:tr>
        <w:trPr/>
        <w:tc>
          <w:tcPr>
            <w:tcW w:w="14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07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Powers and Remedies Cumulative; Delay or Omission Not Waiver of Default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Control by Holders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Waiver of Past Defaults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Trustee to Give Notice of Default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Right of Court to Require Filing of Undertaking to Pay Costs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6 CONCERNING THE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8193"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Duties and Responsibilities of the Trustee; During Default; Prior to Default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Certain Rights of the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Trustee Not Responsible for Recitals, Disposition of Securities or Application of Proceeds Thereof</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Trustee and Agents May Hold Securities; Collections,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Moneys Held by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Indemnification of Trustee and Its Prior Claim</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Right of Trustee to Rely on Officer’s Certificate,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Disqualification; Conflicting Interests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Persons Eligible for Appointment as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Resignation and Removal; Appointment of Successor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Acceptance of Appointment by Successor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Merger, Conversion, Consolidation or Succession to Business of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Preferential Collection of Claims Against the Issuer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7 CONCERNING THE SECURITYHOLDERS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8193"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Evidence of Action Taken by Securityholders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Proof of Execution of Instruments and of Holding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Holders to Be Treated as Owners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Securities Owned by Issuer Deemed Not Outstanding</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Right of Revocation of Action Taken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8 SUPPLEMENTAL INDENTURES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8193"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Indentures Without Consent of Securityholders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Indentures With Consent of Securityholders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Effect of Supplemental Indenture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Documents to Be Given to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Notation on Securities in Respect of Supplemental Indentures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9 CONSOLIDATION, MERGER, SALE OR CONVEYANCE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8193"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Issuer May Consolidate, Etc., on Certain Terms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23" w:type="dxa"/>
            <w:tcBorders/>
            <w:vAlign w:val="bottom"/>
          </w:tcPr>
          <w:p>
            <w:pPr>
              <w:pStyle w:val="TableContents"/>
              <w:bidi w:val="0"/>
              <w:spacing w:before="0" w:after="283"/>
              <w:jc w:val="left"/>
              <w:rPr/>
            </w:pPr>
            <w:r>
              <w:rPr/>
              <w:t> </w:t>
            </w:r>
          </w:p>
        </w:tc>
        <w:tc>
          <w:tcPr>
            <w:tcW w:w="8070" w:type="dxa"/>
            <w:tcBorders/>
          </w:tcPr>
          <w:p>
            <w:pPr>
              <w:pStyle w:val="TableContents"/>
              <w:bidi w:val="0"/>
              <w:spacing w:before="0" w:after="0"/>
              <w:jc w:val="left"/>
              <w:rPr>
                <w:rFonts w:ascii="Times New Roman" w:hAnsi="Times New Roman"/>
                <w:sz w:val="20"/>
              </w:rPr>
            </w:pPr>
            <w:r>
              <w:rPr>
                <w:rFonts w:ascii="Times New Roman" w:hAnsi="Times New Roman"/>
                <w:sz w:val="20"/>
              </w:rPr>
              <w:t>Successor Issuer Substituted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34"/>
        <w:gridCol w:w="125"/>
        <w:gridCol w:w="7890"/>
        <w:gridCol w:w="167"/>
        <w:gridCol w:w="60"/>
        <w:gridCol w:w="266"/>
        <w:gridCol w:w="63"/>
      </w:tblGrid>
      <w:tr>
        <w:trPr/>
        <w:tc>
          <w:tcPr>
            <w:tcW w:w="163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89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49" w:type="dxa"/>
            <w:gridSpan w:val="3"/>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10 SATISFACTION AND DISCHARGE OF INDENTURE; DEFEASANCE; UNCLAIMED MONEYS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1634" w:type="dxa"/>
            <w:tcBorders/>
            <w:vAlign w:val="center"/>
          </w:tcPr>
          <w:p>
            <w:pPr>
              <w:pStyle w:val="TableContents"/>
              <w:bidi w:val="0"/>
              <w:spacing w:before="0" w:after="283"/>
              <w:jc w:val="left"/>
              <w:rPr>
                <w:sz w:val="4"/>
                <w:szCs w:val="4"/>
              </w:rPr>
            </w:pPr>
            <w:r>
              <w:rPr>
                <w:sz w:val="4"/>
                <w:szCs w:val="4"/>
              </w:rPr>
            </w:r>
          </w:p>
        </w:tc>
        <w:tc>
          <w:tcPr>
            <w:tcW w:w="8015"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Satisfaction and Discharge of Indenture; Defeasance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by Trustee of Funds Deposited for Payment of Securities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Moneys Held by Paying Agent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Return of Moneys Held by Trustee and Paying Agent Unclaimed for Two Years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Indemnity for U.S. Government Obligations and Foreign Government Obligations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649" w:type="dxa"/>
            <w:gridSpan w:val="3"/>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11 MISCELLANEOUS PROVISIONS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634" w:type="dxa"/>
            <w:tcBorders/>
            <w:vAlign w:val="center"/>
          </w:tcPr>
          <w:p>
            <w:pPr>
              <w:pStyle w:val="TableContents"/>
              <w:bidi w:val="0"/>
              <w:spacing w:before="0" w:after="283"/>
              <w:jc w:val="left"/>
              <w:rPr>
                <w:sz w:val="4"/>
                <w:szCs w:val="4"/>
              </w:rPr>
            </w:pPr>
            <w:r>
              <w:rPr>
                <w:sz w:val="4"/>
                <w:szCs w:val="4"/>
              </w:rPr>
            </w:r>
          </w:p>
        </w:tc>
        <w:tc>
          <w:tcPr>
            <w:tcW w:w="8015"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No Recourse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Provisions of Indenture for the Sole Benefit of Parties and Holders of Securities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 of Issuer Bound by Indenture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Notices and Demands on Issuer, Trustee and Holders of Securities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Officer’s Certificates and Opinions of Counsel; Statements to Be Contained Therein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Payments Due on Saturdays, Sundays and Holidays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Conflict of Any Provision of Indenture With Trust Indenture Act of 1939</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New York Law to Govern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11.09</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11.10</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Effect of Headings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11.11</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Actions by Successor</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11.12</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649" w:type="dxa"/>
            <w:gridSpan w:val="3"/>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12 REDEMPTION OF SECURITIES AND SINKING FUNDS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1634" w:type="dxa"/>
            <w:tcBorders/>
            <w:vAlign w:val="center"/>
          </w:tcPr>
          <w:p>
            <w:pPr>
              <w:pStyle w:val="TableContents"/>
              <w:bidi w:val="0"/>
              <w:spacing w:before="0" w:after="283"/>
              <w:jc w:val="left"/>
              <w:rPr>
                <w:sz w:val="4"/>
                <w:szCs w:val="4"/>
              </w:rPr>
            </w:pPr>
            <w:r>
              <w:rPr>
                <w:sz w:val="4"/>
                <w:szCs w:val="4"/>
              </w:rPr>
            </w:r>
          </w:p>
        </w:tc>
        <w:tc>
          <w:tcPr>
            <w:tcW w:w="8015"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Applicability of Article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Notice of Redemption; Partial Redemptions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12.03</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Payment of Securities Called for Redemption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12.04</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Exclusion of Certain Securities from Eligibility for Selection for Redemption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634" w:type="dxa"/>
            <w:tcBorders/>
          </w:tcPr>
          <w:p>
            <w:pPr>
              <w:pStyle w:val="TableContents"/>
              <w:bidi w:val="0"/>
              <w:spacing w:before="0" w:after="0"/>
              <w:jc w:val="left"/>
              <w:rPr>
                <w:rFonts w:ascii="Times New Roman" w:hAnsi="Times New Roman"/>
                <w:sz w:val="20"/>
              </w:rPr>
            </w:pPr>
            <w:r>
              <w:rPr>
                <w:rFonts w:ascii="Times New Roman" w:hAnsi="Times New Roman"/>
                <w:sz w:val="20"/>
              </w:rPr>
              <w:t>Section 12.05</w:t>
            </w:r>
          </w:p>
        </w:tc>
        <w:tc>
          <w:tcPr>
            <w:tcW w:w="125" w:type="dxa"/>
            <w:tcBorders/>
            <w:vAlign w:val="bottom"/>
          </w:tcPr>
          <w:p>
            <w:pPr>
              <w:pStyle w:val="TableContents"/>
              <w:bidi w:val="0"/>
              <w:spacing w:before="0" w:after="283"/>
              <w:jc w:val="left"/>
              <w:rPr/>
            </w:pPr>
            <w:r>
              <w:rPr/>
              <w:t> </w:t>
            </w:r>
          </w:p>
        </w:tc>
        <w:tc>
          <w:tcPr>
            <w:tcW w:w="7890" w:type="dxa"/>
            <w:tcBorders/>
          </w:tcPr>
          <w:p>
            <w:pPr>
              <w:pStyle w:val="TableContents"/>
              <w:bidi w:val="0"/>
              <w:spacing w:before="0" w:after="0"/>
              <w:jc w:val="left"/>
              <w:rPr>
                <w:rFonts w:ascii="Times New Roman" w:hAnsi="Times New Roman"/>
                <w:sz w:val="20"/>
              </w:rPr>
            </w:pPr>
            <w:r>
              <w:rPr>
                <w:rFonts w:ascii="Times New Roman" w:hAnsi="Times New Roman"/>
                <w:sz w:val="20"/>
              </w:rPr>
              <w:t>Mandatory and Optional Sinking Funds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INDENTURE, dated as of _________ between Solid Biosciences Inc., a Delaware corporation (the “</w:t>
      </w:r>
      <w:r>
        <w:rPr>
          <w:rFonts w:ascii="Times New Roman" w:hAnsi="Times New Roman"/>
          <w:b/>
          <w:sz w:val="20"/>
        </w:rPr>
        <w:t>Issuer</w:t>
      </w:r>
      <w:r>
        <w:rPr>
          <w:rFonts w:ascii="Times New Roman" w:hAnsi="Times New Roman"/>
          <w:sz w:val="20"/>
        </w:rPr>
        <w:t xml:space="preserve">”) and ________, a _______ </w:t>
      </w:r>
      <w:r>
        <w:rPr>
          <w:rFonts w:ascii="Times New Roman" w:hAnsi="Times New Roman"/>
          <w:b/>
          <w:sz w:val="20"/>
        </w:rPr>
        <w:t>(the “Trustee</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W I T N E S S E T H : </w:t>
      </w:r>
    </w:p>
    <w:p>
      <w:pPr>
        <w:pStyle w:val="TextBody"/>
        <w:bidi w:val="0"/>
        <w:spacing w:before="240" w:after="0"/>
        <w:jc w:val="left"/>
        <w:rPr>
          <w:rFonts w:ascii="Times New Roman" w:hAnsi="Times New Roman"/>
          <w:sz w:val="20"/>
        </w:rPr>
      </w:pPr>
      <w:r>
        <w:rPr>
          <w:rFonts w:ascii="Times New Roman" w:hAnsi="Times New Roman"/>
          <w:sz w:val="20"/>
        </w:rPr>
        <w:t>WHEREAS, the Issuer may from time to time duly authorize the issue of its unsecured debentures, notes or other evidences of indebtedness to be issued in one or more series (the “</w:t>
      </w:r>
      <w:r>
        <w:rPr>
          <w:rFonts w:ascii="Times New Roman" w:hAnsi="Times New Roman"/>
          <w:b/>
          <w:sz w:val="20"/>
        </w:rPr>
        <w:t>Securities</w:t>
      </w:r>
      <w:r>
        <w:rPr>
          <w:rFonts w:ascii="Times New Roman" w:hAnsi="Times New Roman"/>
          <w:sz w:val="20"/>
        </w:rPr>
        <w:t xml:space="preserve">”) up to such principal amount or amounts as may from time to time be authorized in accordance with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the Issuer has duly authorized the execution and delivery of this Indenture to provide, among other things, for the authentication, delivery and administration of the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things necessary to make this Indenture a valid indenture and agreement according to its terms have been done;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w:t>
      </w:r>
    </w:p>
    <w:p>
      <w:pPr>
        <w:pStyle w:val="TextBody"/>
        <w:bidi w:val="0"/>
        <w:spacing w:before="120" w:after="0"/>
        <w:jc w:val="left"/>
        <w:rPr>
          <w:rFonts w:ascii="Times New Roman" w:hAnsi="Times New Roman"/>
          <w:sz w:val="20"/>
        </w:rPr>
      </w:pPr>
      <w:r>
        <w:rPr>
          <w:rFonts w:ascii="Times New Roman" w:hAnsi="Times New Roman"/>
          <w:sz w:val="20"/>
        </w:rPr>
        <w:t xml:space="preserve">In consideration of the premises and the purchases of the Securities by the holders thereof, the Issuer and the Trustee mutually covenant and agree for the equal and proportionate benefit of the respective holders from time to time of the Securities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1 </w:t>
      </w:r>
    </w:p>
    <w:p>
      <w:pPr>
        <w:pStyle w:val="TextBody"/>
        <w:bidi w:val="0"/>
        <w:spacing w:before="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i/>
          <w:sz w:val="20"/>
        </w:rPr>
        <w:t xml:space="preserve">Certain Terms Defined. </w:t>
      </w:r>
      <w:r>
        <w:rPr>
          <w:rFonts w:ascii="Times New Roman" w:hAnsi="Times New Roman"/>
          <w:sz w:val="20"/>
        </w:rPr>
        <w:t>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of 1933 as in force at the date of this Indenture. All accounting terms used herein and not expressly defined shall have the meanings assigned to such terms in accordance with generally accepted accounting principles, and the term “</w:t>
      </w:r>
      <w:r>
        <w:rPr>
          <w:rFonts w:ascii="Times New Roman" w:hAnsi="Times New Roman"/>
          <w:b/>
          <w:sz w:val="20"/>
        </w:rPr>
        <w:t>generally accepted accounting principles</w:t>
      </w:r>
      <w:r>
        <w:rPr>
          <w:rFonts w:ascii="Times New Roman" w:hAnsi="Times New Roman"/>
          <w:sz w:val="20"/>
        </w:rPr>
        <w:t xml:space="preserve">” means such accounting principles as are generally accepted in the United States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 </w:t>
      </w:r>
    </w:p>
    <w:p>
      <w:pPr>
        <w:pStyle w:val="TextBody"/>
        <w:bidi w:val="0"/>
        <w:spacing w:before="240" w:after="0"/>
        <w:jc w:val="left"/>
        <w:rPr/>
      </w:pPr>
      <w:r>
        <w:rPr/>
        <w:t>“</w:t>
      </w:r>
      <w:r>
        <w:rPr>
          <w:rFonts w:ascii="Times New Roman" w:hAnsi="Times New Roman"/>
          <w:b/>
          <w:sz w:val="20"/>
        </w:rPr>
        <w:t>Additional Amounts”</w:t>
      </w:r>
      <w:r>
        <w:rPr>
          <w:rFonts w:ascii="Times New Roman" w:hAnsi="Times New Roman"/>
          <w:sz w:val="20"/>
        </w:rPr>
        <w:t xml:space="preserve"> means any additional amounts that are required by this Indenture or by any Security, under circumstances specified herein or therein, to be paid by the Issuer in respect of certain taxes, assessments or other governmental charges imposed on Holders specified therein and which are owing to such Holders. </w:t>
      </w:r>
    </w:p>
    <w:p>
      <w:pPr>
        <w:pStyle w:val="TextBody"/>
        <w:bidi w:val="0"/>
        <w:spacing w:before="240" w:after="0"/>
        <w:jc w:val="left"/>
        <w:rPr/>
      </w:pPr>
      <w:r>
        <w:rPr/>
        <w:t>“</w:t>
      </w:r>
      <w:r>
        <w:rPr>
          <w:rFonts w:ascii="Times New Roman" w:hAnsi="Times New Roman"/>
          <w:b/>
          <w:sz w:val="20"/>
        </w:rPr>
        <w:t>Applicable Procedures</w:t>
      </w:r>
      <w:r>
        <w:rPr>
          <w:rFonts w:ascii="Times New Roman" w:hAnsi="Times New Roman"/>
          <w:sz w:val="20"/>
        </w:rPr>
        <w:t xml:space="preserve">” means, with respect to a Depositary, as to any matter at any time, the policies and procedures of such Depositary, if any, that are applicable to such matter at such time.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either the Board of Directors of the Issuer or any committee of such Board duly authorized to act on its behalf. </w:t>
      </w:r>
    </w:p>
    <w:p>
      <w:pPr>
        <w:pStyle w:val="TextBody"/>
        <w:bidi w:val="0"/>
        <w:spacing w:before="240" w:after="0"/>
        <w:jc w:val="left"/>
        <w:rPr/>
      </w:pPr>
      <w:r>
        <w:rPr/>
        <w:t>“</w:t>
      </w:r>
      <w:r>
        <w:rPr>
          <w:rFonts w:ascii="Times New Roman" w:hAnsi="Times New Roman"/>
          <w:b/>
          <w:sz w:val="20"/>
        </w:rPr>
        <w:t>Board Resolution</w:t>
      </w:r>
      <w:r>
        <w:rPr>
          <w:rFonts w:ascii="Times New Roman" w:hAnsi="Times New Roman"/>
          <w:sz w:val="20"/>
        </w:rPr>
        <w:t xml:space="preserve">” means a copy of one or more resolutions, certified by the secretary or an assistant secretary of the Issuer to have been duly adopted by the Board of Directors and to be in full force and effect, and delivered to the Trustee.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with respect to any Security, a day that in the city (or in any of the cities, if more than one) in which amounts are payable, as specified in the form of such Security, is not a day on which banking institutions are authorized or required by law or regulation to close. </w:t>
      </w:r>
    </w:p>
    <w:p>
      <w:pPr>
        <w:pStyle w:val="TextBody"/>
        <w:bidi w:val="0"/>
        <w:spacing w:before="240" w:after="0"/>
        <w:jc w:val="left"/>
        <w:rPr/>
      </w:pPr>
      <w:r>
        <w:rPr/>
        <w:t>“</w:t>
      </w:r>
      <w:r>
        <w:rPr>
          <w:rFonts w:ascii="Times New Roman" w:hAnsi="Times New Roman"/>
          <w:b/>
          <w:sz w:val="20"/>
        </w:rPr>
        <w:t>Capital Stock”</w:t>
      </w:r>
      <w:r>
        <w:rPr>
          <w:rFonts w:ascii="Times New Roman" w:hAnsi="Times New Roman"/>
          <w:sz w:val="20"/>
        </w:rPr>
        <w:t xml:space="preserve">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Commission</w:t>
      </w:r>
      <w:r>
        <w:rPr>
          <w:rFonts w:ascii="Times New Roman" w:hAnsi="Times New Roman"/>
          <w:sz w:val="20"/>
        </w:rPr>
        <w:t xml:space="preserve">”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shares of common stock, par value $0.001 per share, of the Issuer as the same exists at the date of execution and delivery of this Indenture or as such stock may be reconstituted from time to time. </w:t>
      </w:r>
    </w:p>
    <w:p>
      <w:pPr>
        <w:pStyle w:val="TextBody"/>
        <w:bidi w:val="0"/>
        <w:spacing w:before="240" w:after="0"/>
        <w:jc w:val="left"/>
        <w:rPr/>
      </w:pPr>
      <w:r>
        <w:rPr/>
        <w:t>“</w:t>
      </w:r>
      <w:r>
        <w:rPr>
          <w:rFonts w:ascii="Times New Roman" w:hAnsi="Times New Roman"/>
          <w:b/>
          <w:sz w:val="20"/>
        </w:rPr>
        <w:t>Corporate Trust Office</w:t>
      </w:r>
      <w:r>
        <w:rPr>
          <w:rFonts w:ascii="Times New Roman" w:hAnsi="Times New Roman"/>
          <w:sz w:val="20"/>
        </w:rPr>
        <w:t xml:space="preserve">” means the office of the Trustee at which the corporate trust business of the Trustee shall, at any particular time, be principally administered, which office is, at the date as of which this Indenture is dated, located at __________. </w:t>
      </w:r>
    </w:p>
    <w:p>
      <w:pPr>
        <w:pStyle w:val="TextBody"/>
        <w:bidi w:val="0"/>
        <w:spacing w:before="240" w:after="0"/>
        <w:jc w:val="left"/>
        <w:rPr/>
      </w:pPr>
      <w:r>
        <w:rPr/>
        <w:t>“</w:t>
      </w:r>
      <w:r>
        <w:rPr>
          <w:rFonts w:ascii="Times New Roman" w:hAnsi="Times New Roman"/>
          <w:b/>
          <w:sz w:val="20"/>
        </w:rPr>
        <w:t>Debt</w:t>
      </w:r>
      <w:r>
        <w:rPr>
          <w:rFonts w:ascii="Times New Roman" w:hAnsi="Times New Roman"/>
          <w:sz w:val="20"/>
        </w:rPr>
        <w:t xml:space="preserve">”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 excluded the money, securities or evidences of Debt deposited by such Person in trust for the purpose of paying or satisfying such Debt.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Times New Roman" w:hAnsi="Times New Roman"/>
          <w:b/>
          <w:sz w:val="20"/>
        </w:rPr>
        <w:t>Depositary</w:t>
      </w:r>
      <w:r>
        <w:rPr>
          <w:rFonts w:ascii="Times New Roman" w:hAnsi="Times New Roman"/>
          <w:sz w:val="20"/>
        </w:rPr>
        <w:t>” shall mean or include each Person who is then a Depositary hereunder, and if at any time there is more than one such Person, “</w:t>
      </w:r>
      <w:r>
        <w:rPr>
          <w:rFonts w:ascii="Times New Roman" w:hAnsi="Times New Roman"/>
          <w:b/>
          <w:sz w:val="20"/>
        </w:rPr>
        <w:t>Depositary</w:t>
      </w:r>
      <w:r>
        <w:rPr>
          <w:rFonts w:ascii="Times New Roman" w:hAnsi="Times New Roman"/>
          <w:sz w:val="20"/>
        </w:rPr>
        <w:t xml:space="preserve">” as used with respect to the Securities of any such series shall mean the Depositary with respect to the Global Securities of that series. </w:t>
      </w:r>
    </w:p>
    <w:p>
      <w:pPr>
        <w:pStyle w:val="TextBody"/>
        <w:bidi w:val="0"/>
        <w:spacing w:before="240" w:after="0"/>
        <w:jc w:val="left"/>
        <w:rPr/>
      </w:pPr>
      <w:r>
        <w:rPr/>
        <w:t>“</w:t>
      </w:r>
      <w:r>
        <w:rPr>
          <w:rFonts w:ascii="Times New Roman" w:hAnsi="Times New Roman"/>
          <w:b/>
          <w:sz w:val="20"/>
        </w:rPr>
        <w:t>Dollar</w:t>
      </w:r>
      <w:r>
        <w:rPr>
          <w:rFonts w:ascii="Times New Roman" w:hAnsi="Times New Roman"/>
          <w:sz w:val="20"/>
        </w:rPr>
        <w:t xml:space="preserve">” means the currency of the United States of America as at the time of payment is legal tender for the payment of public and private debts.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means any event or condition specified as such in Section 5.01. </w:t>
      </w:r>
    </w:p>
    <w:p>
      <w:pPr>
        <w:pStyle w:val="TextBody"/>
        <w:bidi w:val="0"/>
        <w:spacing w:before="240" w:after="0"/>
        <w:jc w:val="left"/>
        <w:rPr/>
      </w:pPr>
      <w:r>
        <w:rPr/>
        <w:t>“</w:t>
      </w:r>
      <w:r>
        <w:rPr>
          <w:rFonts w:ascii="Times New Roman" w:hAnsi="Times New Roman"/>
          <w:b/>
          <w:sz w:val="20"/>
        </w:rPr>
        <w:t>Foreign Currency</w:t>
      </w:r>
      <w:r>
        <w:rPr>
          <w:rFonts w:ascii="Times New Roman" w:hAnsi="Times New Roman"/>
          <w:sz w:val="20"/>
        </w:rPr>
        <w:t xml:space="preserve">” means a currency issued by the government of a country other than the United States. </w:t>
      </w:r>
    </w:p>
    <w:p>
      <w:pPr>
        <w:pStyle w:val="TextBody"/>
        <w:bidi w:val="0"/>
        <w:spacing w:before="240" w:after="0"/>
        <w:jc w:val="left"/>
        <w:rPr/>
      </w:pPr>
      <w:r>
        <w:rPr/>
        <w:t>“</w:t>
      </w:r>
      <w:r>
        <w:rPr>
          <w:rFonts w:ascii="Times New Roman" w:hAnsi="Times New Roman"/>
          <w:b/>
          <w:sz w:val="20"/>
        </w:rPr>
        <w:t>Foreign Government Obligation”</w:t>
      </w:r>
      <w:r>
        <w:rPr>
          <w:rFonts w:ascii="Times New Roman" w:hAnsi="Times New Roman"/>
          <w:sz w:val="20"/>
        </w:rPr>
        <w:t xml:space="preserve"> means (a) a direct obligation of the government of a country other than the United States of America, backed by the full faith and credit of such government, (b) an obligation of a Person controlled or supervised by and acting as an agency or instrumentality of such government, the payment of which is unconditionally guaranteed as a full faith and credit obligation by such government or (c) any depositary receipt issued by a bank (as defined in Section 3(a)(2) of the Securities Act of 1933) as custodian with respect to any Foreign Government Obligation which is specified in clause (a) and held by such bank for the account of the holder of such depositary receipt, or with respect to any specific payment of principal of or interest on any such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 </w:t>
      </w:r>
    </w:p>
    <w:p>
      <w:pPr>
        <w:pStyle w:val="TextBody"/>
        <w:bidi w:val="0"/>
        <w:spacing w:before="240" w:after="0"/>
        <w:jc w:val="left"/>
        <w:rPr/>
      </w:pPr>
      <w:r>
        <w:rPr/>
        <w:t>“</w:t>
      </w:r>
      <w:r>
        <w:rPr>
          <w:rFonts w:ascii="Times New Roman" w:hAnsi="Times New Roman"/>
          <w:b/>
          <w:sz w:val="20"/>
        </w:rPr>
        <w:t>Global Security</w:t>
      </w:r>
      <w:r>
        <w:rPr>
          <w:rFonts w:ascii="Times New Roman" w:hAnsi="Times New Roman"/>
          <w:sz w:val="20"/>
        </w:rPr>
        <w:t xml:space="preserve">” means a Security evidencing all or a part of a series of Securities, issued to the Depositary for such series in accordance with Section 2.04, and bearing the legend prescribed in Section 2.04.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w:t>
      </w:r>
      <w:r>
        <w:rPr>
          <w:rFonts w:ascii="Times New Roman" w:hAnsi="Times New Roman"/>
          <w:b/>
          <w:sz w:val="20"/>
        </w:rPr>
        <w:t>holder”</w:t>
      </w:r>
      <w:r>
        <w:rPr>
          <w:rFonts w:ascii="Times New Roman" w:hAnsi="Times New Roman"/>
          <w:sz w:val="20"/>
        </w:rPr>
        <w:t>, “</w:t>
      </w:r>
      <w:r>
        <w:rPr>
          <w:rFonts w:ascii="Times New Roman" w:hAnsi="Times New Roman"/>
          <w:b/>
          <w:sz w:val="20"/>
        </w:rPr>
        <w:t>holder of Securities</w:t>
      </w:r>
      <w:r>
        <w:rPr>
          <w:rFonts w:ascii="Times New Roman" w:hAnsi="Times New Roman"/>
          <w:sz w:val="20"/>
        </w:rPr>
        <w:t>”, “</w:t>
      </w:r>
      <w:r>
        <w:rPr>
          <w:rFonts w:ascii="Times New Roman" w:hAnsi="Times New Roman"/>
          <w:b/>
          <w:sz w:val="20"/>
        </w:rPr>
        <w:t>Securityholder</w:t>
      </w:r>
      <w:r>
        <w:rPr>
          <w:rFonts w:ascii="Times New Roman" w:hAnsi="Times New Roman"/>
          <w:sz w:val="20"/>
        </w:rPr>
        <w:t xml:space="preserve">” or other similar terms mean the Person in whose name such Security is registered in the Security register kept by the Issuer for that purpose in accordance with the terms hereof.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this instrument as originally executed and delivered or, if amended or supplemented as herein provided, as so amended or supplemented or both, and shall include the forms and terms of particular series of Securities established as contemplated hereunder. </w:t>
      </w:r>
    </w:p>
    <w:p>
      <w:pPr>
        <w:pStyle w:val="TextBody"/>
        <w:bidi w:val="0"/>
        <w:spacing w:before="240" w:after="0"/>
        <w:jc w:val="left"/>
        <w:rPr/>
      </w:pPr>
      <w:r>
        <w:rPr/>
        <w:t>“</w:t>
      </w:r>
      <w:r>
        <w:rPr>
          <w:rFonts w:ascii="Times New Roman" w:hAnsi="Times New Roman"/>
          <w:b/>
          <w:sz w:val="20"/>
        </w:rPr>
        <w:t>interest</w:t>
      </w:r>
      <w:r>
        <w:rPr>
          <w:rFonts w:ascii="Times New Roman" w:hAnsi="Times New Roman"/>
          <w:sz w:val="20"/>
        </w:rPr>
        <w:t xml:space="preserve">”, unless the context otherwise requires, refers to interest, and when used with respect to non-interest bearing Securities, refers to interest payable after maturity, if any. </w:t>
      </w:r>
    </w:p>
    <w:p>
      <w:pPr>
        <w:pStyle w:val="TextBody"/>
        <w:bidi w:val="0"/>
        <w:spacing w:before="240" w:after="0"/>
        <w:jc w:val="left"/>
        <w:rPr/>
      </w:pPr>
      <w:r>
        <w:rPr/>
        <w:t>“</w:t>
      </w:r>
      <w:r>
        <w:rPr>
          <w:rFonts w:ascii="Times New Roman" w:hAnsi="Times New Roman"/>
          <w:b/>
          <w:sz w:val="20"/>
        </w:rPr>
        <w:t>Interest Payment Date</w:t>
      </w:r>
      <w:r>
        <w:rPr>
          <w:rFonts w:ascii="Times New Roman" w:hAnsi="Times New Roman"/>
          <w:sz w:val="20"/>
        </w:rPr>
        <w:t xml:space="preserve">”, with respect to any Security, means the Stated Maturity of an installment of interest on such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Issuer</w:t>
      </w:r>
      <w:r>
        <w:rPr>
          <w:rFonts w:ascii="Times New Roman" w:hAnsi="Times New Roman"/>
          <w:sz w:val="20"/>
        </w:rPr>
        <w:t xml:space="preserve">” means Solid Biosciences Inc., a Delaware corporation, and, subject to Article 9, its successors and assigns. </w:t>
      </w:r>
    </w:p>
    <w:p>
      <w:pPr>
        <w:pStyle w:val="TextBody"/>
        <w:bidi w:val="0"/>
        <w:spacing w:before="240" w:after="0"/>
        <w:jc w:val="left"/>
        <w:rPr/>
      </w:pPr>
      <w:r>
        <w:rPr/>
        <w:t>“</w:t>
      </w:r>
      <w:r>
        <w:rPr>
          <w:rFonts w:ascii="Times New Roman" w:hAnsi="Times New Roman"/>
          <w:b/>
          <w:sz w:val="20"/>
        </w:rPr>
        <w:t>Issuer Order</w:t>
      </w:r>
      <w:r>
        <w:rPr>
          <w:rFonts w:ascii="Times New Roman" w:hAnsi="Times New Roman"/>
          <w:sz w:val="20"/>
        </w:rPr>
        <w:t xml:space="preserve">” means a written statement, request or order of the Issuer signed in its name by the chairman of the Board of Directors, the president or any vice president of the Issuer. </w:t>
      </w:r>
    </w:p>
    <w:p>
      <w:pPr>
        <w:pStyle w:val="TextBody"/>
        <w:bidi w:val="0"/>
        <w:spacing w:before="240" w:after="0"/>
        <w:jc w:val="left"/>
        <w:rPr/>
      </w:pPr>
      <w:r>
        <w:rPr/>
        <w:t>“</w:t>
      </w:r>
      <w:r>
        <w:rPr>
          <w:rFonts w:ascii="Times New Roman" w:hAnsi="Times New Roman"/>
          <w:b/>
          <w:sz w:val="20"/>
        </w:rPr>
        <w:t>Notice of Default”</w:t>
      </w:r>
      <w:r>
        <w:rPr>
          <w:rFonts w:ascii="Times New Roman" w:hAnsi="Times New Roman"/>
          <w:sz w:val="20"/>
        </w:rPr>
        <w:t xml:space="preserve"> shall have the meaning set forth in Section 5.01(c).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 </w:t>
      </w:r>
    </w:p>
    <w:p>
      <w:pPr>
        <w:pStyle w:val="TextBody"/>
        <w:bidi w:val="0"/>
        <w:spacing w:before="240" w:after="0"/>
        <w:jc w:val="left"/>
        <w:rPr/>
      </w:pPr>
      <w:r>
        <w:rPr/>
        <w:t>“</w:t>
      </w:r>
      <w:r>
        <w:rPr>
          <w:rFonts w:ascii="Times New Roman" w:hAnsi="Times New Roman"/>
          <w:b/>
          <w:sz w:val="20"/>
        </w:rPr>
        <w:t>Opinion of Counsel</w:t>
      </w:r>
      <w:r>
        <w:rPr>
          <w:rFonts w:ascii="Times New Roman" w:hAnsi="Times New Roman"/>
          <w:sz w:val="20"/>
        </w:rPr>
        <w:t xml:space="preserve">”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 </w:t>
      </w:r>
    </w:p>
    <w:p>
      <w:pPr>
        <w:pStyle w:val="TextBody"/>
        <w:bidi w:val="0"/>
        <w:spacing w:before="240" w:after="0"/>
        <w:jc w:val="left"/>
        <w:rPr/>
      </w:pPr>
      <w:r>
        <w:rPr/>
        <w:t>“</w:t>
      </w:r>
      <w:r>
        <w:rPr>
          <w:rFonts w:ascii="Times New Roman" w:hAnsi="Times New Roman"/>
          <w:b/>
          <w:sz w:val="20"/>
        </w:rPr>
        <w:t>original issue date</w:t>
      </w:r>
      <w:r>
        <w:rPr>
          <w:rFonts w:ascii="Times New Roman" w:hAnsi="Times New Roman"/>
          <w:sz w:val="20"/>
        </w:rPr>
        <w:t xml:space="preserve">” of any Security (or portion thereof) means the earlier of (a) the date of such Security or (b) the date of any Security (or portion thereof) for which such Security was issued (directly or indirectly) on registration of transfer, exchange or substitution. </w:t>
      </w:r>
    </w:p>
    <w:p>
      <w:pPr>
        <w:pStyle w:val="TextBody"/>
        <w:bidi w:val="0"/>
        <w:spacing w:before="240" w:after="0"/>
        <w:jc w:val="left"/>
        <w:rPr/>
      </w:pPr>
      <w:r>
        <w:rPr/>
        <w:t>“</w:t>
      </w:r>
      <w:r>
        <w:rPr>
          <w:rFonts w:ascii="Times New Roman" w:hAnsi="Times New Roman"/>
          <w:b/>
          <w:sz w:val="20"/>
        </w:rPr>
        <w:t>Original Issue Discount Security</w:t>
      </w:r>
      <w:r>
        <w:rPr>
          <w:rFonts w:ascii="Times New Roman" w:hAnsi="Times New Roman"/>
          <w:sz w:val="20"/>
        </w:rPr>
        <w:t xml:space="preserve">” means any Security that provides for an amount less than the principal amount thereof to be due and payable upon a declaration of acceleration of the maturity thereof pursuant to Section 5.01. </w:t>
      </w:r>
    </w:p>
    <w:p>
      <w:pPr>
        <w:pStyle w:val="TextBody"/>
        <w:bidi w:val="0"/>
        <w:spacing w:before="240" w:after="0"/>
        <w:jc w:val="left"/>
        <w:rPr/>
      </w:pPr>
      <w:r>
        <w:rPr/>
        <w:t>“</w:t>
      </w:r>
      <w:r>
        <w:rPr>
          <w:rFonts w:ascii="Times New Roman" w:hAnsi="Times New Roman"/>
          <w:b/>
          <w:sz w:val="20"/>
        </w:rPr>
        <w:t>Outstanding</w:t>
      </w:r>
      <w:r>
        <w:rPr>
          <w:rFonts w:ascii="Times New Roman" w:hAnsi="Times New Roman"/>
          <w:sz w:val="20"/>
        </w:rPr>
        <w:t xml:space="preserve">”, when used with reference to Securities, shall, subject to the provisions of Section 7.04, mean, as of any particular time, all Securities authenticated and delivered by the Trustee under this Indenture,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theretofore cancelled by the Trustee or delivered to the Trustee for cancellation;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or portions thereof, for the payment or redemption of which cash, U.S. Government Obligations or Foreign Government Obligations (as provided for in Section 10.01(a) 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Times New Roman" w:hAnsi="Times New Roman"/>
                <w:i/>
                <w:sz w:val="20"/>
              </w:rPr>
              <w:t>provided</w:t>
            </w:r>
            <w:r>
              <w:rPr>
                <w:rFonts w:ascii="Times New Roman" w:hAnsi="Times New Roman"/>
                <w:sz w:val="20"/>
              </w:rPr>
              <w:t xml:space="preserve">, that if such Securities, or portions thereof, are to be redeemed prior to the maturity thereof, notice of such redemption shall have been given as herein provided, or provision satisfactory to the Trustee shall have been made for giving such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as to which Legal Defeasance shall have been effected pursuant to Section 10.01(b);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(e)</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as to which any property deliverable upon conversion thereof has been delivered (or such delivery has been made available), or as to which any other particular conditions have been satisfied, in each case as may be provided for such Securities as contemplated in Section 2.03.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principal amount of Outstanding Securities of any or all series have given any request, demand, authorization, direction, notice, consent or waiver hereunder, (A)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 (B) if, as of such date, the principal amount payable at the Stated Maturity of a Security is not determinable, the principal amount of such Security which shall be deemed to be Outstanding shall be the amount as specified or determined as contemplated by Section 2.03, and (C) the principal amount of a Security denominated in one or more foreign currencies, composite currencies or currency units which shall be deemed to be Outstanding shall be the U.S. dollar equivalent, determined as of such date in the manner provided as contemplated by Section 2.03, of the principal amount of such Security (or, in the case of a Security described in clause (A) or (B) above, of the amount determined as provided in such clause).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Person</w:t>
      </w:r>
      <w:r>
        <w:rPr>
          <w:rFonts w:ascii="Times New Roman" w:hAnsi="Times New Roman"/>
          <w:sz w:val="20"/>
        </w:rPr>
        <w:t xml:space="preserve">” means any individual, corporation, partnership, limited partnership, limited liability company, joint venture, association, joint stock company, trust, unincorporated organization or government or any agency or political subdivision thereof. </w:t>
      </w:r>
    </w:p>
    <w:p>
      <w:pPr>
        <w:pStyle w:val="TextBody"/>
        <w:bidi w:val="0"/>
        <w:spacing w:before="240" w:after="0"/>
        <w:jc w:val="left"/>
        <w:rPr/>
      </w:pPr>
      <w:r>
        <w:rPr/>
        <w:t>“</w:t>
      </w:r>
      <w:r>
        <w:rPr>
          <w:rFonts w:ascii="Times New Roman" w:hAnsi="Times New Roman"/>
          <w:b/>
          <w:sz w:val="20"/>
        </w:rPr>
        <w:t>principal</w:t>
      </w:r>
      <w:r>
        <w:rPr>
          <w:rFonts w:ascii="Times New Roman" w:hAnsi="Times New Roman"/>
          <w:sz w:val="20"/>
        </w:rPr>
        <w:t xml:space="preserve">” whenever used with reference to the Securities or any Security or any portion thereof, shall be deemed to include “and premium, if any”. </w:t>
      </w:r>
    </w:p>
    <w:p>
      <w:pPr>
        <w:pStyle w:val="TextBody"/>
        <w:bidi w:val="0"/>
        <w:spacing w:before="240" w:after="0"/>
        <w:jc w:val="left"/>
        <w:rPr/>
      </w:pPr>
      <w:r>
        <w:rPr/>
        <w:t>“</w:t>
      </w:r>
      <w:r>
        <w:rPr>
          <w:rFonts w:ascii="Times New Roman" w:hAnsi="Times New Roman"/>
          <w:b/>
          <w:sz w:val="20"/>
        </w:rPr>
        <w:t>record date”</w:t>
      </w:r>
      <w:r>
        <w:rPr>
          <w:rFonts w:ascii="Times New Roman" w:hAnsi="Times New Roman"/>
          <w:sz w:val="20"/>
        </w:rPr>
        <w:t xml:space="preserve"> shall have the meaning set forth in Section 2.07.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 </w:t>
      </w:r>
    </w:p>
    <w:p>
      <w:pPr>
        <w:pStyle w:val="TextBody"/>
        <w:bidi w:val="0"/>
        <w:spacing w:before="240" w:after="0"/>
        <w:jc w:val="left"/>
        <w:rPr/>
      </w:pPr>
      <w:r>
        <w:rPr/>
        <w:t>“</w:t>
      </w:r>
      <w:r>
        <w:rPr>
          <w:rFonts w:ascii="Times New Roman" w:hAnsi="Times New Roman"/>
          <w:b/>
          <w:sz w:val="20"/>
        </w:rPr>
        <w:t>Security</w:t>
      </w:r>
      <w:r>
        <w:rPr>
          <w:rFonts w:ascii="Times New Roman" w:hAnsi="Times New Roman"/>
          <w:sz w:val="20"/>
        </w:rPr>
        <w:t>” or “</w:t>
      </w:r>
      <w:r>
        <w:rPr>
          <w:rFonts w:ascii="Times New Roman" w:hAnsi="Times New Roman"/>
          <w:b/>
          <w:sz w:val="20"/>
        </w:rPr>
        <w:t>Securities</w:t>
      </w:r>
      <w:r>
        <w:rPr>
          <w:rFonts w:ascii="Times New Roman" w:hAnsi="Times New Roman"/>
          <w:sz w:val="20"/>
        </w:rPr>
        <w:t xml:space="preserve">” has the meaning stated in the first recital of this Indenture, or, as the case may be, Securities that have been authenticated and delivered under this Indenture. </w:t>
      </w:r>
    </w:p>
    <w:p>
      <w:pPr>
        <w:pStyle w:val="TextBody"/>
        <w:bidi w:val="0"/>
        <w:spacing w:before="240" w:after="0"/>
        <w:jc w:val="left"/>
        <w:rPr/>
      </w:pPr>
      <w:r>
        <w:rPr/>
        <w:t>“</w:t>
      </w:r>
      <w:r>
        <w:rPr>
          <w:rFonts w:ascii="Times New Roman" w:hAnsi="Times New Roman"/>
          <w:b/>
          <w:sz w:val="20"/>
        </w:rPr>
        <w:t>Security Registrar</w:t>
      </w:r>
      <w:r>
        <w:rPr>
          <w:rFonts w:ascii="Times New Roman" w:hAnsi="Times New Roman"/>
          <w:sz w:val="20"/>
        </w:rPr>
        <w:t xml:space="preserve">” shall have the meaning set forth in Section 4.01(b). </w:t>
      </w:r>
    </w:p>
    <w:p>
      <w:pPr>
        <w:pStyle w:val="TextBody"/>
        <w:bidi w:val="0"/>
        <w:spacing w:before="240" w:after="0"/>
        <w:jc w:val="left"/>
        <w:rPr/>
      </w:pPr>
      <w:r>
        <w:rPr/>
        <w:t>“</w:t>
      </w:r>
      <w:r>
        <w:rPr>
          <w:rFonts w:ascii="Times New Roman" w:hAnsi="Times New Roman"/>
          <w:b/>
          <w:sz w:val="20"/>
        </w:rPr>
        <w:t>Stated Maturity</w:t>
      </w:r>
      <w:r>
        <w:rPr>
          <w:rFonts w:ascii="Times New Roman" w:hAnsi="Times New Roman"/>
          <w:sz w:val="20"/>
        </w:rPr>
        <w:t xml:space="preserve">”, with respect to any Security or any installment of principal thereof or interest thereon or any Additional Amounts with respect thereto, means the date established by or pursuant to this Indenture or such Security as the fixed date on which the principal of such Security or such installment of principal or interest is, or such Additional Amounts are, due and payable.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any corporation or other entity (including, without limitation, partnerships, limited liability companies, joint ventures and associations) of which at least a majority of the outstanding Capital Stock having by the terms thereof (without regard to the occurrence or any contingency) ordinary voting power for the election of directors (or persons performing similar functions) of such corporation or other entity (irrespective of whether or not at the time the Capital Stock of any other class or classes of such corporation or other entity shall have or might have voting power by reason of the occurrence of any such contingency) is at the time directly or indirectly owned by the Issuer, or by one or more Subsidiaries of the Issuer, or by the Issuer and one or more other Subsidiaries of the Issuer. </w:t>
      </w:r>
    </w:p>
    <w:p>
      <w:pPr>
        <w:pStyle w:val="TextBody"/>
        <w:bidi w:val="0"/>
        <w:spacing w:before="240" w:after="0"/>
        <w:jc w:val="left"/>
        <w:rPr/>
      </w:pPr>
      <w:r>
        <w:rPr/>
        <w:t>“</w:t>
      </w:r>
      <w:r>
        <w:rPr>
          <w:rFonts w:ascii="Times New Roman" w:hAnsi="Times New Roman"/>
          <w:b/>
          <w:sz w:val="20"/>
        </w:rPr>
        <w:t>Trust Indenture Act of 1939</w:t>
      </w:r>
      <w:r>
        <w:rPr>
          <w:rFonts w:ascii="Times New Roman" w:hAnsi="Times New Roman"/>
          <w:sz w:val="20"/>
        </w:rPr>
        <w:t xml:space="preserve">” (except as otherwise provided in Sections 8.01 and 8.02) means the Trust Indenture Act of 1939 as in force at the date as of which this Indenture was originally executed. </w:t>
      </w:r>
    </w:p>
    <w:p>
      <w:pPr>
        <w:pStyle w:val="TextBody"/>
        <w:bidi w:val="0"/>
        <w:spacing w:before="240" w:after="0"/>
        <w:jc w:val="left"/>
        <w:rPr/>
      </w:pPr>
      <w:r>
        <w:rPr/>
        <w:t>“</w:t>
      </w:r>
      <w:r>
        <w:rPr>
          <w:rFonts w:ascii="Times New Roman" w:hAnsi="Times New Roman"/>
          <w:b/>
          <w:sz w:val="20"/>
        </w:rPr>
        <w:t>Trustee</w:t>
      </w:r>
      <w:r>
        <w:rPr>
          <w:rFonts w:ascii="Times New Roman" w:hAnsi="Times New Roman"/>
          <w:sz w:val="20"/>
        </w:rPr>
        <w:t>” means the Person identified as “</w:t>
      </w:r>
      <w:r>
        <w:rPr>
          <w:rFonts w:ascii="Times New Roman" w:hAnsi="Times New Roman"/>
          <w:b/>
          <w:sz w:val="20"/>
        </w:rPr>
        <w:t>Trustee</w:t>
      </w:r>
      <w:r>
        <w:rPr>
          <w:rFonts w:ascii="Times New Roman" w:hAnsi="Times New Roman"/>
          <w:sz w:val="20"/>
        </w:rPr>
        <w:t>” in the first paragraph hereof and, subject to the provisions of Article 6, shall also include any successor trustee. “</w:t>
      </w:r>
      <w:r>
        <w:rPr>
          <w:rFonts w:ascii="Times New Roman" w:hAnsi="Times New Roman"/>
          <w:b/>
          <w:sz w:val="20"/>
        </w:rPr>
        <w:t>Trustee</w:t>
      </w:r>
      <w:r>
        <w:rPr>
          <w:rFonts w:ascii="Times New Roman" w:hAnsi="Times New Roman"/>
          <w:sz w:val="20"/>
        </w:rPr>
        <w:t>” shall also mean or include each Person who is then a trustee hereunder and if at any time there is more than one such Person, “</w:t>
      </w:r>
      <w:r>
        <w:rPr>
          <w:rFonts w:ascii="Times New Roman" w:hAnsi="Times New Roman"/>
          <w:b/>
          <w:sz w:val="20"/>
        </w:rPr>
        <w:t>Trustee</w:t>
      </w:r>
      <w:r>
        <w:rPr>
          <w:rFonts w:ascii="Times New Roman" w:hAnsi="Times New Roman"/>
          <w:sz w:val="20"/>
        </w:rPr>
        <w:t xml:space="preserve">” as used with respect to the Securities of any series shall mean the trustee with respect to the Securities of such series. </w:t>
      </w:r>
    </w:p>
    <w:p>
      <w:pPr>
        <w:pStyle w:val="TextBody"/>
        <w:bidi w:val="0"/>
        <w:spacing w:before="240" w:after="0"/>
        <w:jc w:val="left"/>
        <w:rPr/>
      </w:pPr>
      <w:r>
        <w:rPr/>
        <w:t>“</w:t>
      </w:r>
      <w:r>
        <w:rPr>
          <w:rFonts w:ascii="Times New Roman" w:hAnsi="Times New Roman"/>
          <w:b/>
          <w:sz w:val="20"/>
        </w:rPr>
        <w:t>U.S. Government Obligation</w:t>
      </w:r>
      <w:r>
        <w:rPr>
          <w:rFonts w:ascii="Times New Roman" w:hAnsi="Times New Roman"/>
          <w:sz w:val="20"/>
        </w:rPr>
        <w:t xml:space="preserve">” means (a) a direct obligation of the United States of America, backed by its full faith and credit, or (b) an obligation of a Person controlled or supervised by and acting as an agency or instrumentality of the United States of America, the payment of which is unconditionally guaranteed as a full faith and credit obligation by the United States of America. </w:t>
      </w:r>
    </w:p>
    <w:p>
      <w:pPr>
        <w:pStyle w:val="TextBody"/>
        <w:bidi w:val="0"/>
        <w:spacing w:before="240" w:after="0"/>
        <w:jc w:val="left"/>
        <w:rPr/>
      </w:pPr>
      <w:r>
        <w:rPr/>
        <w:t>“</w:t>
      </w:r>
      <w:r>
        <w:rPr>
          <w:rFonts w:ascii="Times New Roman" w:hAnsi="Times New Roman"/>
          <w:b/>
          <w:sz w:val="20"/>
        </w:rPr>
        <w:t>vice president</w:t>
      </w:r>
      <w:r>
        <w:rPr>
          <w:rFonts w:ascii="Times New Roman" w:hAnsi="Times New Roman"/>
          <w:sz w:val="20"/>
        </w:rPr>
        <w:t xml:space="preserve">”, when used with respect to the Issuer or the Trustee, means any vice president, whether or not designated by a number or a word or words added before or after the title of “vice president”. </w:t>
      </w:r>
    </w:p>
    <w:p>
      <w:pPr>
        <w:pStyle w:val="TextBody"/>
        <w:bidi w:val="0"/>
        <w:spacing w:before="240" w:after="0"/>
        <w:jc w:val="left"/>
        <w:rPr/>
      </w:pPr>
      <w:r>
        <w:rPr/>
        <w:t>“</w:t>
      </w:r>
      <w:r>
        <w:rPr>
          <w:rFonts w:ascii="Times New Roman" w:hAnsi="Times New Roman"/>
          <w:b/>
          <w:sz w:val="20"/>
        </w:rPr>
        <w:t>Yield to Maturity</w:t>
      </w:r>
      <w:r>
        <w:rPr>
          <w:rFonts w:ascii="Times New Roman" w:hAnsi="Times New Roman"/>
          <w:sz w:val="20"/>
        </w:rPr>
        <w:t xml:space="preserve">” means the yield to maturity on a series of securities, calculated at the time of issuance of such series, or, if applicable, at the most recent redetermination of interest on such series, and calculated in accordance with accepted financial practice. </w:t>
      </w:r>
    </w:p>
    <w:p>
      <w:pPr>
        <w:pStyle w:val="TextBody"/>
        <w:bidi w:val="0"/>
        <w:spacing w:before="480" w:after="0"/>
        <w:jc w:val="center"/>
        <w:rPr>
          <w:rFonts w:ascii="Times New Roman" w:hAnsi="Times New Roman"/>
          <w:sz w:val="20"/>
        </w:rPr>
      </w:pPr>
      <w:r>
        <w:rPr>
          <w:rFonts w:ascii="Times New Roman" w:hAnsi="Times New Roman"/>
          <w:sz w:val="20"/>
        </w:rPr>
        <w:t xml:space="preserve">ARTICLE 2 </w:t>
      </w:r>
    </w:p>
    <w:p>
      <w:pPr>
        <w:pStyle w:val="TextBody"/>
        <w:bidi w:val="0"/>
        <w:spacing w:before="0" w:after="0"/>
        <w:jc w:val="center"/>
        <w:rPr>
          <w:rFonts w:ascii="Times New Roman" w:hAnsi="Times New Roman"/>
          <w:sz w:val="20"/>
        </w:rPr>
      </w:pPr>
      <w:r>
        <w:rPr>
          <w:rFonts w:ascii="Times New Roman" w:hAnsi="Times New Roman"/>
          <w:sz w:val="20"/>
        </w:rPr>
        <w:t xml:space="preserve">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i/>
          <w:sz w:val="20"/>
        </w:rPr>
        <w:t xml:space="preserve">Forms Generally. </w:t>
      </w:r>
      <w:r>
        <w:rPr>
          <w:rFonts w:ascii="Times New Roman" w:hAnsi="Times New Roman"/>
          <w:sz w:val="20"/>
        </w:rPr>
        <w:t xml:space="preserve">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definitive Securities shall be printed, lithographed or engraved on steel engraved borders or may be produced in any other manner, all as determined by the officers executing such Securities as evidenced by their execution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i/>
          <w:sz w:val="20"/>
        </w:rPr>
        <w:t xml:space="preserve">Form of Trustee’s Certificate of Authentication. </w:t>
      </w:r>
      <w:r>
        <w:rPr>
          <w:rFonts w:ascii="Times New Roman" w:hAnsi="Times New Roman"/>
          <w:sz w:val="20"/>
        </w:rPr>
        <w:t xml:space="preserve">The Trustee’s certificate of authentication on all Securities shall be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is one of the Securities of the series designated herein and referred to in the within-mentioned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4"/>
        <w:gridCol w:w="147"/>
        <w:gridCol w:w="3201"/>
      </w:tblGrid>
      <w:tr>
        <w:trPr/>
        <w:tc>
          <w:tcPr>
            <w:tcW w:w="734"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32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as Trustee</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47" w:type="dxa"/>
            <w:tcBorders>
              <w:bottom w:val="single" w:sz="2" w:space="0" w:color="000000"/>
            </w:tcBorders>
            <w:tcMar>
              <w:bottom w:w="28" w:type="dxa"/>
            </w:tcMar>
            <w:vAlign w:val="bottom"/>
          </w:tcPr>
          <w:p>
            <w:pPr>
              <w:pStyle w:val="TableContents"/>
              <w:bidi w:val="0"/>
              <w:spacing w:before="0" w:after="283"/>
              <w:jc w:val="left"/>
              <w:rPr/>
            </w:pPr>
            <w:r>
              <w:rPr/>
              <w:t> </w:t>
            </w:r>
          </w:p>
        </w:tc>
        <w:tc>
          <w:tcPr>
            <w:tcW w:w="3201"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Authorized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i/>
          <w:sz w:val="20"/>
        </w:rPr>
        <w:t>Amount Unlimited</w:t>
      </w:r>
      <w:r>
        <w:rPr>
          <w:rFonts w:ascii="Times New Roman" w:hAnsi="Times New Roman"/>
          <w:sz w:val="20"/>
        </w:rPr>
        <w:t xml:space="preserve">; </w:t>
      </w:r>
      <w:r>
        <w:rPr>
          <w:rFonts w:ascii="Times New Roman" w:hAnsi="Times New Roman"/>
          <w:i/>
          <w:sz w:val="20"/>
        </w:rPr>
        <w:t xml:space="preserve">Issuable in Series. </w:t>
      </w:r>
      <w:r>
        <w:rPr>
          <w:rFonts w:ascii="Times New Roman" w:hAnsi="Times New Roman"/>
          <w:sz w:val="20"/>
        </w:rPr>
        <w:t xml:space="preserve">The aggregate principal amount of Securities which may be authenticated and delivered under this Indenture is unlimited.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Securities of the series (which may be part of a series of Securities previously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or the method used to determine those dates and the right, if any, to extend such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at which the Securities of the series shall bear interest, if any or the method by which such rate or rates shall be determined; the record date or dates for the determination of holders to whom interest is payable; the date or dates from which such interest shall accrue and on which such interest shall be payable, or the method by which such date or dates shall be determined; the right, if any, to extend the interest payment periods and the duration of that extension; and the basis upon which interest shall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and any interest on Securities of the series shall be payable (if other than as provided in Section 3.02);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9"/>
        <w:gridCol w:w="8880"/>
      </w:tblGrid>
      <w:tr>
        <w:trPr/>
        <w:tc>
          <w:tcPr>
            <w:tcW w:w="91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 or the right,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 or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(g)</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denominations of $1,000 and any integral multiple of $1,000 in excess thereof, the denominations in which Securities of the series shall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(h)</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principal amount thereof, the portion of the principal amount of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Dollars, the currency, currencies or currency units in which the Securities of the series are denominated;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(j)</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currency in which the Securities of the series are denominated, the currency in which payment of the principal of or interest on the Securities of such series shall be payable;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(k)</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(l)</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amount of payments of principal of and interest on the Securities of the series may be determined by reference to an index based on a currency other than that in which the Securities of the series are denominated, or by reference to one or more currency exchange rates, securities or baskets of securities, commodity prices or indices, the manner in which such amounts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(m)</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(n)</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(o)</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Sections 10.01(b) or 10.01(c) are inapplicable to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(p)</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the Issuer will pay Additional Amounts on the Securities and, if so, whether the Issuer will have the option to redeem such Securities rather than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(q)</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trustees, authenticating or paying agents, transfer agents or registrars or any other agents with respect to the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(s)</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events of default or covenants with respect to the Securities of such series in addition to or in lieu of those contained in this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(t)</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i/>
          <w:sz w:val="20"/>
        </w:rPr>
        <w:t xml:space="preserve">Authentication and Delivery of Securities. </w:t>
      </w:r>
      <w:r>
        <w:rPr>
          <w:rFonts w:ascii="Times New Roman" w:hAnsi="Times New Roman"/>
          <w:sz w:val="20"/>
        </w:rPr>
        <w:t xml:space="preserve">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Issuer Order requesting such authentication and setting forth delivery instructions if the Securities are not to be delivered to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Board Resolution, Officer’s Certificate and/or executed supplemental indenture referred to in Sections 2.01 and 2.03 by or pursuant to which the forms and terms of the Securities were established;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Opinion of Counsel to the effect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or forms and terms of such Securities have been established pursuant to Sections 2.01 and 2.03 and comply with this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authentication and delivery of such Securities by the Trustee are authorized under the provisions of this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Securities when authenticated and delivered by the Trustee and issued by the Issuer in the manner and subject to any conditions specified in such Opinion of Counsel, will constitute valid and binding obligations of the Issuer,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covering such other matters as the Trustee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execute and the Trustee shall, in accordance with this Section with respect to the Securities of a series, authenticate and deliver one or more Global Securities that (i) 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 </w:t>
      </w:r>
    </w:p>
    <w:p>
      <w:pPr>
        <w:pStyle w:val="TextBody"/>
        <w:bidi w:val="0"/>
        <w:spacing w:before="240" w:after="0"/>
        <w:jc w:val="left"/>
        <w:rPr/>
      </w:pPr>
      <w:r>
        <w:rPr/>
        <w:t>“</w:t>
      </w:r>
      <w:r>
        <w:rPr>
          <w:rFonts w:ascii="Times New Roman" w:hAnsi="Times New Roman"/>
          <w:sz w:val="20"/>
        </w:rPr>
        <w:t xml:space="preserve">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Each Depositary designated pursuant to this Section must, at the time of its designation and at all times while it serves as Depositary, be a clearing agency registered under the Securities Exchange Act of 1934, as amended and any other applicable statute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i/>
          <w:sz w:val="20"/>
        </w:rPr>
        <w:t>Execution of Securities</w:t>
      </w:r>
      <w:r>
        <w:rPr>
          <w:rFonts w:ascii="Times New Roman" w:hAnsi="Times New Roman"/>
          <w:sz w:val="20"/>
        </w:rPr>
        <w:t xml:space="preserve">. The Securities shall be signed on behalf of the Issuer by the chairman of its Board of Directors, any vice chairman of its Board of Directors, its 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i/>
          <w:sz w:val="20"/>
        </w:rPr>
        <w:t>Certificate of Authentication</w:t>
      </w:r>
      <w:r>
        <w:rPr>
          <w:rFonts w:ascii="Times New Roman" w:hAnsi="Times New Roman"/>
          <w:sz w:val="20"/>
        </w:rPr>
        <w:t xml:space="preserve">.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i/>
          <w:sz w:val="20"/>
        </w:rPr>
        <w:t>Denomination and Date of Securities; Payments of Interest</w:t>
      </w:r>
      <w:r>
        <w:rPr>
          <w:rFonts w:ascii="Times New Roman" w:hAnsi="Times New Roman"/>
          <w:sz w:val="20"/>
        </w:rPr>
        <w:t xml:space="preserve">. The Securities of each series shall be issuable in denominations established as contemplated by Section 2.03 or, if not so established, in denominations of $1,000 and any integral multiple of $1,000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shall be dated the date of its authentication. The Securities of each series shall bear interest, if any, from the date, and such interest shall be payable on the dates, established as contemplated by Section 2.03.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or on behalf of the Issuer to the Holders of Securities not less than 15 days preceding such subsequent record date. The term “</w:t>
      </w:r>
      <w:r>
        <w:rPr>
          <w:rFonts w:ascii="Times New Roman" w:hAnsi="Times New Roman"/>
          <w:b/>
          <w:sz w:val="20"/>
        </w:rPr>
        <w:t>record date”</w:t>
      </w:r>
      <w:r>
        <w:rPr>
          <w:rFonts w:ascii="Times New Roman" w:hAnsi="Times New Roman"/>
          <w:sz w:val="20"/>
        </w:rPr>
        <w:t xml:space="preserv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specified, if such Interest Payment Date is the first day of a calendar month, the 15th day of the immediately preceding calendar month or, if such Interest Payment Date is the 15th day of a calendar month, the first day of such calendar month, whether or not such record date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i/>
          <w:sz w:val="20"/>
        </w:rPr>
        <w:t>Registration, Transfer and Exchange</w:t>
      </w:r>
      <w:r>
        <w:rPr>
          <w:rFonts w:ascii="Times New Roman" w:hAnsi="Times New Roman"/>
          <w:sz w:val="20"/>
        </w:rPr>
        <w:t xml:space="preserve">. The Issuer will keep at each office or agency to be maintained for the purpose as provided in Section 3.02 for each series of Securities a register or registers in which, subject to such reasonable regulations as it may 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 </w:t>
      </w:r>
    </w:p>
    <w:p>
      <w:pPr>
        <w:pStyle w:val="TextBody"/>
        <w:bidi w:val="0"/>
        <w:spacing w:before="240" w:after="0"/>
        <w:jc w:val="left"/>
        <w:rPr>
          <w:rFonts w:ascii="Times New Roman" w:hAnsi="Times New Roman"/>
          <w:sz w:val="20"/>
        </w:rPr>
      </w:pPr>
      <w:r>
        <w:rPr>
          <w:rFonts w:ascii="Times New Roman" w:hAnsi="Times New Roman"/>
          <w:sz w:val="20"/>
        </w:rPr>
        <w:t xml:space="preserve">The Issuer may require payment of a sum sufficient to cover any stamp or other tax or other governmental charge that may be imposed in connection with any exchange or registration of transfer of Securities. No service charge shall be made for any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not be required to exchange or register a transfer of (a) any Securities of any series for a period of 15 days immediately preceding the first delivery of notice of redemption of Securities of such series to be redeemed or (b) any Securities selected, called or being called for redemption, in whole or in part, except, in the case of any Security to be redeemed in part, the portion thereof not so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for such Global Security may surrender such Global Security in exchange in whole or in part for Securities of the same series in definitive registered form in accordance with the two preceding paragraphs or on such other terms as are acceptable to the Issuer and such Depositary. Thereupon, the Issuer shall execute, and the Trustee shall authenticate and deliver, without service charge,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Person specified by such Depositary a new Security or Securities of the same series, of any authorized denominations as requested by such Person, in an aggregate principal amount equal to and in exchange for such Person’s beneficial interest in the Global Security;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such Depositary a new Global Security in a denomination equal to the difference, if any, between the principal amount of the surrendered Global Security and the aggregate principal amount of Securities authenticated and delivered pursuant to clause (i)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issued upon any transfer or exchange of Securities shall be valid obligations of the Issuer, evidencing the same debt, and entitled to the same benefits under this Indenture, as the Securities surrendered upon such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i/>
          <w:sz w:val="20"/>
        </w:rPr>
        <w:t xml:space="preserve">Mutilated, Defaced, Destroyed, Lost and Stolen Securities. </w:t>
      </w:r>
      <w:r>
        <w:rPr>
          <w:rFonts w:ascii="Times New Roman" w:hAnsi="Times New Roman"/>
          <w:sz w:val="20"/>
        </w:rPr>
        <w:t xml:space="preserve">In case any temporary or definitive Security shall become mutilated or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 </w:t>
      </w:r>
    </w:p>
    <w:p>
      <w:pPr>
        <w:pStyle w:val="TextBody"/>
        <w:bidi w:val="0"/>
        <w:spacing w:before="240" w:after="0"/>
        <w:jc w:val="left"/>
        <w:rPr>
          <w:rFonts w:ascii="Times New Roman" w:hAnsi="Times New Roman"/>
          <w:sz w:val="20"/>
        </w:rPr>
      </w:pPr>
      <w:r>
        <w:rPr>
          <w:rFonts w:ascii="Times New Roman" w:hAnsi="Times New Roman"/>
          <w:sz w:val="20"/>
        </w:rPr>
        <w:t xml:space="preserve">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2.10 </w:t>
      </w:r>
      <w:r>
        <w:rPr>
          <w:rFonts w:ascii="Times New Roman" w:hAnsi="Times New Roman"/>
          <w:i/>
          <w:sz w:val="20"/>
        </w:rPr>
        <w:t xml:space="preserve">Cancellation of Securities; Destruction Thereof. </w:t>
      </w:r>
      <w:r>
        <w:rPr>
          <w:rFonts w:ascii="Times New Roman" w:hAnsi="Times New Roman"/>
          <w:sz w:val="20"/>
        </w:rPr>
        <w:t xml:space="preserve">All Securities surrendered for exchange for Securities of the same series or for payment, redemption, registration of transfer or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i/>
          <w:sz w:val="20"/>
        </w:rPr>
        <w:t xml:space="preserve">Temporary Securities. </w:t>
      </w:r>
      <w:r>
        <w:rPr>
          <w:rFonts w:ascii="Times New Roman" w:hAnsi="Times New Roman"/>
          <w:sz w:val="20"/>
        </w:rPr>
        <w:t xml:space="preserve">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i/>
          <w:sz w:val="20"/>
        </w:rPr>
        <w:t>CUSIP Numbers</w:t>
      </w:r>
      <w:r>
        <w:rPr>
          <w:rFonts w:ascii="Times New Roman" w:hAnsi="Times New Roman"/>
          <w:sz w:val="20"/>
        </w:rPr>
        <w:t xml:space="preserve">. The Issuer in issuing the Securities may use “CUSIP” numbers if then generally in use and, if so, the Trustee may use “CUSIP” numbers in notices of redemption as a convenience to Holders. Any such notice may state that no representation is made as to the correctness of such numbers either as printed on the Securities or as contained in any notice of a redemption and that reliance may be placed only on the other identification numbers printed on the Securities. No such redemption shall be affected by any defect in or omission of such numbers. </w:t>
      </w:r>
    </w:p>
    <w:p>
      <w:pPr>
        <w:pStyle w:val="TextBody"/>
        <w:bidi w:val="0"/>
        <w:spacing w:before="480" w:after="0"/>
        <w:jc w:val="center"/>
        <w:rPr>
          <w:rFonts w:ascii="Times New Roman" w:hAnsi="Times New Roman"/>
          <w:sz w:val="20"/>
        </w:rPr>
      </w:pPr>
      <w:r>
        <w:rPr>
          <w:rFonts w:ascii="Times New Roman" w:hAnsi="Times New Roman"/>
          <w:sz w:val="20"/>
        </w:rPr>
        <w:t xml:space="preserve">ARTICLE 3 </w:t>
      </w:r>
    </w:p>
    <w:p>
      <w:pPr>
        <w:pStyle w:val="TextBody"/>
        <w:bidi w:val="0"/>
        <w:spacing w:before="0" w:after="0"/>
        <w:jc w:val="center"/>
        <w:rPr>
          <w:rFonts w:ascii="Times New Roman" w:hAnsi="Times New Roman"/>
          <w:sz w:val="20"/>
        </w:rPr>
      </w:pPr>
      <w:r>
        <w:rPr>
          <w:rFonts w:ascii="Times New Roman" w:hAnsi="Times New Roman"/>
          <w:sz w:val="20"/>
        </w:rPr>
        <w:t xml:space="preserve">COVENANTS OF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i/>
          <w:sz w:val="20"/>
        </w:rPr>
        <w:t xml:space="preserve">Payment of Principal and Interest. </w:t>
      </w:r>
      <w:r>
        <w:rPr>
          <w:rFonts w:ascii="Times New Roman" w:hAnsi="Times New Roman"/>
          <w:sz w:val="20"/>
        </w:rPr>
        <w:t xml:space="preserve">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i/>
          <w:sz w:val="20"/>
        </w:rPr>
        <w:t>Offices for Payments, Etc</w:t>
      </w:r>
      <w:r>
        <w:rPr>
          <w:rFonts w:ascii="Times New Roman" w:hAnsi="Times New Roman"/>
          <w:sz w:val="20"/>
        </w:rPr>
        <w:t xml:space="preserve">. The Issuer will maintain (i) in _______, an agency where the Securities of each series may be presented for payment, an agency where the 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maintain in __________, an agency where notices and demands to or upon the Issuer in respect of the Securities of any series or this Indenture may be served.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give to the Trustee written notice of the location of each such agency and of any change of location thereof. In case the Issuer shall fail to maintain any agency required by this Section to be located in __________, or shall fail to give such notice of the location or of any change in the location of any of the above agencies, presentations and demands may be made and notices may be served at the Corporate Trust Office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designation or rescission shall in any manner relieve the Issuer of its obligation to maintain the agencies provided for in this Section. The Issuer will give to the Trustee prompt written notice of any such designation or rescission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i/>
          <w:sz w:val="20"/>
        </w:rPr>
        <w:t xml:space="preserve">Appointment to Fill a Vacancy in Office of Trustee. </w:t>
      </w:r>
      <w:r>
        <w:rPr>
          <w:rFonts w:ascii="Times New Roman" w:hAnsi="Times New Roman"/>
          <w:sz w:val="20"/>
        </w:rPr>
        <w:t xml:space="preserve">The Issuer, whenever necessary to avoid or fill a vacancy in the office of Trustee, will appoint, in the manner provided in Section 6.10, a Trustee, so that there shall at all times be a Trustee with respect to each series of Securities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i/>
          <w:sz w:val="20"/>
        </w:rPr>
        <w:t xml:space="preserve">Paying Agents. </w:t>
      </w:r>
      <w:r>
        <w:rPr>
          <w:rFonts w:ascii="Times New Roman" w:hAnsi="Times New Roman"/>
          <w:sz w:val="20"/>
        </w:rPr>
        <w:t xml:space="preserve">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it will give the Trustee notice of any failure by the Issuer (or by any other obligor on the Securities of such series) to make any payment of the principal of or interest on the Securities of such series when the same shall be due and payable,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at any time during the continuance of any such failure, upon the written request of the Trustee, it will forthwith pay to the Trustee all sums so held in trust by such paying agent.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 </w:t>
      </w:r>
    </w:p>
    <w:p>
      <w:pPr>
        <w:pStyle w:val="TextBody"/>
        <w:bidi w:val="0"/>
        <w:spacing w:before="240" w:after="0"/>
        <w:jc w:val="left"/>
        <w:rPr>
          <w:rFonts w:ascii="Times New Roman" w:hAnsi="Times New Roman"/>
          <w:sz w:val="20"/>
        </w:rPr>
      </w:pPr>
      <w:r>
        <w:rPr>
          <w:rFonts w:ascii="Times New Roman" w:hAnsi="Times New Roman"/>
          <w:sz w:val="20"/>
        </w:rPr>
        <w:t xml:space="preserve">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 </w:t>
      </w:r>
    </w:p>
    <w:p>
      <w:pPr>
        <w:pStyle w:val="TextBody"/>
        <w:bidi w:val="0"/>
        <w:spacing w:before="240" w:after="0"/>
        <w:jc w:val="left"/>
        <w:rPr>
          <w:rFonts w:ascii="Times New Roman" w:hAnsi="Times New Roman"/>
          <w:sz w:val="20"/>
        </w:rPr>
      </w:pPr>
      <w:r>
        <w:rPr>
          <w:rFonts w:ascii="Times New Roman" w:hAnsi="Times New Roman"/>
          <w:sz w:val="20"/>
        </w:rPr>
        <w:t xml:space="preserve">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 </w:t>
      </w:r>
    </w:p>
    <w:p>
      <w:pPr>
        <w:pStyle w:val="TextBody"/>
        <w:bidi w:val="0"/>
        <w:spacing w:before="240" w:after="0"/>
        <w:jc w:val="left"/>
        <w:rPr>
          <w:rFonts w:ascii="Times New Roman" w:hAnsi="Times New Roman"/>
          <w:sz w:val="20"/>
        </w:rPr>
      </w:pPr>
      <w:r>
        <w:rPr>
          <w:rFonts w:ascii="Times New Roman" w:hAnsi="Times New Roman"/>
          <w:sz w:val="20"/>
        </w:rPr>
        <w:t xml:space="preserve">Anything in this Section to the contrary notwithstanding, the agreement to hold sums in trust as provided in this Section is subject to the provisions of Sections 10.03 and 10.04.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i/>
          <w:sz w:val="20"/>
        </w:rPr>
        <w:t xml:space="preserve">Written Statement to Trustee. </w:t>
      </w:r>
      <w:r>
        <w:rPr>
          <w:rFonts w:ascii="Times New Roman" w:hAnsi="Times New Roman"/>
          <w:sz w:val="20"/>
        </w:rPr>
        <w:t xml:space="preserve">So long as any Securities are Outstanding hereunder, the Issuer will deliver to the Trustee, within 120 days after the end of each fiscal year of the Issuer ending after the date hereof, a written certificate covering the previous fiscal year, (which need not comply with Section 11.05), signed by its principal executive officer, principal financial officer or principal accounting officer, stating whether or not, to the best knowledge of such officer,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they may have knowledge. </w:t>
      </w:r>
    </w:p>
    <w:p>
      <w:pPr>
        <w:pStyle w:val="TextBody"/>
        <w:bidi w:val="0"/>
        <w:spacing w:before="480" w:after="0"/>
        <w:jc w:val="center"/>
        <w:rPr>
          <w:rFonts w:ascii="Times New Roman" w:hAnsi="Times New Roman"/>
          <w:sz w:val="20"/>
        </w:rPr>
      </w:pPr>
      <w:r>
        <w:rPr>
          <w:rFonts w:ascii="Times New Roman" w:hAnsi="Times New Roman"/>
          <w:sz w:val="20"/>
        </w:rPr>
        <w:t xml:space="preserve">ARTICLE 4 </w:t>
      </w:r>
    </w:p>
    <w:p>
      <w:pPr>
        <w:pStyle w:val="TextBody"/>
        <w:bidi w:val="0"/>
        <w:spacing w:before="0" w:after="0"/>
        <w:jc w:val="center"/>
        <w:rPr>
          <w:rFonts w:ascii="Times New Roman" w:hAnsi="Times New Roman"/>
          <w:sz w:val="20"/>
        </w:rPr>
      </w:pPr>
      <w:r>
        <w:rPr>
          <w:rFonts w:ascii="Times New Roman" w:hAnsi="Times New Roman"/>
          <w:sz w:val="20"/>
        </w:rPr>
        <w:t xml:space="preserve">SECURITYHOLDERS LISTS AND REPORTS BY THE ISSUER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i/>
          <w:sz w:val="20"/>
        </w:rPr>
        <w:t>Issuer to Furnish Trustee Information as to Names and</w:t>
      </w:r>
      <w:r>
        <w:rPr>
          <w:rFonts w:ascii="Times New Roman" w:hAnsi="Times New Roman"/>
          <w:sz w:val="20"/>
        </w:rPr>
        <w:t xml:space="preserve"> </w:t>
      </w:r>
      <w:r>
        <w:rPr>
          <w:rFonts w:ascii="Times New Roman" w:hAnsi="Times New Roman"/>
          <w:i/>
          <w:sz w:val="20"/>
        </w:rPr>
        <w:t xml:space="preserve">Addresses of Securityholders. </w:t>
      </w:r>
      <w:r>
        <w:rPr>
          <w:rFonts w:ascii="Times New Roman" w:hAnsi="Times New Roman"/>
          <w:sz w:val="20"/>
        </w:rPr>
        <w:t xml:space="preserve">The Issuer covenants and agrees that it will furnish or cause to be furnished to the Trustee a list in such form as the Trustee may reasonably require of the names and addresses of the Holders of the Securities of each series pursuant to Section 312 of the Trust Indenture Act of 1939: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semiannually and not more than 15 days after each record date for the payment of interest on such Securities, as hereinabove specified, as of such record date and on dates to be determined pursuant to Section 2.03 for non-interest bearing Securities in each year,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such other times as the Trustee may request in writing, within 30 days after receipt by the Issuer of any such request as of a date not more than 15 days prior to the time such information is furnished, </w:t>
            </w:r>
            <w:r>
              <w:rPr>
                <w:rFonts w:ascii="Times New Roman" w:hAnsi="Times New Roman"/>
                <w:i/>
                <w:sz w:val="20"/>
              </w:rPr>
              <w:t>provided</w:t>
            </w:r>
            <w:r>
              <w:rPr>
                <w:rFonts w:ascii="Times New Roman" w:hAnsi="Times New Roman"/>
                <w:sz w:val="20"/>
              </w:rPr>
              <w:t>, that, if and so long as the Trustee shall be the Security registrar (the “</w:t>
            </w:r>
            <w:r>
              <w:rPr>
                <w:rFonts w:ascii="Times New Roman" w:hAnsi="Times New Roman"/>
                <w:b/>
                <w:sz w:val="20"/>
              </w:rPr>
              <w:t>Security Registrar”</w:t>
            </w:r>
            <w:r>
              <w:rPr>
                <w:rFonts w:ascii="Times New Roman" w:hAnsi="Times New Roman"/>
                <w:sz w:val="20"/>
              </w:rPr>
              <w:t xml:space="preserve">) for such series, such list shall not be required to be furnished.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i/>
          <w:sz w:val="20"/>
        </w:rPr>
        <w:t xml:space="preserve">Reports by the Issuer. </w:t>
      </w:r>
      <w:r>
        <w:rPr>
          <w:rFonts w:ascii="Times New Roman" w:hAnsi="Times New Roman"/>
          <w:sz w:val="20"/>
        </w:rPr>
        <w:t xml:space="preserve">The Issuer covenants to comply with Section 314(a) of the Trust Indenture Act of 1939 insofar as it relates to information, documentation and other reports which the Issuer may be required to file with the Commission pursuant to Section 13 or Section 15(d) of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i/>
          <w:sz w:val="20"/>
        </w:rPr>
        <w:t xml:space="preserve">Reports by the Trustee. </w:t>
      </w:r>
      <w:r>
        <w:rPr>
          <w:rFonts w:ascii="Times New Roman" w:hAnsi="Times New Roman"/>
          <w:sz w:val="20"/>
        </w:rPr>
        <w:t xml:space="preserve">Any Trustee’s report required under Section 313(a) of the Trust Indenture Act of 1939 shall be transmitted on or before ______ in each year following the date hereof, so long as any Securities are Outstanding hereunder, and shall be dated as of a date convenient to the Trustee but no more than 60 nor less than 45 days prior thereto. The Trustee shall comply with Sections 313(b), 313(c) and 313(d) of the Trust Indenture Act of 1939.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i/>
          <w:sz w:val="20"/>
        </w:rPr>
        <w:t xml:space="preserve">Preservation of Information; Communication with Securityholders. </w:t>
      </w:r>
      <w:r>
        <w:rPr>
          <w:rFonts w:ascii="Times New Roman" w:hAnsi="Times New Roman"/>
          <w:sz w:val="20"/>
        </w:rPr>
        <w:t xml:space="preserve">(a) The Trustee shall preserve, in as current a form as is reasonably practicable, all information as to the names and addresses of the Holders of Securities contained in the most recent list furnished to it as provided in Section 4.01 and as to the names and addresses of holders of Securities received by the Trustee in its capacity as Security Registrar (if acting in such capacity).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may destroy any list furnished to it as provided in Section 4.01 upon receipt of a new list so furnished.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Securityholders may communicate as provided in Section 312(b) of the Trust Indenture Act of 1939 with other Securityholders with respect to their rights under this Indenture or under the Securities. The Issuer, the Trustee, the Security Registrar and any other Person shall have the protection of Section 312(c) of the Trust Indenture Act of 1939. </w:t>
            </w:r>
          </w:p>
        </w:tc>
      </w:tr>
    </w:tbl>
    <w:p>
      <w:pPr>
        <w:pStyle w:val="TextBody"/>
        <w:bidi w:val="0"/>
        <w:spacing w:before="480" w:after="0"/>
        <w:jc w:val="center"/>
        <w:rPr>
          <w:rFonts w:ascii="Times New Roman" w:hAnsi="Times New Roman"/>
          <w:sz w:val="20"/>
        </w:rPr>
      </w:pPr>
      <w:r>
        <w:rPr>
          <w:rFonts w:ascii="Times New Roman" w:hAnsi="Times New Roman"/>
          <w:sz w:val="20"/>
        </w:rPr>
        <w:t xml:space="preserve">ARTICLE 5 </w:t>
      </w:r>
    </w:p>
    <w:p>
      <w:pPr>
        <w:pStyle w:val="TextBody"/>
        <w:bidi w:val="0"/>
        <w:spacing w:before="0" w:after="0"/>
        <w:jc w:val="center"/>
        <w:rPr>
          <w:rFonts w:ascii="Times New Roman" w:hAnsi="Times New Roman"/>
          <w:sz w:val="20"/>
        </w:rPr>
      </w:pPr>
      <w:r>
        <w:rPr>
          <w:rFonts w:ascii="Times New Roman" w:hAnsi="Times New Roman"/>
          <w:sz w:val="20"/>
        </w:rPr>
        <w:t xml:space="preserve">REMEDIES OF THE TRUSTEE AND SECURITYHOLDERS ON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i/>
          <w:sz w:val="20"/>
        </w:rPr>
        <w:t>Event of Default Defined; Acceleration of Maturity; Waiver</w:t>
      </w:r>
      <w:r>
        <w:rPr>
          <w:rFonts w:ascii="Times New Roman" w:hAnsi="Times New Roman"/>
          <w:sz w:val="20"/>
        </w:rPr>
        <w:t xml:space="preserve"> </w:t>
      </w:r>
      <w:r>
        <w:rPr>
          <w:rFonts w:ascii="Times New Roman" w:hAnsi="Times New Roman"/>
          <w:i/>
          <w:sz w:val="20"/>
        </w:rPr>
        <w:t xml:space="preserve">of Default. </w:t>
      </w:r>
      <w:r>
        <w:rPr>
          <w:rFonts w:ascii="Times New Roman" w:hAnsi="Times New Roman"/>
          <w:sz w:val="20"/>
        </w:rPr>
        <w:t>“</w:t>
      </w:r>
      <w:r>
        <w:rPr>
          <w:rFonts w:ascii="Times New Roman" w:hAnsi="Times New Roman"/>
          <w:b/>
          <w:sz w:val="20"/>
        </w:rPr>
        <w:t>Event of Default</w:t>
      </w:r>
      <w:r>
        <w:rPr>
          <w:rFonts w:ascii="Times New Roman" w:hAnsi="Times New Roman"/>
          <w:sz w:val="20"/>
        </w:rPr>
        <w:t xml:space="preserve">”,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installment of interest upon any of the Securities of such series as and when the same shall become due and payable, and continuance of such default for a period of 30 days (or such other period as may be established for the Securities of such series as contemplated by Section 2.03);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all or any part of the principal on any of the Securities of such series as and when the same shall become due and payable either at maturity, upon redemption, by declaration or otherwise (and, if established for the Securities of such series as contemplated by Section 2.03, the continuance of such default for a specified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default in the performance, or breach, of any covenant or agreement of the Issuer in respect of the Securities of such series (other than a covenant or agreement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such series, a written notice specifying such default or breach and requiring it to be remedied and stating that such notice is a “</w:t>
            </w:r>
            <w:r>
              <w:rPr>
                <w:rFonts w:ascii="Times New Roman" w:hAnsi="Times New Roman"/>
                <w:b/>
                <w:sz w:val="20"/>
              </w:rPr>
              <w:t>Notice of Default</w:t>
            </w:r>
            <w:r>
              <w:rPr>
                <w:rFonts w:ascii="Times New Roman" w:hAnsi="Times New Roman"/>
                <w:sz w:val="20"/>
              </w:rPr>
              <w:t xml:space="preserve">” hereunder;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for in such series of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described in clauses (a), (b), (c) or (f)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automatically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solely by such acceleration, shall have been cured, waived or otherwise remedied as provided herein, 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Board Resolution, Officer’s Certificate or supplemental indenture for a series of Original Issue Discount Securities, 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i/>
          <w:sz w:val="20"/>
        </w:rPr>
        <w:t xml:space="preserve">Collection of Debt by Trustee; Trustee May Prove Debt. </w:t>
      </w:r>
      <w:r>
        <w:rPr>
          <w:rFonts w:ascii="Times New Roman" w:hAnsi="Times New Roman"/>
          <w:sz w:val="20"/>
        </w:rPr>
        <w:t xml:space="preserve">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 </w:t>
      </w:r>
    </w:p>
    <w:p>
      <w:pPr>
        <w:pStyle w:val="TextBody"/>
        <w:bidi w:val="0"/>
        <w:spacing w:before="240" w:after="0"/>
        <w:jc w:val="left"/>
        <w:rPr>
          <w:rFonts w:ascii="Times New Roman" w:hAnsi="Times New Roman"/>
          <w:sz w:val="20"/>
        </w:rPr>
      </w:pPr>
      <w:r>
        <w:rPr>
          <w:rFonts w:ascii="Times New Roman" w:hAnsi="Times New Roman"/>
          <w:sz w:val="20"/>
        </w:rPr>
        <w:t xml:space="preserve">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 </w:t>
      </w:r>
    </w:p>
    <w:p>
      <w:pPr>
        <w:pStyle w:val="TextBody"/>
        <w:bidi w:val="0"/>
        <w:spacing w:before="240" w:after="0"/>
        <w:jc w:val="left"/>
        <w:rPr>
          <w:rFonts w:ascii="Times New Roman" w:hAnsi="Times New Roman"/>
          <w:sz w:val="20"/>
        </w:rPr>
      </w:pPr>
      <w:r>
        <w:rPr>
          <w:rFonts w:ascii="Times New Roman" w:hAnsi="Times New Roman"/>
          <w:sz w:val="20"/>
        </w:rPr>
        <w:t xml:space="preserve">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 </w:t>
      </w:r>
    </w:p>
    <w:p>
      <w:pPr>
        <w:pStyle w:val="TextBody"/>
        <w:bidi w:val="0"/>
        <w:spacing w:before="240" w:after="0"/>
        <w:jc w:val="left"/>
        <w:rPr>
          <w:rFonts w:ascii="Times New Roman" w:hAnsi="Times New Roman"/>
          <w:sz w:val="20"/>
        </w:rPr>
      </w:pPr>
      <w:r>
        <w:rPr>
          <w:rFonts w:ascii="Times New Roman" w:hAnsi="Times New Roman"/>
          <w:sz w:val="20"/>
        </w:rPr>
        <w:t xml:space="preserve">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 </w:t>
      </w:r>
    </w:p>
    <w:p>
      <w:pPr>
        <w:pStyle w:val="TextBody"/>
        <w:bidi w:val="0"/>
        <w:spacing w:before="240" w:after="0"/>
        <w:jc w:val="left"/>
        <w:rPr>
          <w:rFonts w:ascii="Times New Roman" w:hAnsi="Times New Roman"/>
          <w:sz w:val="20"/>
        </w:rPr>
      </w:pPr>
      <w:r>
        <w:rPr>
          <w:rFonts w:ascii="Times New Roman" w:hAnsi="Times New Roman"/>
          <w:sz w:val="20"/>
        </w:rPr>
        <w:t xml:space="preserve">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i/>
          <w:sz w:val="20"/>
        </w:rPr>
        <w:t xml:space="preserve">Application of Proceeds. </w:t>
      </w:r>
      <w:r>
        <w:rPr>
          <w:rFonts w:ascii="Times New Roman" w:hAnsi="Times New Roman"/>
          <w:sz w:val="20"/>
        </w:rPr>
        <w:t xml:space="preserve">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all amounts due to the Trustee or any predecessor trustee pursuant to Section 6.06; </w:t>
      </w:r>
    </w:p>
    <w:p>
      <w:pPr>
        <w:pStyle w:val="TextBody"/>
        <w:bidi w:val="0"/>
        <w:spacing w:before="120" w:after="0"/>
        <w:jc w:val="left"/>
        <w:rPr>
          <w:rFonts w:ascii="Times New Roman" w:hAnsi="Times New Roman"/>
          <w:sz w:val="20"/>
        </w:rPr>
      </w:pPr>
      <w:r>
        <w:rPr>
          <w:rFonts w:ascii="Times New Roman" w:hAnsi="Times New Roman"/>
          <w:sz w:val="20"/>
        </w:rPr>
        <w:t xml:space="preserve">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 </w:t>
      </w:r>
    </w:p>
    <w:p>
      <w:pPr>
        <w:pStyle w:val="TextBody"/>
        <w:bidi w:val="0"/>
        <w:spacing w:before="120" w:after="0"/>
        <w:jc w:val="left"/>
        <w:rPr>
          <w:rFonts w:ascii="Times New Roman" w:hAnsi="Times New Roman"/>
          <w:sz w:val="20"/>
        </w:rPr>
      </w:pPr>
      <w:r>
        <w:rPr>
          <w:rFonts w:ascii="Times New Roman" w:hAnsi="Times New Roman"/>
          <w:sz w:val="20"/>
        </w:rPr>
        <w:t xml:space="preserve">FOURTH: To the payment of the remainder, if any, to the Issuer or any other Person lawfully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i/>
          <w:sz w:val="20"/>
        </w:rPr>
        <w:t>Suits for Enforcement</w:t>
      </w:r>
      <w:r>
        <w:rPr>
          <w:rFonts w:ascii="Times New Roman" w:hAnsi="Times New Roman"/>
          <w:sz w:val="20"/>
        </w:rPr>
        <w:t xml:space="preserve">.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i/>
          <w:sz w:val="20"/>
        </w:rPr>
        <w:t>Restoration of Rights on Abandonment of Proceedings</w:t>
      </w:r>
      <w:r>
        <w:rPr>
          <w:rFonts w:ascii="Times New Roman" w:hAnsi="Times New Roman"/>
          <w:sz w:val="20"/>
        </w:rPr>
        <w:t xml:space="preserve">.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i/>
          <w:sz w:val="20"/>
        </w:rPr>
        <w:t>Limitations on Suits by Securityholders</w:t>
      </w:r>
      <w:r>
        <w:rPr>
          <w:rFonts w:ascii="Times New Roman" w:hAnsi="Times New Roman"/>
          <w:sz w:val="20"/>
        </w:rPr>
        <w:t xml:space="preserve">. No Holder of any Security of any series shall have any right by virtue, or by availing itself,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i/>
          <w:sz w:val="20"/>
        </w:rPr>
        <w:t>Unconditional Right of Securityholders to Institute Certain</w:t>
      </w:r>
      <w:r>
        <w:rPr>
          <w:rFonts w:ascii="Times New Roman" w:hAnsi="Times New Roman"/>
          <w:sz w:val="20"/>
        </w:rPr>
        <w:t xml:space="preserve"> </w:t>
      </w:r>
      <w:r>
        <w:rPr>
          <w:rFonts w:ascii="Times New Roman" w:hAnsi="Times New Roman"/>
          <w:i/>
          <w:sz w:val="20"/>
        </w:rPr>
        <w:t>Suits</w:t>
      </w:r>
      <w:r>
        <w:rPr>
          <w:rFonts w:ascii="Times New Roman" w:hAnsi="Times New Roman"/>
          <w:sz w:val="20"/>
        </w:rPr>
        <w:t xml:space="preserve">.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shall not be impaired or affected without the consent of such Holder;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Securities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i/>
          <w:sz w:val="20"/>
        </w:rPr>
        <w:t>Powers and Remedies Cumulative; Delay or Omission Not</w:t>
      </w:r>
      <w:r>
        <w:rPr>
          <w:rFonts w:ascii="Times New Roman" w:hAnsi="Times New Roman"/>
          <w:sz w:val="20"/>
        </w:rPr>
        <w:t xml:space="preserve"> </w:t>
      </w:r>
      <w:r>
        <w:rPr>
          <w:rFonts w:ascii="Times New Roman" w:hAnsi="Times New Roman"/>
          <w:i/>
          <w:sz w:val="20"/>
        </w:rPr>
        <w:t>Waiver of Default</w:t>
      </w:r>
      <w:r>
        <w:rPr>
          <w:rFonts w:ascii="Times New Roman" w:hAnsi="Times New Roman"/>
          <w:sz w:val="20"/>
        </w:rPr>
        <w:t xml:space="preserve">. Except as provided in Section 5.06,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 Indenture or by law to the Trustee or to the Holders of Securities may be exercised from time to time, and as often as shall be deemed expedient, by the Trustee or by the Holders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i/>
          <w:sz w:val="20"/>
        </w:rPr>
        <w:t>Control by Holders of Securities</w:t>
      </w:r>
      <w:r>
        <w:rPr>
          <w:rFonts w:ascii="Times New Roman" w:hAnsi="Times New Roman"/>
          <w:sz w:val="20"/>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Times New Roman" w:hAnsi="Times New Roman"/>
          <w:i/>
          <w:sz w:val="20"/>
        </w:rPr>
        <w:t>provided</w:t>
      </w:r>
      <w:r>
        <w:rPr>
          <w:rFonts w:ascii="Times New Roman" w:hAnsi="Times New Roman"/>
          <w:sz w:val="20"/>
        </w:rPr>
        <w:t xml:space="preserve">, that such direction shall not be otherwise than in accordance with law and the 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shall impair the right of the Trustee in its discretion to take any action deemed proper by the Trustee and which is not inconsistent with such direction or directions by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i/>
          <w:sz w:val="20"/>
        </w:rPr>
        <w:t>Waiver of Past Defaults</w:t>
      </w:r>
      <w:r>
        <w:rPr>
          <w:rFonts w:ascii="Times New Roman" w:hAnsi="Times New Roman"/>
          <w:sz w:val="20"/>
        </w:rPr>
        <w:t xml:space="preserve">. The Holders of a majority in aggregate principal amount of the Securities of any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an uncured default in the payment of the principal of, or interest on, any of the Securities of that series as and when the same shall become due by the terms of such Securities; and may rescind an acceleration and its consequences, including any related payment default that resulted from such acceleration.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i/>
          <w:sz w:val="20"/>
        </w:rPr>
        <w:t>Trustee to Give Notice of Default</w:t>
      </w:r>
      <w:r>
        <w:rPr>
          <w:rFonts w:ascii="Times New Roman" w:hAnsi="Times New Roman"/>
          <w:sz w:val="20"/>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Sections 4.03 and 11.04, unless in each case such defaults shall have been cured before the giving of such notice (the term “</w:t>
      </w:r>
      <w:r>
        <w:rPr>
          <w:rFonts w:ascii="Times New Roman" w:hAnsi="Times New Roman"/>
          <w:b/>
          <w:sz w:val="20"/>
        </w:rPr>
        <w:t>defaults</w:t>
      </w:r>
      <w:r>
        <w:rPr>
          <w:rFonts w:ascii="Times New Roman" w:hAnsi="Times New Roman"/>
          <w:sz w:val="20"/>
        </w:rPr>
        <w:t xml:space="preserve">” for the purpose of this Section being hereby defined to mean any event or condition which is, or with notice or lapse of time or both would become, an Event of Default); </w:t>
      </w:r>
      <w:r>
        <w:rPr>
          <w:rFonts w:ascii="Times New Roman" w:hAnsi="Times New Roman"/>
          <w:i/>
          <w:sz w:val="20"/>
        </w:rPr>
        <w:t>provided</w:t>
      </w:r>
      <w:r>
        <w:rPr>
          <w:rFonts w:ascii="Times New Roman" w:hAnsi="Times New Roman"/>
          <w:sz w:val="20"/>
        </w:rPr>
        <w:t xml:space="preserve">,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i/>
          <w:sz w:val="20"/>
        </w:rPr>
        <w:t>Right of Court to Require Filing of Undertaking to Pay</w:t>
      </w:r>
      <w:r>
        <w:rPr>
          <w:rFonts w:ascii="Times New Roman" w:hAnsi="Times New Roman"/>
          <w:sz w:val="20"/>
        </w:rPr>
        <w:t xml:space="preserve"> </w:t>
      </w:r>
      <w:r>
        <w:rPr>
          <w:rFonts w:ascii="Times New Roman" w:hAnsi="Times New Roman"/>
          <w:i/>
          <w:sz w:val="20"/>
        </w:rPr>
        <w:t>Costs</w:t>
      </w:r>
      <w:r>
        <w:rPr>
          <w:rFonts w:ascii="Times New Roman" w:hAnsi="Times New Roman"/>
          <w:sz w:val="20"/>
        </w:rPr>
        <w:t xml:space="preserve">.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6 </w:t>
      </w:r>
    </w:p>
    <w:p>
      <w:pPr>
        <w:pStyle w:val="TextBody"/>
        <w:bidi w:val="0"/>
        <w:spacing w:before="0" w:after="0"/>
        <w:jc w:val="center"/>
        <w:rPr>
          <w:rFonts w:ascii="Times New Roman" w:hAnsi="Times New Roman"/>
          <w:sz w:val="20"/>
        </w:rPr>
      </w:pPr>
      <w:r>
        <w:rPr>
          <w:rFonts w:ascii="Times New Roman" w:hAnsi="Times New Roman"/>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i/>
          <w:sz w:val="20"/>
        </w:rPr>
        <w:t>Duties and Responsibilities of the Trustee; During Default;</w:t>
      </w:r>
      <w:r>
        <w:rPr>
          <w:rFonts w:ascii="Times New Roman" w:hAnsi="Times New Roman"/>
          <w:sz w:val="20"/>
        </w:rPr>
        <w:t xml:space="preserve"> </w:t>
      </w:r>
      <w:r>
        <w:rPr>
          <w:rFonts w:ascii="Times New Roman" w:hAnsi="Times New Roman"/>
          <w:i/>
          <w:sz w:val="20"/>
        </w:rPr>
        <w:t xml:space="preserve">Prior to Default. </w:t>
      </w:r>
      <w:r>
        <w:rPr>
          <w:rFonts w:ascii="Times New Roman" w:hAnsi="Times New Roman"/>
          <w:sz w:val="20"/>
        </w:rPr>
        <w:t xml:space="preserve">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(and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 </w:t>
      </w:r>
    </w:p>
    <w:p>
      <w:pPr>
        <w:pStyle w:val="TextBody"/>
        <w:bidi w:val="0"/>
        <w:spacing w:before="240" w:after="0"/>
        <w:jc w:val="left"/>
        <w:rPr>
          <w:rFonts w:ascii="Times New Roman" w:hAnsi="Times New Roman"/>
          <w:sz w:val="20"/>
        </w:rPr>
      </w:pPr>
      <w:r>
        <w:rPr>
          <w:rFonts w:ascii="Times New Roman" w:hAnsi="Times New Roman"/>
          <w:sz w:val="20"/>
        </w:rPr>
        <w:t xml:space="preserve">No provision of this Indenture shall be construed to relieve the Trustee from liability for its own negligent action, its own negligent failure to act or its own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i/>
          <w:sz w:val="20"/>
        </w:rPr>
        <w:t xml:space="preserve">Certain Rights of the Trustee. </w:t>
      </w:r>
      <w:r>
        <w:rPr>
          <w:rFonts w:ascii="Times New Roman" w:hAnsi="Times New Roman"/>
          <w:sz w:val="20"/>
        </w:rPr>
        <w:t xml:space="preserve">In furtherance of and subject to the Trust Indenture Act of 1939 and subject to Section 6.01: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shall not be liable for any error of judgment made in good faith by a Responsible Officer or Responsible Officers of the Trustee, unless it shall be proved that the Trustee was negligent in ascertaining the pertinent facts;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may consult with counsel and any advice or Opinion of Counsel shall be full and complete authorization and protection in respect of any action taken, suffered or omitted to be taken by it hereunder in good faith and in accordance with such advice or Opinion of Counsel;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(h)</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might be incurred therein or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shall not be liable for any action taken or omitted by it in good faith and believed by it to be authorized or within the discretion, rights or powers conferred upon it by this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(j)</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283"/>
              <w:jc w:val="left"/>
              <w:rPr/>
            </w:pPr>
            <w:r>
              <w:rPr/>
              <w:t xml:space="preserve">less than a majority in aggregate principal amount of the Securities of all series affected then Outstanding; </w:t>
            </w:r>
            <w:r>
              <w:rPr>
                <w:i/>
              </w:rPr>
              <w:t>provided</w:t>
            </w:r>
            <w:r>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(k)</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i/>
          <w:sz w:val="20"/>
        </w:rPr>
        <w:t>Trustee Not Responsible for Recitals, Disposition of</w:t>
      </w:r>
      <w:r>
        <w:rPr>
          <w:rFonts w:ascii="Times New Roman" w:hAnsi="Times New Roman"/>
          <w:sz w:val="20"/>
        </w:rPr>
        <w:t xml:space="preserve"> </w:t>
      </w:r>
      <w:r>
        <w:rPr>
          <w:rFonts w:ascii="Times New Roman" w:hAnsi="Times New Roman"/>
          <w:i/>
          <w:sz w:val="20"/>
        </w:rPr>
        <w:t xml:space="preserve">Securities or Application of Proceeds Thereof. </w:t>
      </w:r>
      <w:r>
        <w:rPr>
          <w:rFonts w:ascii="Times New Roman" w:hAnsi="Times New Roman"/>
          <w:sz w:val="20"/>
        </w:rPr>
        <w:t xml:space="preserve">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i/>
          <w:sz w:val="20"/>
        </w:rPr>
        <w:t xml:space="preserve">Trustee and Agents May Hold Securities; Collections, Etc. </w:t>
      </w:r>
      <w:r>
        <w:rPr>
          <w:rFonts w:ascii="Times New Roman" w:hAnsi="Times New Roman"/>
          <w:sz w:val="20"/>
        </w:rPr>
        <w:t xml:space="preserve">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i/>
          <w:sz w:val="20"/>
        </w:rPr>
        <w:t xml:space="preserve">Moneys Held by Trustee. </w:t>
      </w:r>
      <w:r>
        <w:rPr>
          <w:rFonts w:ascii="Times New Roman" w:hAnsi="Times New Roman"/>
          <w:sz w:val="20"/>
        </w:rPr>
        <w:t xml:space="preserve">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i/>
          <w:sz w:val="20"/>
        </w:rPr>
        <w:t>Compensation and Indemnification of Trustee and Its Prior</w:t>
      </w:r>
      <w:r>
        <w:rPr>
          <w:rFonts w:ascii="Times New Roman" w:hAnsi="Times New Roman"/>
          <w:sz w:val="20"/>
        </w:rPr>
        <w:t xml:space="preserve"> </w:t>
      </w:r>
      <w:r>
        <w:rPr>
          <w:rFonts w:ascii="Times New Roman" w:hAnsi="Times New Roman"/>
          <w:i/>
          <w:sz w:val="20"/>
        </w:rPr>
        <w:t xml:space="preserve">Claim. </w:t>
      </w:r>
      <w:r>
        <w:rPr>
          <w:rFonts w:ascii="Times New Roman" w:hAnsi="Times New Roman"/>
          <w:sz w:val="20"/>
        </w:rPr>
        <w:t xml:space="preserve">The Issuer covenants and agrees to pay to the Trustee from time to time, and the Trustee shall be 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i/>
          <w:sz w:val="20"/>
        </w:rPr>
        <w:t xml:space="preserve">Right of Trustee to Rely on Officer’s Certificate, Etc. </w:t>
      </w:r>
      <w:r>
        <w:rPr>
          <w:rFonts w:ascii="Times New Roman" w:hAnsi="Times New Roman"/>
          <w:sz w:val="20"/>
        </w:rPr>
        <w:t xml:space="preserve">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i/>
          <w:sz w:val="20"/>
        </w:rPr>
        <w:t xml:space="preserve">Disqualification; Conflicting Interests. </w:t>
      </w:r>
      <w:r>
        <w:rPr>
          <w:rFonts w:ascii="Times New Roman" w:hAnsi="Times New Roman"/>
          <w:sz w:val="20"/>
        </w:rPr>
        <w:t xml:space="preserve">If the Trustee has or shall acquire any “conflicting interest” within the meaning of Section 310(b) of the Trust Indenture Act, the Trustee and the Issuer shall in all respects comply with the provisions of Section 310(b)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i/>
          <w:sz w:val="20"/>
        </w:rPr>
        <w:t xml:space="preserve">Persons Eligible for Appointment as Trustee. </w:t>
      </w:r>
      <w:r>
        <w:rPr>
          <w:rFonts w:ascii="Times New Roman" w:hAnsi="Times New Roman"/>
          <w:sz w:val="20"/>
        </w:rPr>
        <w:t xml:space="preserve">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6.10 </w:t>
      </w:r>
      <w:r>
        <w:rPr>
          <w:rFonts w:ascii="Times New Roman" w:hAnsi="Times New Roman"/>
          <w:i/>
          <w:sz w:val="20"/>
        </w:rPr>
        <w:t>Resignation and Removal; Appointment of Successor</w:t>
      </w:r>
      <w:r>
        <w:rPr>
          <w:rFonts w:ascii="Times New Roman" w:hAnsi="Times New Roman"/>
          <w:sz w:val="20"/>
        </w:rPr>
        <w:t xml:space="preserve"> </w:t>
      </w:r>
      <w:r>
        <w:rPr>
          <w:rFonts w:ascii="Times New Roman" w:hAnsi="Times New Roman"/>
          <w:i/>
          <w:sz w:val="20"/>
        </w:rPr>
        <w:t>Trustee.</w:t>
      </w:r>
      <w:r>
        <w:rPr>
          <w:rFonts w:ascii="Times New Roman" w:hAnsi="Times New Roman"/>
          <w:sz w:val="20"/>
        </w:rPr>
        <w:t xml:space="preserve"> (a) The Trustee, or any trustee or trustees hereafter appointed, may at any time resign with respect to one or more or all series of Securities by giving written notice of resignation to the Issuer and by delivering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delivery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case at any time any of the following shall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7"/>
        <w:gridCol w:w="8373"/>
      </w:tblGrid>
      <w:tr>
        <w:trPr/>
        <w:tc>
          <w:tcPr>
            <w:tcW w:w="132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shall cease to be eligible in accordance with the provisions of Section 310(a) of the Trust Indenture Act of 1939 and shall fail to resign after written request therefor by the Issuer or by any Securityholder;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 Section 315(e) of the Trust Indenture Act of 1939, any Securityholder who has been a bona fide Holder of a Security or Securities of such series for at least six months may on behalf of itself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aggregate principal amount of the Securities of each series at the time Outstanding may at any time remove the Trustee with respect to Securities of such series and, with the consent of the Issuer, appoint a successor trustee with respect to the Securities of such series by delivering to the Trustee so removed, to the successor trustee so appointed and to the Issuer the evidence provided for in Section 7.01 of the action in that regard taken by the Securityholders.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i/>
          <w:sz w:val="20"/>
        </w:rPr>
        <w:t xml:space="preserve">Acceptance of Appointment by Successor Trustee. </w:t>
      </w:r>
      <w:r>
        <w:rPr>
          <w:rFonts w:ascii="Times New Roman" w:hAnsi="Times New Roman"/>
          <w:sz w:val="20"/>
        </w:rPr>
        <w:t xml:space="preserve">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 </w:t>
      </w:r>
    </w:p>
    <w:p>
      <w:pPr>
        <w:pStyle w:val="TextBody"/>
        <w:bidi w:val="0"/>
        <w:spacing w:before="240" w:after="0"/>
        <w:jc w:val="left"/>
        <w:rPr>
          <w:rFonts w:ascii="Times New Roman" w:hAnsi="Times New Roman"/>
          <w:sz w:val="20"/>
        </w:rPr>
      </w:pPr>
      <w:r>
        <w:rPr>
          <w:rFonts w:ascii="Times New Roman" w:hAnsi="Times New Roman"/>
          <w:sz w:val="20"/>
        </w:rPr>
        <w:t xml:space="preserve">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 </w:t>
      </w:r>
    </w:p>
    <w:p>
      <w:pPr>
        <w:pStyle w:val="TextBody"/>
        <w:bidi w:val="0"/>
        <w:spacing w:before="240" w:after="0"/>
        <w:jc w:val="left"/>
        <w:rPr>
          <w:rFonts w:ascii="Times New Roman" w:hAnsi="Times New Roman"/>
          <w:sz w:val="20"/>
        </w:rPr>
      </w:pPr>
      <w:r>
        <w:rPr>
          <w:rFonts w:ascii="Times New Roman" w:hAnsi="Times New Roman"/>
          <w:sz w:val="20"/>
        </w:rPr>
        <w:t xml:space="preserve">Upon acceptance of appointment by any successor trustee as provided in this Section 6.11, the Issuer shall deliver notice thereof to the Holders of Securities of each series affected, by delivering such notice to such Holders at their addresses as they shall appear on the Security register. If the acceptance of appointment is substantially contemporaneous with the resignation, then the notice called for by the preceding sentence may be combined with the notice called for by Section 6.10. If the Issuer fails to deliver such notice within ten days after acceptance of appointment by the successor trustee, the successor trustee shall cause such notice to be given at the expense of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i/>
          <w:sz w:val="20"/>
        </w:rPr>
        <w:t>Merger, Conversion, Consolidation or Succession to</w:t>
      </w:r>
      <w:r>
        <w:rPr>
          <w:rFonts w:ascii="Times New Roman" w:hAnsi="Times New Roman"/>
          <w:sz w:val="20"/>
        </w:rPr>
        <w:t xml:space="preserve"> </w:t>
      </w:r>
      <w:r>
        <w:rPr>
          <w:rFonts w:ascii="Times New Roman" w:hAnsi="Times New Roman"/>
          <w:i/>
          <w:sz w:val="20"/>
        </w:rPr>
        <w:t xml:space="preserve">Business of Trustee. </w:t>
      </w:r>
      <w:r>
        <w:rPr>
          <w:rFonts w:ascii="Times New Roman" w:hAnsi="Times New Roman"/>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Times New Roman" w:hAnsi="Times New Roman"/>
          <w:i/>
          <w:sz w:val="20"/>
        </w:rPr>
        <w:t>provided</w:t>
      </w:r>
      <w:r>
        <w:rPr>
          <w:rFonts w:ascii="Times New Roman" w:hAnsi="Times New Roman"/>
          <w:sz w:val="20"/>
        </w:rPr>
        <w:t xml:space="preserve">, that such corporation shall be qualified under the provisions of Section 310(b) of the Trust Indenture Act of 1939 and eligible under the provisions of Section 310(a) of the Trust Indenture Act of 1939, without the execution or filing of any paper or any further act on the part of any of the parties hereto, anything herein to the contrary notwithstanding. </w:t>
      </w:r>
    </w:p>
    <w:p>
      <w:pPr>
        <w:pStyle w:val="TextBody"/>
        <w:bidi w:val="0"/>
        <w:spacing w:before="240" w:after="0"/>
        <w:jc w:val="left"/>
        <w:rPr>
          <w:rFonts w:ascii="Times New Roman" w:hAnsi="Times New Roman"/>
          <w:sz w:val="20"/>
        </w:rPr>
      </w:pPr>
      <w:r>
        <w:rPr>
          <w:rFonts w:ascii="Times New Roman" w:hAnsi="Times New Roman"/>
          <w:sz w:val="20"/>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Times New Roman" w:hAnsi="Times New Roman"/>
          <w:i/>
          <w:sz w:val="20"/>
        </w:rPr>
        <w:t>provided</w:t>
      </w:r>
      <w:r>
        <w:rPr>
          <w:rFonts w:ascii="Times New Roman" w:hAnsi="Times New Roman"/>
          <w:sz w:val="20"/>
        </w:rPr>
        <w:t xml:space="preserve">, that the right to adopt the certificate of authentication of any predecessor trustee or to authenticate Securities of any series in the name of any predecessor trustee shall apply only to its successor or successors by merger, conversion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i/>
          <w:sz w:val="20"/>
        </w:rPr>
        <w:t>Preferential Collection of Claims Against the Issuer</w:t>
      </w:r>
      <w:r>
        <w:rPr>
          <w:rFonts w:ascii="Times New Roman" w:hAnsi="Times New Roman"/>
          <w:sz w:val="20"/>
        </w:rPr>
        <w:t xml:space="preserve">. The Trustee shall comply with Section 311(a) of the Trust Indenture Act of 1939, excluding any creditor relationship described in Section 311(b) of the Trust Indenture Act of 1939. A Trustee who has resigned or been removed shall be subject to Section 311(a) of the Trust Indenture Act of 1939 to the extent included therein. </w:t>
      </w:r>
    </w:p>
    <w:p>
      <w:pPr>
        <w:pStyle w:val="TextBody"/>
        <w:bidi w:val="0"/>
        <w:spacing w:before="480" w:after="0"/>
        <w:jc w:val="center"/>
        <w:rPr>
          <w:rFonts w:ascii="Times New Roman" w:hAnsi="Times New Roman"/>
          <w:sz w:val="20"/>
        </w:rPr>
      </w:pPr>
      <w:r>
        <w:rPr>
          <w:rFonts w:ascii="Times New Roman" w:hAnsi="Times New Roman"/>
          <w:sz w:val="20"/>
        </w:rPr>
        <w:t xml:space="preserve">ARTICLE 7 </w:t>
      </w:r>
    </w:p>
    <w:p>
      <w:pPr>
        <w:pStyle w:val="TextBody"/>
        <w:bidi w:val="0"/>
        <w:spacing w:before="0" w:after="0"/>
        <w:jc w:val="center"/>
        <w:rPr>
          <w:rFonts w:ascii="Times New Roman" w:hAnsi="Times New Roman"/>
          <w:sz w:val="20"/>
        </w:rPr>
      </w:pPr>
      <w:r>
        <w:rPr>
          <w:rFonts w:ascii="Times New Roman" w:hAnsi="Times New Roman"/>
          <w:sz w:val="20"/>
        </w:rPr>
        <w:t xml:space="preserve">CONCERNING THE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i/>
          <w:sz w:val="20"/>
        </w:rPr>
        <w:t xml:space="preserve">Evidence of Action Taken by Securityholders. </w:t>
      </w:r>
      <w:r>
        <w:rPr>
          <w:rFonts w:ascii="Times New Roman" w:hAnsi="Times New Roman"/>
          <w:sz w:val="20"/>
        </w:rPr>
        <w:t xml:space="preserve">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i/>
          <w:sz w:val="20"/>
        </w:rPr>
        <w:t>Proof of Execution of Instruments and of Holding of</w:t>
      </w:r>
      <w:r>
        <w:rPr>
          <w:rFonts w:ascii="Times New Roman" w:hAnsi="Times New Roman"/>
          <w:sz w:val="20"/>
        </w:rPr>
        <w:t xml:space="preserve"> </w:t>
      </w:r>
      <w:r>
        <w:rPr>
          <w:rFonts w:ascii="Times New Roman" w:hAnsi="Times New Roman"/>
          <w:i/>
          <w:sz w:val="20"/>
        </w:rPr>
        <w:t xml:space="preserve">Securities. </w:t>
      </w:r>
      <w:r>
        <w:rPr>
          <w:rFonts w:ascii="Times New Roman" w:hAnsi="Times New Roman"/>
          <w:sz w:val="20"/>
        </w:rPr>
        <w:t xml:space="preserve">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7.03 </w:t>
      </w:r>
      <w:r>
        <w:rPr>
          <w:rFonts w:ascii="Times New Roman" w:hAnsi="Times New Roman"/>
          <w:i/>
          <w:sz w:val="20"/>
        </w:rPr>
        <w:t xml:space="preserve">Holders to Be Treated as Owners. </w:t>
      </w:r>
      <w:r>
        <w:rPr>
          <w:rFonts w:ascii="Times New Roman" w:hAnsi="Times New Roman"/>
          <w:sz w:val="20"/>
        </w:rPr>
        <w:t xml:space="preserve">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i/>
          <w:sz w:val="20"/>
        </w:rPr>
        <w:t xml:space="preserve">Securities Owned by Issuer Deemed Not Outstanding. </w:t>
      </w:r>
      <w:r>
        <w:rPr>
          <w:rFonts w:ascii="Times New Roman" w:hAnsi="Times New Roman"/>
          <w:sz w:val="20"/>
        </w:rPr>
        <w:t xml:space="preserve">In determining whether the Holders of the requisite aggregate principal amount of Outstanding Securities of any or all series have concurred in any direction, consent or waiver under this Indenture, Securities that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i/>
          <w:sz w:val="20"/>
        </w:rPr>
        <w:t xml:space="preserve">Right of Revocation of Action Taken. </w:t>
      </w:r>
      <w:r>
        <w:rPr>
          <w:rFonts w:ascii="Times New Roman" w:hAnsi="Times New Roman"/>
          <w:sz w:val="20"/>
        </w:rPr>
        <w:t xml:space="preserve">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 </w:t>
      </w:r>
    </w:p>
    <w:p>
      <w:pPr>
        <w:pStyle w:val="TextBody"/>
        <w:bidi w:val="0"/>
        <w:spacing w:before="480" w:after="0"/>
        <w:jc w:val="center"/>
        <w:rPr>
          <w:rFonts w:ascii="Times New Roman" w:hAnsi="Times New Roman"/>
          <w:sz w:val="20"/>
        </w:rPr>
      </w:pPr>
      <w:r>
        <w:rPr>
          <w:rFonts w:ascii="Times New Roman" w:hAnsi="Times New Roman"/>
          <w:sz w:val="20"/>
        </w:rPr>
        <w:t xml:space="preserve">ARTICLE 8 </w:t>
      </w:r>
    </w:p>
    <w:p>
      <w:pPr>
        <w:pStyle w:val="TextBody"/>
        <w:bidi w:val="0"/>
        <w:spacing w:before="0" w:after="0"/>
        <w:jc w:val="center"/>
        <w:rPr>
          <w:rFonts w:ascii="Times New Roman" w:hAnsi="Times New Roman"/>
          <w:sz w:val="20"/>
        </w:rPr>
      </w:pPr>
      <w:r>
        <w:rPr>
          <w:rFonts w:ascii="Times New Roman" w:hAnsi="Times New Roman"/>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i/>
          <w:sz w:val="20"/>
        </w:rPr>
        <w:t>Supplemental Indentures Without Consent of</w:t>
      </w:r>
      <w:r>
        <w:rPr>
          <w:rFonts w:ascii="Times New Roman" w:hAnsi="Times New Roman"/>
          <w:sz w:val="20"/>
        </w:rPr>
        <w:t xml:space="preserve"> </w:t>
      </w:r>
      <w:r>
        <w:rPr>
          <w:rFonts w:ascii="Times New Roman" w:hAnsi="Times New Roman"/>
          <w:i/>
          <w:sz w:val="20"/>
        </w:rPr>
        <w:t xml:space="preserve">Securityholders. </w:t>
      </w:r>
      <w:r>
        <w:rPr>
          <w:rFonts w:ascii="Times New Roman" w:hAnsi="Times New Roman"/>
          <w:sz w:val="20"/>
        </w:rPr>
        <w:t xml:space="preserve">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convey, transfer, assign, mortgage or pledge to the Trustee as security for the Securities of one or more series any property or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the Issuer, or successive successions, and the assumption by such successor of the covenants, agreements and obligations of the Issuer pursuant to, or to otherwise comply with, Article 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requirements of the Commission in order to effect or maintain the qualification of this Indenture under the Trust Indenture Act of 1939,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Times New Roman" w:hAnsi="Times New Roman"/>
                <w:i/>
                <w:sz w:val="20"/>
              </w:rPr>
              <w:t>provided</w:t>
            </w:r>
            <w:r>
              <w:rPr>
                <w:rFonts w:ascii="Times New Roman" w:hAnsi="Times New Roman"/>
                <w:sz w:val="20"/>
              </w:rPr>
              <w:t xml:space="preserve">,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or to conform this Indenture or any supplemental indenture to the description of the Securities set forth in any prospectus, prospectus supplement or offering memorandum related to such series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or add guarantors for the Securities of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Securities of any series as permitted by Sections 2.01 and 2.03;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change or eliminate any of the provisions of this Indenture in respect of one or more series of Securities; provided that any such addition, change or elimination shall (A) not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(A)(i)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(j)</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to the Securities of any series so long as no Securities of such series are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(k)</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does not adversely affect the interests of the Holders of the Securities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shall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authorized by the provisions of this Section may be executed without the consent of the Holders of any of the Securities at the time Outstanding, notwithstanding any of the provisions of Section 8.02.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i/>
          <w:sz w:val="20"/>
        </w:rPr>
        <w:t xml:space="preserve">Supplemental Indentures With Consent of Securityholders. </w:t>
      </w:r>
      <w:r>
        <w:rPr>
          <w:rFonts w:ascii="Times New Roman" w:hAnsi="Times New Roman"/>
          <w:sz w:val="20"/>
        </w:rPr>
        <w:t xml:space="preserve">With the consent (evidenced as provided in Article 7) of the Holders of not less than a majority in aggregate principal amount of the Securities at the time Outstanding of one or more series 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Times New Roman" w:hAnsi="Times New Roman"/>
          <w:i/>
          <w:sz w:val="20"/>
        </w:rPr>
        <w:t>provided</w:t>
      </w:r>
      <w:r>
        <w:rPr>
          <w:rFonts w:ascii="Times New Roman" w:hAnsi="Times New Roman"/>
          <w:sz w:val="20"/>
        </w:rPr>
        <w:t xml:space="preserve">,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(b) waive a continuing default in the payment of principal of any Security or interest thereon, other than any such default in payment that resulted solely from such acceleration, or change a provision related to the waiver of past defaults or impair the right of any Securityholder to institute suit for the enforcement of any such payment on or after the Stated Maturity or the date of redemption or conversion of any Security or, if the Securities provide therefor, any right of repayment at the option of the Securityholder, or (c) modify any of the provisions of this section except to increase any required percentage or to provide that certain other provisions cannot be modified or waived without the consent of the Holder of each Security so affected, or (d) make any change that adversely affects the right to convert or exchange any Security into or for Common Stock or other securities, cash or other property in accordance with the terms of such Security or (e)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been included or so modified.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the request of the Issuer, accompanied by a Board Resolution authorizing the execution of any such supplemental indenture, and upon the filing with the Trustee of evidence of the consent of Securityholders as aforesaid and other documents, if any, required by Section 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Securityholders under this Section to approve the particular form of any proposed supplemental indenture, but it shall be sufficient if such consent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execution by the Issuer and the Trustee of any supplemental indenture pursuant to the provisions of this Section, the Trustee shall give a notice thereof to the Holders of then Outstanding Securities of each series affected thereby, by delivering a notice thereof, and in each case such notice shall set forth in general terms the substance of such supplemental indenture. Any failure of the Trustee to deliver such notice, or any defect therein, shall not, however, in any way impair or affect the validity of any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i/>
          <w:sz w:val="20"/>
        </w:rPr>
        <w:t xml:space="preserve">Effect of Supplemental Indenture. </w:t>
      </w:r>
      <w:r>
        <w:rPr>
          <w:rFonts w:ascii="Times New Roman" w:hAnsi="Times New Roman"/>
          <w:sz w:val="20"/>
        </w:rPr>
        <w:t xml:space="preserve">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i/>
          <w:sz w:val="20"/>
        </w:rPr>
        <w:t xml:space="preserve">Documents to Be Given to Trustee. </w:t>
      </w:r>
      <w:r>
        <w:rPr>
          <w:rFonts w:ascii="Times New Roman" w:hAnsi="Times New Roman"/>
          <w:sz w:val="20"/>
        </w:rPr>
        <w:t xml:space="preserve">The Trustee, subject to the provisions of Sections 6.01 and 6.02, may receive an Officer’s Certificate and an Opinion of Counsel as conclusive evidence that any supplemental indenture executed pursuant to this Article 8 complies with the applicable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i/>
          <w:sz w:val="20"/>
        </w:rPr>
        <w:t>Notation on Securities in Respect of Supplemental</w:t>
      </w:r>
      <w:r>
        <w:rPr>
          <w:rFonts w:ascii="Times New Roman" w:hAnsi="Times New Roman"/>
          <w:sz w:val="20"/>
        </w:rPr>
        <w:t xml:space="preserve"> </w:t>
      </w:r>
      <w:r>
        <w:rPr>
          <w:rFonts w:ascii="Times New Roman" w:hAnsi="Times New Roman"/>
          <w:i/>
          <w:sz w:val="20"/>
        </w:rPr>
        <w:t xml:space="preserve">Indentures. </w:t>
      </w:r>
      <w:r>
        <w:rPr>
          <w:rFonts w:ascii="Times New Roman" w:hAnsi="Times New Roman"/>
          <w:sz w:val="20"/>
        </w:rPr>
        <w:t xml:space="preserve">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 </w:t>
      </w:r>
    </w:p>
    <w:p>
      <w:pPr>
        <w:pStyle w:val="TextBody"/>
        <w:bidi w:val="0"/>
        <w:spacing w:before="480" w:after="0"/>
        <w:jc w:val="center"/>
        <w:rPr>
          <w:rFonts w:ascii="Times New Roman" w:hAnsi="Times New Roman"/>
          <w:sz w:val="20"/>
        </w:rPr>
      </w:pPr>
      <w:r>
        <w:rPr>
          <w:rFonts w:ascii="Times New Roman" w:hAnsi="Times New Roman"/>
          <w:sz w:val="20"/>
        </w:rPr>
        <w:t xml:space="preserve">ARTICLE 9 </w:t>
      </w:r>
    </w:p>
    <w:p>
      <w:pPr>
        <w:pStyle w:val="TextBody"/>
        <w:bidi w:val="0"/>
        <w:spacing w:before="0" w:after="0"/>
        <w:jc w:val="center"/>
        <w:rPr>
          <w:rFonts w:ascii="Times New Roman" w:hAnsi="Times New Roman"/>
          <w:sz w:val="20"/>
        </w:rPr>
      </w:pPr>
      <w:r>
        <w:rPr>
          <w:rFonts w:ascii="Times New Roman" w:hAnsi="Times New Roman"/>
          <w:sz w:val="20"/>
        </w:rPr>
        <w:t xml:space="preserve">CONSOLIDATION, MERGER, SALE OR CONVEYANCE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i/>
          <w:sz w:val="20"/>
        </w:rPr>
        <w:t xml:space="preserve">Issuer May Consolidate, Etc., on Certain Terms. </w:t>
      </w:r>
      <w:r>
        <w:rPr>
          <w:rFonts w:ascii="Times New Roman" w:hAnsi="Times New Roman"/>
          <w:sz w:val="20"/>
        </w:rPr>
        <w:t xml:space="preserve">The Issuer shall not consolidate with or merge into any other Person (in a transaction in which the Issuer is not the surviving corporation) or convey, transfer or lease its properties and assets substantially as an 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 (ii) shall be organized and validly existing under the laws of the United States of America, any State thereof or the District of Columbia and (iii) shall expressly assume, by an indenture supplemental hereto, executed and delivered to the Trustee, in form satisfactory to the Trustee, the due and punctual payment of the principal, interest on and any Additional Amounts with respect to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no Event of Default, and no event which, after notice or lapse of time or both, would 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in this Section 9.01 shall not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9.02 </w:t>
      </w:r>
      <w:r>
        <w:rPr>
          <w:rFonts w:ascii="Times New Roman" w:hAnsi="Times New Roman"/>
          <w:i/>
          <w:sz w:val="20"/>
        </w:rPr>
        <w:t xml:space="preserve">Successor Issuer Substituted. </w:t>
      </w:r>
      <w:r>
        <w:rPr>
          <w:rFonts w:ascii="Times New Roman" w:hAnsi="Times New Roman"/>
          <w:sz w:val="20"/>
        </w:rPr>
        <w:t xml:space="preserve">Upon any consolidation of the Issuer with, or merger of the Issuer into, any other Person or any conveyance, transfer or lease of the properties and assets of the Issuer substantially as an entirety in accordance with Section 9.01,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such consolidation, merger, sale, lease or conveyance, such changes in phraseology and form (but not in substance) may be made in the Securities thereafter to be issued as may be appropriate. </w:t>
      </w:r>
    </w:p>
    <w:p>
      <w:pPr>
        <w:pStyle w:val="TextBody"/>
        <w:bidi w:val="0"/>
        <w:spacing w:before="480" w:after="0"/>
        <w:jc w:val="center"/>
        <w:rPr>
          <w:rFonts w:ascii="Times New Roman" w:hAnsi="Times New Roman"/>
          <w:sz w:val="20"/>
        </w:rPr>
      </w:pPr>
      <w:r>
        <w:rPr>
          <w:rFonts w:ascii="Times New Roman" w:hAnsi="Times New Roman"/>
          <w:sz w:val="20"/>
        </w:rPr>
        <w:t xml:space="preserve">ARTICLE 10 </w:t>
      </w:r>
    </w:p>
    <w:p>
      <w:pPr>
        <w:pStyle w:val="TextBody"/>
        <w:bidi w:val="0"/>
        <w:spacing w:before="0" w:after="0"/>
        <w:jc w:val="center"/>
        <w:rPr>
          <w:rFonts w:ascii="Times New Roman" w:hAnsi="Times New Roman"/>
          <w:sz w:val="20"/>
        </w:rPr>
      </w:pPr>
      <w:r>
        <w:rPr>
          <w:rFonts w:ascii="Times New Roman" w:hAnsi="Times New Roman"/>
          <w:sz w:val="20"/>
        </w:rPr>
        <w:t xml:space="preserve">SATISFACTION AND DISCHARGE OF INDENTURE; DEFEASANCE; UNCLAIMED MONEYS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i/>
          <w:sz w:val="20"/>
        </w:rPr>
        <w:t>Satisfaction and Discharge of Indenture; Defeasance.</w:t>
      </w:r>
      <w:r>
        <w:rPr>
          <w:rFonts w:ascii="Times New Roman" w:hAnsi="Times New Roman"/>
          <w:sz w:val="20"/>
        </w:rPr>
        <w:t xml:space="preserve"> (a) If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shall have paid or caused to be paid the principal of and interest on and any Additional Amounts with respect to all the Securities of any series Outstanding hereunder (other than Securities of such series which have been destroyed, lost or stolen and which have been replaced or paid as provided in Section 2.09) as and when the same shall have become due and payable,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shall have delivered to the Trustee for cancellation all Securities of any series theretofore authenticated (other than any Securities of such series which shall have been destroyed, lost or stolen and which shall have been replaced or paid as provided in Section 2.09);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series of Securities the exact amount (including the currency of payment) of principal of and interest and Additional Amounts due on which on the dates referred to in clause (B) below can be determined at the time of making the deposit referred to in such clause,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Securities of such series not theretofore delivered to the Trustee for cancellation shall have become due and payable, or are by their terms to become due and payable within one year or are to be called for redemption within one year in accordance with their terms under arrangements satisfactory to the Trustee for the giving of notice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shall have irrevocably deposited or caused to be deposited with the Trustee as trust funds the entire amount (i) in the case of any series of Securities the payments on which may only be made in Dollars, in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in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if, in a case described in Section 10.01(a)(iii)(B),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 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following subsection shall apply to the Securities of each series unless specifically otherwise provided in a Board Resolution, Officer’s Certificate or indenture supplemental hereto pursuant to Section 2.03. In addition to the right to discharge of the Indenture pursuant to subsection (a) above, the Issuer, at its option and at any time, by written notice by an officer delivered to the Trustee, may elect to have all of its obligations with respect to all Outstanding Securities of a series discharged (“</w:t>
            </w:r>
            <w:r>
              <w:rPr>
                <w:rFonts w:ascii="Times New Roman" w:hAnsi="Times New Roman"/>
                <w:b/>
                <w:sz w:val="20"/>
              </w:rPr>
              <w:t>Legal Defeasance</w:t>
            </w:r>
            <w:r>
              <w:rPr>
                <w:rFonts w:ascii="Times New Roman" w:hAnsi="Times New Roman"/>
                <w:sz w:val="20"/>
              </w:rPr>
              <w:t xml:space="preserve">”), such discharge to be effective on the date that the conditions set forth in clauses (i) through (iv) and (vi) of Section 10.01(d) are satisfied, and thereafter the Issuer shall be deemed to have paid and discharged the entire Debt on all the Securities of such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 (2) substitution of apparently mutilated, defaced, destroyed, lost or stolen Securities, (3) rights of Holders of Securities to receive, solely from the trust fund described in Section 10.01(d)(i), payments of principal thereof, interest thereon and any Additional Amounts, upon the original Stated Maturities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rFonts w:ascii="Times New Roman" w:hAnsi="Times New Roman"/>
                <w:b/>
                <w:sz w:val="20"/>
              </w:rPr>
              <w:t>Covenant Defeasance</w:t>
            </w:r>
            <w:r>
              <w:rPr>
                <w:rFonts w:ascii="Times New Roman" w:hAnsi="Times New Roman"/>
                <w:sz w:val="20"/>
              </w:rPr>
              <w:t xml:space="preserve">”), such discharge to be effective on the date the conditions set forth in clauses (i) through (iii) and (v) through (vi) of Section 10.01(d) are satisfied, and such Securities shall thereafter be deemed to be not “Outstanding” for the purposes of any direction, waiver, consent or declaration of Securityholders (and any consequences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 this Indenture, and any indentures supplemental to this Indenture with respect to such series shall be unaffected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shall be the conditions to the application of Legal Defeasance (to the extent set forth in subsection (b)), or Covenant Defeasance (to the extent set forth in subsection (c)) to the Securities of the applicable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irrevocably deposits or causes to be deposited in trust with the Trustee or, at the option of the Trustee, with a trustee satisfactory to the Trustee and the Company under the terms of an irrevocable trust agreement in form and substance satisfactory to the Trustee, (i) in the case of any series of Securities the payments on which may only be made in Dollars,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delivers to the Trustee an Officer’s Certificate stating that all conditions precedent specified herein relating to Legal Defeasance or Covenant Defeasance, as the case may be, have been complied with, and an Opinion of Counsel to the same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under subsection (a), (b), (d) or (e) of Section 5.01 shall have occurred and be continuing, and no event which with notice or lapse of time or both would become such an Event of Default shall have occurred and be continuing, on the date of such deposit;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 election for Legal Defeasance under subsection (b), the Issuer shall have delivered to the Trustee an Opinion of Counsel stating that (A) the Issuer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amounts, in the same manner and at the same times as would be the case if such deposit, defeasance and discharge were not to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 other provisions of this subsection (d), such defeasance shall be effected in compliance with any additional or substitute terms, conditions or limitations that may be imposed on the Issuer pursuant to Section 2.03.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such irrevocable deposit made pursuant to this Section 10.01(d) and satisfaction of the other applicable conditions set forth in this subsection (d), the Trustee upon request shall execute proper instruments acknowledging the discharge of the Issuer’s obligations pursuant to this Section 10.01.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i/>
          <w:sz w:val="20"/>
        </w:rPr>
        <w:t>Application by Trustee of Funds Deposited for Payment of</w:t>
      </w:r>
      <w:r>
        <w:rPr>
          <w:rFonts w:ascii="Times New Roman" w:hAnsi="Times New Roman"/>
          <w:sz w:val="20"/>
        </w:rPr>
        <w:t xml:space="preserve"> </w:t>
      </w:r>
      <w:r>
        <w:rPr>
          <w:rFonts w:ascii="Times New Roman" w:hAnsi="Times New Roman"/>
          <w:i/>
          <w:sz w:val="20"/>
        </w:rPr>
        <w:t xml:space="preserve">Securities. </w:t>
      </w:r>
      <w:r>
        <w:rPr>
          <w:rFonts w:ascii="Times New Roman" w:hAnsi="Times New Roman"/>
          <w:sz w:val="20"/>
        </w:rPr>
        <w:t xml:space="preserve">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i/>
          <w:sz w:val="20"/>
        </w:rPr>
        <w:t xml:space="preserve">Repayment of Moneys Held by Paying Agent. </w:t>
      </w:r>
      <w:r>
        <w:rPr>
          <w:rFonts w:ascii="Times New Roman" w:hAnsi="Times New Roman"/>
          <w:sz w:val="20"/>
        </w:rPr>
        <w:t xml:space="preserve">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i/>
          <w:sz w:val="20"/>
        </w:rPr>
        <w:t>Return of Moneys Held by Trustee and Paying Agent</w:t>
      </w:r>
      <w:r>
        <w:rPr>
          <w:rFonts w:ascii="Times New Roman" w:hAnsi="Times New Roman"/>
          <w:sz w:val="20"/>
        </w:rPr>
        <w:t xml:space="preserve"> </w:t>
      </w:r>
      <w:r>
        <w:rPr>
          <w:rFonts w:ascii="Times New Roman" w:hAnsi="Times New Roman"/>
          <w:i/>
          <w:sz w:val="20"/>
        </w:rPr>
        <w:t xml:space="preserve">Unclaimed for Two Years. </w:t>
      </w:r>
      <w:r>
        <w:rPr>
          <w:rFonts w:ascii="Times New Roman" w:hAnsi="Times New Roman"/>
          <w:sz w:val="20"/>
        </w:rPr>
        <w:t xml:space="preserve">Any moneys deposited with or paid to the Trustee or any paying agent for the payment of 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i/>
          <w:sz w:val="20"/>
        </w:rPr>
        <w:t xml:space="preserve">Indemnity for U.S. Government Obligations and Foreign Government Obligations. </w:t>
      </w:r>
      <w:r>
        <w:rPr>
          <w:rFonts w:ascii="Times New Roman" w:hAnsi="Times New Roman"/>
          <w:sz w:val="20"/>
        </w:rPr>
        <w:t xml:space="preserve">The Issuer shall pay and indemnify the Trustee against any tax, fee or other charge imposed on or assessed against the U.S. Government Obligations or Foreign Government Obligations deposited pursuant to Section 10.01 or the principal or interest received in respect of such obligations.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11 </w:t>
      </w:r>
    </w:p>
    <w:p>
      <w:pPr>
        <w:pStyle w:val="TextBody"/>
        <w:bidi w:val="0"/>
        <w:spacing w:before="0" w:after="0"/>
        <w:jc w:val="center"/>
        <w:rPr>
          <w:rFonts w:ascii="Times New Roman" w:hAnsi="Times New Roman"/>
          <w:sz w:val="20"/>
        </w:rPr>
      </w:pPr>
      <w:r>
        <w:rPr>
          <w:rFonts w:ascii="Times New Roman" w:hAnsi="Times New Roman"/>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i/>
          <w:sz w:val="20"/>
        </w:rPr>
        <w:t xml:space="preserve">No Recourse. </w:t>
      </w:r>
      <w:r>
        <w:rPr>
          <w:rFonts w:ascii="Times New Roman" w:hAnsi="Times New Roman"/>
          <w:sz w:val="20"/>
        </w:rPr>
        <w:t xml:space="preserve">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i/>
          <w:sz w:val="20"/>
        </w:rPr>
        <w:t>Provisions of Indenture for the Sole Benefit of Parties and</w:t>
      </w:r>
      <w:r>
        <w:rPr>
          <w:rFonts w:ascii="Times New Roman" w:hAnsi="Times New Roman"/>
          <w:sz w:val="20"/>
        </w:rPr>
        <w:t xml:space="preserve"> </w:t>
      </w:r>
      <w:r>
        <w:rPr>
          <w:rFonts w:ascii="Times New Roman" w:hAnsi="Times New Roman"/>
          <w:i/>
          <w:sz w:val="20"/>
        </w:rPr>
        <w:t xml:space="preserve">Holders of Securities. </w:t>
      </w:r>
      <w:r>
        <w:rPr>
          <w:rFonts w:ascii="Times New Roman" w:hAnsi="Times New Roman"/>
          <w:sz w:val="20"/>
        </w:rPr>
        <w:t xml:space="preserve">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i/>
          <w:sz w:val="20"/>
        </w:rPr>
        <w:t xml:space="preserve">Successors and Assigns of Issuer Bound by Indenture. </w:t>
      </w:r>
      <w:r>
        <w:rPr>
          <w:rFonts w:ascii="Times New Roman" w:hAnsi="Times New Roman"/>
          <w:sz w:val="20"/>
        </w:rPr>
        <w:t xml:space="preserve">All the covenants, stipulations, promises and agreements contained in this Indenture by or on behalf of the Issuer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i/>
          <w:sz w:val="20"/>
        </w:rPr>
        <w:t>Notices and Demands on Issuer, Trustee and Holders of</w:t>
      </w:r>
      <w:r>
        <w:rPr>
          <w:rFonts w:ascii="Times New Roman" w:hAnsi="Times New Roman"/>
          <w:sz w:val="20"/>
        </w:rPr>
        <w:t xml:space="preserve"> </w:t>
      </w:r>
      <w:r>
        <w:rPr>
          <w:rFonts w:ascii="Times New Roman" w:hAnsi="Times New Roman"/>
          <w:i/>
          <w:sz w:val="20"/>
        </w:rPr>
        <w:t xml:space="preserve">Securities. </w:t>
      </w:r>
      <w:r>
        <w:rPr>
          <w:rFonts w:ascii="Times New Roman" w:hAnsi="Times New Roman"/>
          <w:sz w:val="20"/>
        </w:rPr>
        <w:t xml:space="preserve">Any notice or demand which by any provision of this Indenture is required or permitted to be given or served by the Trustee or by the Holders of Securities to or on the Issuer may be delivered, given or served by being deposited postage prepaid, first-class mail (except as otherwise specifically provided herein) addressed (until another address of the Issuer is filed by the Issuer with the Trustee) to Solid Biosciences Inc., 500 Rutherford Avenue, Third Floor, Charlestown, MA 02129, Attn: Chief Financial Officer. Any notice, direction, request or demand by the Issuer or any Holder of Securities to or upon the Trustee shall be deemed to have been sufficiently given or made, for all purposes, if given or made at _______, ________, Attn: _______.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to Holders of Securities, such notice shall be sufficiently given (unless otherwise herein expressly provided) if in writing and mailed, first-class postage prepaid, to each Holder entitled thereto, at his, her or its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Neither the failure to give notice, nor any defect in any notice so given, to any particular Holder of a Security shall affect the sufficiency of such notice with respect to other Holders of Securities given as provided above.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i/>
          <w:sz w:val="20"/>
        </w:rPr>
        <w:t>Officer’s Certificates and Opinions of Counsel; Statements</w:t>
      </w:r>
      <w:r>
        <w:rPr>
          <w:rFonts w:ascii="Times New Roman" w:hAnsi="Times New Roman"/>
          <w:sz w:val="20"/>
        </w:rPr>
        <w:t xml:space="preserve"> </w:t>
      </w:r>
      <w:r>
        <w:rPr>
          <w:rFonts w:ascii="Times New Roman" w:hAnsi="Times New Roman"/>
          <w:i/>
          <w:sz w:val="20"/>
        </w:rPr>
        <w:t xml:space="preserve">to Be Contained Therein. </w:t>
      </w:r>
      <w:r>
        <w:rPr>
          <w:rFonts w:ascii="Times New Roman" w:hAnsi="Times New Roman"/>
          <w:sz w:val="20"/>
        </w:rPr>
        <w:t xml:space="preserve">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or opinion of any independent firm of public accountants filed with and directed to the Trustee shall contain a statement that such firm is independent.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i/>
          <w:sz w:val="20"/>
        </w:rPr>
        <w:t xml:space="preserve">Payments Due on Saturdays, Sundays and Holidays. </w:t>
      </w:r>
      <w:r>
        <w:rPr>
          <w:rFonts w:ascii="Times New Roman" w:hAnsi="Times New Roman"/>
          <w:sz w:val="20"/>
        </w:rPr>
        <w:t xml:space="preserve">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i/>
          <w:sz w:val="20"/>
        </w:rPr>
        <w:t>Conflict of Any Provision of Indenture With Trust</w:t>
      </w:r>
      <w:r>
        <w:rPr>
          <w:rFonts w:ascii="Times New Roman" w:hAnsi="Times New Roman"/>
          <w:sz w:val="20"/>
        </w:rPr>
        <w:t xml:space="preserve"> </w:t>
      </w:r>
      <w:r>
        <w:rPr>
          <w:rFonts w:ascii="Times New Roman" w:hAnsi="Times New Roman"/>
          <w:i/>
          <w:sz w:val="20"/>
        </w:rPr>
        <w:t xml:space="preserve">Indenture Act of 1939. </w:t>
      </w:r>
      <w:r>
        <w:rPr>
          <w:rFonts w:ascii="Times New Roman" w:hAnsi="Times New Roman"/>
          <w:sz w:val="20"/>
        </w:rPr>
        <w:t xml:space="preserve">If and to the extent that any provision of this Indenture limits, qualifies or conflicts with another provision included in this Indenture by operation of Sections 310 to 317, inclusive, of the Trust Indenture Act of 1939, such incorporated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11.08 </w:t>
      </w:r>
      <w:r>
        <w:rPr>
          <w:rFonts w:ascii="Times New Roman" w:hAnsi="Times New Roman"/>
          <w:i/>
          <w:sz w:val="20"/>
        </w:rPr>
        <w:t xml:space="preserve">New York Law to Govern. </w:t>
      </w:r>
      <w:r>
        <w:rPr>
          <w:rFonts w:ascii="Times New Roman" w:hAnsi="Times New Roman"/>
          <w:sz w:val="20"/>
        </w:rPr>
        <w:t xml:space="preserve">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 </w:t>
      </w:r>
    </w:p>
    <w:p>
      <w:pPr>
        <w:pStyle w:val="TextBody"/>
        <w:bidi w:val="0"/>
        <w:spacing w:before="240" w:after="0"/>
        <w:jc w:val="left"/>
        <w:rPr>
          <w:rFonts w:ascii="Times New Roman" w:hAnsi="Times New Roman"/>
          <w:sz w:val="20"/>
        </w:rPr>
      </w:pPr>
      <w:r>
        <w:rPr>
          <w:rFonts w:ascii="Times New Roman" w:hAnsi="Times New Roman"/>
          <w:sz w:val="20"/>
        </w:rPr>
        <w:t xml:space="preserve">Section 11.09 </w:t>
      </w:r>
      <w:r>
        <w:rPr>
          <w:rFonts w:ascii="Times New Roman" w:hAnsi="Times New Roman"/>
          <w:i/>
          <w:sz w:val="20"/>
        </w:rPr>
        <w:t xml:space="preserve">Counterparts. </w:t>
      </w:r>
      <w:r>
        <w:rPr>
          <w:rFonts w:ascii="Times New Roman" w:hAnsi="Times New Roman"/>
          <w:sz w:val="20"/>
        </w:rPr>
        <w:t xml:space="preserve">This Indenture may be executed in any number of counterparts, each of which shall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11.10 </w:t>
      </w:r>
      <w:r>
        <w:rPr>
          <w:rFonts w:ascii="Times New Roman" w:hAnsi="Times New Roman"/>
          <w:i/>
          <w:sz w:val="20"/>
        </w:rPr>
        <w:t xml:space="preserve">Effect of Headings. </w:t>
      </w:r>
      <w:r>
        <w:rPr>
          <w:rFonts w:ascii="Times New Roman" w:hAnsi="Times New Roman"/>
          <w:sz w:val="20"/>
        </w:rPr>
        <w:t xml:space="preserve">The Article and Section headings herein and the Table of Contents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11.11 </w:t>
      </w:r>
      <w:r>
        <w:rPr>
          <w:rFonts w:ascii="Times New Roman" w:hAnsi="Times New Roman"/>
          <w:i/>
          <w:sz w:val="20"/>
        </w:rPr>
        <w:t>Actions by Successor</w:t>
      </w:r>
      <w:r>
        <w:rPr>
          <w:rFonts w:ascii="Times New Roman" w:hAnsi="Times New Roman"/>
          <w:sz w:val="20"/>
        </w:rPr>
        <w:t xml:space="preserve">.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11.12 </w:t>
      </w:r>
      <w:r>
        <w:rPr>
          <w:rFonts w:ascii="Times New Roman" w:hAnsi="Times New Roman"/>
          <w:i/>
          <w:sz w:val="20"/>
        </w:rPr>
        <w:t>Severability</w:t>
      </w:r>
      <w:r>
        <w:rPr>
          <w:rFonts w:ascii="Times New Roman" w:hAnsi="Times New Roman"/>
          <w:sz w:val="20"/>
        </w:rPr>
        <w:t xml:space="preserve">.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12 </w:t>
      </w:r>
    </w:p>
    <w:p>
      <w:pPr>
        <w:pStyle w:val="TextBody"/>
        <w:bidi w:val="0"/>
        <w:spacing w:before="0" w:after="0"/>
        <w:jc w:val="center"/>
        <w:rPr>
          <w:rFonts w:ascii="Times New Roman" w:hAnsi="Times New Roman"/>
          <w:sz w:val="20"/>
        </w:rPr>
      </w:pPr>
      <w:r>
        <w:rPr>
          <w:rFonts w:ascii="Times New Roman" w:hAnsi="Times New Roman"/>
          <w:sz w:val="20"/>
        </w:rPr>
        <w:t xml:space="preserve">REDEMPTION OF SECURITIES AND SINKING FUNDS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i/>
          <w:sz w:val="20"/>
        </w:rPr>
        <w:t xml:space="preserve">Applicability of Article. </w:t>
      </w:r>
      <w:r>
        <w:rPr>
          <w:rFonts w:ascii="Times New Roman" w:hAnsi="Times New Roman"/>
          <w:sz w:val="20"/>
        </w:rPr>
        <w:t xml:space="preserve">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12.02 </w:t>
      </w:r>
      <w:r>
        <w:rPr>
          <w:rFonts w:ascii="Times New Roman" w:hAnsi="Times New Roman"/>
          <w:i/>
          <w:sz w:val="20"/>
        </w:rPr>
        <w:t xml:space="preserve">Notice of Redemption; Partial Redemptions. </w:t>
      </w:r>
      <w:r>
        <w:rPr>
          <w:rFonts w:ascii="Times New Roman" w:hAnsi="Times New Roman"/>
          <w:sz w:val="20"/>
        </w:rPr>
        <w:t xml:space="preserve">Notice of redemption to the Holders of Securities of any series to be redeemed as a whole or in part at the option of the Issuer shall be given by providing notice of such redemption at least 10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The notice of redemption of Securities of any series to be redeemed at the option of the Issuer shall be given by the Issuer or, at the Issuer’s request, by the Trustee in the name and at the expense of the Issuer. </w:t>
      </w:r>
    </w:p>
    <w:p>
      <w:pPr>
        <w:pStyle w:val="TextBody"/>
        <w:bidi w:val="0"/>
        <w:spacing w:before="240" w:after="0"/>
        <w:jc w:val="left"/>
        <w:rPr>
          <w:rFonts w:ascii="Times New Roman" w:hAnsi="Times New Roman"/>
          <w:sz w:val="20"/>
        </w:rPr>
      </w:pPr>
      <w:r>
        <w:rPr>
          <w:rFonts w:ascii="Times New Roman" w:hAnsi="Times New Roman"/>
          <w:sz w:val="20"/>
        </w:rPr>
        <w:t xml:space="preserve">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12.03 </w:t>
      </w:r>
      <w:r>
        <w:rPr>
          <w:rFonts w:ascii="Times New Roman" w:hAnsi="Times New Roman"/>
          <w:i/>
          <w:sz w:val="20"/>
        </w:rPr>
        <w:t xml:space="preserve">Payment of Securities Called for Redemption. </w:t>
      </w:r>
      <w:r>
        <w:rPr>
          <w:rFonts w:ascii="Times New Roman" w:hAnsi="Times New Roman"/>
          <w:sz w:val="20"/>
        </w:rPr>
        <w:t xml:space="preserve">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Times New Roman" w:hAnsi="Times New Roman"/>
          <w:i/>
          <w:sz w:val="20"/>
        </w:rPr>
        <w:t>provided</w:t>
      </w:r>
      <w:r>
        <w:rPr>
          <w:rFonts w:ascii="Times New Roman" w:hAnsi="Times New Roman"/>
          <w:sz w:val="20"/>
        </w:rPr>
        <w:t xml:space="preserve">, that payment of interest becoming due on or prior to the date fixed for redemption shall be payable to the Holders of such Securities registered as such on the relevant record date subject to the terms and provisions of Sections 2.03 and 2.07 hereof. </w:t>
      </w:r>
    </w:p>
    <w:p>
      <w:pPr>
        <w:pStyle w:val="TextBody"/>
        <w:bidi w:val="0"/>
        <w:spacing w:before="240" w:after="0"/>
        <w:jc w:val="left"/>
        <w:rPr>
          <w:rFonts w:ascii="Times New Roman" w:hAnsi="Times New Roman"/>
          <w:sz w:val="20"/>
        </w:rPr>
      </w:pPr>
      <w:r>
        <w:rPr>
          <w:rFonts w:ascii="Times New Roman" w:hAnsi="Times New Roman"/>
          <w:sz w:val="20"/>
        </w:rPr>
        <w:t xml:space="preserve">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 </w:t>
      </w:r>
    </w:p>
    <w:p>
      <w:pPr>
        <w:pStyle w:val="TextBody"/>
        <w:bidi w:val="0"/>
        <w:spacing w:before="240" w:after="0"/>
        <w:jc w:val="left"/>
        <w:rPr>
          <w:rFonts w:ascii="Times New Roman" w:hAnsi="Times New Roman"/>
          <w:sz w:val="20"/>
        </w:rPr>
      </w:pPr>
      <w:r>
        <w:rPr>
          <w:rFonts w:ascii="Times New Roman" w:hAnsi="Times New Roman"/>
          <w:sz w:val="20"/>
        </w:rPr>
        <w:t xml:space="preserve">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 </w:t>
      </w:r>
    </w:p>
    <w:p>
      <w:pPr>
        <w:pStyle w:val="TextBody"/>
        <w:bidi w:val="0"/>
        <w:spacing w:before="240" w:after="0"/>
        <w:jc w:val="left"/>
        <w:rPr>
          <w:rFonts w:ascii="Times New Roman" w:hAnsi="Times New Roman"/>
          <w:sz w:val="20"/>
        </w:rPr>
      </w:pPr>
      <w:r>
        <w:rPr>
          <w:rFonts w:ascii="Times New Roman" w:hAnsi="Times New Roman"/>
          <w:sz w:val="20"/>
        </w:rPr>
        <w:t xml:space="preserve">Section 12.04 </w:t>
      </w:r>
      <w:r>
        <w:rPr>
          <w:rFonts w:ascii="Times New Roman" w:hAnsi="Times New Roman"/>
          <w:i/>
          <w:sz w:val="20"/>
        </w:rPr>
        <w:t>Exclusion of Certain Securities from Eligibility for</w:t>
      </w:r>
      <w:r>
        <w:rPr>
          <w:rFonts w:ascii="Times New Roman" w:hAnsi="Times New Roman"/>
          <w:sz w:val="20"/>
        </w:rPr>
        <w:t xml:space="preserve"> </w:t>
      </w:r>
      <w:r>
        <w:rPr>
          <w:rFonts w:ascii="Times New Roman" w:hAnsi="Times New Roman"/>
          <w:i/>
          <w:sz w:val="20"/>
        </w:rPr>
        <w:t xml:space="preserve">Selection for Redemption. </w:t>
      </w:r>
      <w:r>
        <w:rPr>
          <w:rFonts w:ascii="Times New Roman" w:hAnsi="Times New Roman"/>
          <w:sz w:val="20"/>
        </w:rPr>
        <w:t xml:space="preserve">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12.05 </w:t>
      </w:r>
      <w:r>
        <w:rPr>
          <w:rFonts w:ascii="Times New Roman" w:hAnsi="Times New Roman"/>
          <w:i/>
          <w:sz w:val="20"/>
        </w:rPr>
        <w:t xml:space="preserve">Mandatory and Optional Sinking Funds. </w:t>
      </w:r>
      <w:r>
        <w:rPr>
          <w:rFonts w:ascii="Times New Roman" w:hAnsi="Times New Roman"/>
          <w:sz w:val="20"/>
        </w:rPr>
        <w:t>The minimum amount of any sinking fund payment provided for by the terms of the Securities of any series is herein referred to as a “</w:t>
      </w:r>
      <w:r>
        <w:rPr>
          <w:rFonts w:ascii="Times New Roman" w:hAnsi="Times New Roman"/>
          <w:b/>
          <w:sz w:val="20"/>
        </w:rPr>
        <w:t>mandatory sinking fund payment</w:t>
      </w:r>
      <w:r>
        <w:rPr>
          <w:rFonts w:ascii="Times New Roman" w:hAnsi="Times New Roman"/>
          <w:sz w:val="20"/>
        </w:rPr>
        <w:t>”, and any payment in excess of such minimum amount provided for by the terms of the Securities of any series is herein referred to as an “</w:t>
      </w:r>
      <w:r>
        <w:rPr>
          <w:rFonts w:ascii="Times New Roman" w:hAnsi="Times New Roman"/>
          <w:b/>
          <w:sz w:val="20"/>
        </w:rPr>
        <w:t>optional sinking fund</w:t>
      </w:r>
      <w:r>
        <w:rPr>
          <w:rFonts w:ascii="Times New Roman" w:hAnsi="Times New Roman"/>
          <w:sz w:val="20"/>
        </w:rPr>
        <w:t xml:space="preserve"> </w:t>
      </w:r>
      <w:r>
        <w:rPr>
          <w:rFonts w:ascii="Times New Roman" w:hAnsi="Times New Roman"/>
          <w:b/>
          <w:sz w:val="20"/>
        </w:rPr>
        <w:t>payment</w:t>
      </w:r>
      <w:r>
        <w:rPr>
          <w:rFonts w:ascii="Times New Roman" w:hAnsi="Times New Roman"/>
          <w:sz w:val="20"/>
        </w:rPr>
        <w:t>”. The date on which a sinking fund payment is to be made is herein referred to as the “</w:t>
      </w:r>
      <w:r>
        <w:rPr>
          <w:rFonts w:ascii="Times New Roman" w:hAnsi="Times New Roman"/>
          <w:b/>
          <w:sz w:val="20"/>
        </w:rPr>
        <w:t>sinking fund payment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if the Trustee is not the conversion agent for the Securities, the Issuer or such conversion agent shall give the Trustee written notice on or prior to the date fixed for redemption of the principal amount of Securities or portions thereof so converted. </w:t>
      </w:r>
    </w:p>
    <w:p>
      <w:pPr>
        <w:pStyle w:val="TextBody"/>
        <w:bidi w:val="0"/>
        <w:spacing w:before="240" w:after="0"/>
        <w:jc w:val="left"/>
        <w:rPr>
          <w:rFonts w:ascii="Times New Roman" w:hAnsi="Times New Roman"/>
          <w:sz w:val="20"/>
        </w:rPr>
      </w:pPr>
      <w:r>
        <w:rPr>
          <w:rFonts w:ascii="Times New Roman" w:hAnsi="Times New Roman"/>
          <w:sz w:val="20"/>
        </w:rPr>
        <w:t xml:space="preserve">On or before each sinking fund payment date, the Issuer shall pay to the Trustee in cash or shall otherwise provide for the payment of all interest accrued to the date fixed for redemption on Securities to be redeemed on such sinking fund payment date.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providing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65"/>
        <w:gridCol w:w="160"/>
        <w:gridCol w:w="3057"/>
      </w:tblGrid>
      <w:tr>
        <w:trPr/>
        <w:tc>
          <w:tcPr>
            <w:tcW w:w="86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SOLID BIOSCIENCES INC.</w:t>
            </w:r>
          </w:p>
        </w:tc>
      </w:tr>
      <w:tr>
        <w:trPr>
          <w:trHeight w:val="240" w:hRule="atLeast"/>
        </w:trPr>
        <w:tc>
          <w:tcPr>
            <w:tcW w:w="865" w:type="dxa"/>
            <w:tcBorders/>
            <w:vAlign w:val="center"/>
          </w:tcPr>
          <w:p>
            <w:pPr>
              <w:pStyle w:val="TableContents"/>
              <w:bidi w:val="0"/>
              <w:spacing w:before="0" w:after="283"/>
              <w:jc w:val="left"/>
              <w:rPr>
                <w:sz w:val="4"/>
                <w:szCs w:val="4"/>
              </w:rPr>
            </w:pPr>
            <w:r>
              <w:rPr>
                <w:sz w:val="4"/>
                <w:szCs w:val="4"/>
              </w:rPr>
            </w:r>
          </w:p>
        </w:tc>
        <w:tc>
          <w:tcPr>
            <w:tcW w:w="3217" w:type="dxa"/>
            <w:gridSpan w:val="2"/>
            <w:tcBorders/>
            <w:vAlign w:val="center"/>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By:</w:t>
            </w:r>
          </w:p>
        </w:tc>
        <w:tc>
          <w:tcPr>
            <w:tcW w:w="1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57" w:type="dxa"/>
            <w:tcBorders>
              <w:bottom w:val="single" w:sz="2" w:space="0" w:color="000000"/>
            </w:tcBorders>
            <w:tcMar>
              <w:bottom w:w="28" w:type="dxa"/>
            </w:tcMar>
          </w:tcPr>
          <w:p>
            <w:pPr>
              <w:pStyle w:val="TableContents"/>
              <w:bidi w:val="0"/>
              <w:spacing w:before="0" w:after="283"/>
              <w:jc w:val="left"/>
              <w:rPr/>
            </w:pPr>
            <w:r>
              <w:rPr/>
              <w:t> </w:t>
            </w:r>
          </w:p>
        </w:tc>
      </w:tr>
      <w:tr>
        <w:trPr/>
        <w:tc>
          <w:tcPr>
            <w:tcW w:w="865"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5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865"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5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Attest:</w:t>
            </w:r>
          </w:p>
        </w:tc>
      </w:tr>
      <w:tr>
        <w:trPr>
          <w:trHeight w:val="240" w:hRule="atLeast"/>
        </w:trPr>
        <w:tc>
          <w:tcPr>
            <w:tcW w:w="865" w:type="dxa"/>
            <w:tcBorders/>
            <w:vAlign w:val="center"/>
          </w:tcPr>
          <w:p>
            <w:pPr>
              <w:pStyle w:val="TableContents"/>
              <w:bidi w:val="0"/>
              <w:spacing w:before="0" w:after="283"/>
              <w:jc w:val="left"/>
              <w:rPr>
                <w:sz w:val="4"/>
                <w:szCs w:val="4"/>
              </w:rPr>
            </w:pPr>
            <w:r>
              <w:rPr>
                <w:sz w:val="4"/>
                <w:szCs w:val="4"/>
              </w:rPr>
            </w:r>
          </w:p>
        </w:tc>
        <w:tc>
          <w:tcPr>
            <w:tcW w:w="3217" w:type="dxa"/>
            <w:gridSpan w:val="2"/>
            <w:tcBorders/>
            <w:vAlign w:val="center"/>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By:</w:t>
            </w:r>
          </w:p>
        </w:tc>
        <w:tc>
          <w:tcPr>
            <w:tcW w:w="1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57" w:type="dxa"/>
            <w:tcBorders>
              <w:bottom w:val="single" w:sz="2" w:space="0" w:color="000000"/>
            </w:tcBorders>
            <w:tcMar>
              <w:bottom w:w="28" w:type="dxa"/>
            </w:tcMar>
          </w:tcPr>
          <w:p>
            <w:pPr>
              <w:pStyle w:val="TableContents"/>
              <w:bidi w:val="0"/>
              <w:spacing w:before="0" w:after="283"/>
              <w:jc w:val="left"/>
              <w:rPr/>
            </w:pPr>
            <w:r>
              <w:rPr/>
              <w:t> </w:t>
            </w:r>
          </w:p>
        </w:tc>
      </w:tr>
      <w:tr>
        <w:trPr/>
        <w:tc>
          <w:tcPr>
            <w:tcW w:w="865"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5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865"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5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____________, Trustee</w:t>
            </w:r>
          </w:p>
        </w:tc>
      </w:tr>
      <w:tr>
        <w:trPr>
          <w:trHeight w:val="240" w:hRule="atLeast"/>
        </w:trPr>
        <w:tc>
          <w:tcPr>
            <w:tcW w:w="865" w:type="dxa"/>
            <w:tcBorders/>
            <w:vAlign w:val="center"/>
          </w:tcPr>
          <w:p>
            <w:pPr>
              <w:pStyle w:val="TableContents"/>
              <w:bidi w:val="0"/>
              <w:spacing w:before="0" w:after="283"/>
              <w:jc w:val="left"/>
              <w:rPr>
                <w:sz w:val="4"/>
                <w:szCs w:val="4"/>
              </w:rPr>
            </w:pPr>
            <w:r>
              <w:rPr>
                <w:sz w:val="4"/>
                <w:szCs w:val="4"/>
              </w:rPr>
            </w:r>
          </w:p>
        </w:tc>
        <w:tc>
          <w:tcPr>
            <w:tcW w:w="3217" w:type="dxa"/>
            <w:gridSpan w:val="2"/>
            <w:tcBorders/>
            <w:vAlign w:val="center"/>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By:</w:t>
            </w:r>
          </w:p>
        </w:tc>
        <w:tc>
          <w:tcPr>
            <w:tcW w:w="1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57" w:type="dxa"/>
            <w:tcBorders>
              <w:bottom w:val="single" w:sz="2" w:space="0" w:color="000000"/>
            </w:tcBorders>
            <w:tcMar>
              <w:bottom w:w="28" w:type="dxa"/>
            </w:tcMar>
          </w:tcPr>
          <w:p>
            <w:pPr>
              <w:pStyle w:val="TableContents"/>
              <w:bidi w:val="0"/>
              <w:spacing w:before="0" w:after="283"/>
              <w:jc w:val="left"/>
              <w:rPr/>
            </w:pPr>
            <w:r>
              <w:rPr/>
              <w:t> </w:t>
            </w:r>
          </w:p>
        </w:tc>
      </w:tr>
      <w:tr>
        <w:trPr/>
        <w:tc>
          <w:tcPr>
            <w:tcW w:w="865"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5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865" w:type="dxa"/>
            <w:tcBorders/>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5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p>
    <w:p>
      <w:pPr>
        <w:pStyle w:val="TextBody"/>
        <w:bidi w:val="0"/>
        <w:spacing w:before="0" w:after="0"/>
        <w:jc w:val="right"/>
        <w:rPr>
          <w:rFonts w:ascii="Times New Roman" w:hAnsi="Times New Roman"/>
          <w:b/>
          <w:sz w:val="20"/>
        </w:rPr>
      </w:pPr>
      <w:bookmarkStart w:id="22" w:name="d274438dex45.htm"/>
      <w:bookmarkStart w:id="23" w:name="ksd274438dex45"/>
      <w:bookmarkEnd w:id="22"/>
      <w:bookmarkEnd w:id="23"/>
      <w:r>
        <w:rPr>
          <w:rFonts w:ascii="Times New Roman" w:hAnsi="Times New Roman"/>
          <w:b/>
          <w:sz w:val="20"/>
        </w:rPr>
        <w:t xml:space="preserve">Exhibit 4.5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SOLID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_______________ </w:t>
      </w:r>
    </w:p>
    <w:p>
      <w:pPr>
        <w:pStyle w:val="TextBody"/>
        <w:bidi w:val="0"/>
        <w:spacing w:before="240" w:after="0"/>
        <w:jc w:val="center"/>
        <w:rPr>
          <w:rFonts w:ascii="Times New Roman" w:hAnsi="Times New Roman"/>
          <w:b/>
          <w:sz w:val="20"/>
        </w:rPr>
      </w:pPr>
      <w:r>
        <w:rPr>
          <w:rFonts w:ascii="Times New Roman" w:hAnsi="Times New Roman"/>
          <w:b/>
          <w:sz w:val="20"/>
        </w:rPr>
        <w:t xml:space="preserve">SUBORDINATED DEBT SECURITIES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CROSS-REFERENCE TABLE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75"/>
        <w:gridCol w:w="225"/>
        <w:gridCol w:w="1205"/>
      </w:tblGrid>
      <w:tr>
        <w:trPr/>
        <w:tc>
          <w:tcPr>
            <w:tcW w:w="8775"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877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Section of Trust Indenture Act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of 1939, as amended</w:t>
            </w:r>
          </w:p>
        </w:tc>
        <w:tc>
          <w:tcPr>
            <w:tcW w:w="225" w:type="dxa"/>
            <w:tcBorders/>
            <w:vAlign w:val="bottom"/>
          </w:tcPr>
          <w:p>
            <w:pPr>
              <w:pStyle w:val="TableContents"/>
              <w:bidi w:val="0"/>
              <w:spacing w:before="0" w:after="283"/>
              <w:jc w:val="left"/>
              <w:rPr/>
            </w:pPr>
            <w:r>
              <w:rPr/>
              <w:t>  </w:t>
            </w:r>
          </w:p>
        </w:tc>
        <w:tc>
          <w:tcPr>
            <w:tcW w:w="1205" w:type="dxa"/>
            <w:tcBorders>
              <w:bottom w:val="single" w:sz="8" w:space="0" w:color="000000"/>
            </w:tcBorders>
            <w:tcMar>
              <w:bottom w:w="28" w:type="dxa"/>
            </w:tcMar>
            <w:vAlign w:val="bottom"/>
          </w:tcPr>
          <w:p>
            <w:pPr>
              <w:pStyle w:val="TableContents"/>
              <w:bidi w:val="0"/>
              <w:spacing w:before="0" w:after="283"/>
              <w:jc w:val="center"/>
              <w:rPr>
                <w:b/>
              </w:rPr>
            </w:pPr>
            <w:r>
              <w:rPr>
                <w:b/>
              </w:rPr>
              <w:t>Section of</w:t>
              <w:br/>
              <w:t>Indenture</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310(a)</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6.09</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310(b)</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jc w:val="left"/>
              <w:rPr/>
            </w:pPr>
            <w:r>
              <w:rPr/>
              <w:t>6.08</w:t>
            </w:r>
          </w:p>
          <w:p>
            <w:pPr>
              <w:pStyle w:val="TableContents"/>
              <w:bidi w:val="0"/>
              <w:spacing w:before="0" w:after="20"/>
              <w:jc w:val="left"/>
              <w:rPr>
                <w:rFonts w:ascii="Times New Roman" w:hAnsi="Times New Roman"/>
                <w:sz w:val="20"/>
              </w:rPr>
            </w:pPr>
            <w:r>
              <w:rPr>
                <w:rFonts w:ascii="Times New Roman" w:hAnsi="Times New Roman"/>
                <w:sz w:val="20"/>
              </w:rPr>
              <w:t>6.10</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310(c)</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Inapplicable</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311(a)</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6.13</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311(b)</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6.13</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311(c)</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Inapplicable</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312(a)</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jc w:val="left"/>
              <w:rPr/>
            </w:pPr>
            <w:r>
              <w:rPr/>
              <w:t>4.01</w:t>
            </w:r>
          </w:p>
          <w:p>
            <w:pPr>
              <w:pStyle w:val="TableContents"/>
              <w:bidi w:val="0"/>
              <w:spacing w:before="0" w:after="20"/>
              <w:jc w:val="left"/>
              <w:rPr>
                <w:rFonts w:ascii="Times New Roman" w:hAnsi="Times New Roman"/>
                <w:sz w:val="20"/>
              </w:rPr>
            </w:pPr>
            <w:r>
              <w:rPr>
                <w:rFonts w:ascii="Times New Roman" w:hAnsi="Times New Roman"/>
                <w:sz w:val="20"/>
              </w:rPr>
              <w:t>4.04</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312(b)</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4.04(c)</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312(c)</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4.04(c)</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313(a)</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4.03</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313(b)</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4.03</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313(c)</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4.03</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313(d)</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4.03</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314(a)</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4.02</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314(b)</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Inapplicable</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314(c)</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jc w:val="left"/>
              <w:rPr/>
            </w:pPr>
            <w:r>
              <w:rPr/>
              <w:t>2.04</w:t>
            </w:r>
          </w:p>
          <w:p>
            <w:pPr>
              <w:pStyle w:val="TableContents"/>
              <w:bidi w:val="0"/>
              <w:spacing w:before="0" w:after="0"/>
              <w:jc w:val="left"/>
              <w:rPr>
                <w:rFonts w:ascii="Times New Roman" w:hAnsi="Times New Roman"/>
                <w:sz w:val="20"/>
              </w:rPr>
            </w:pPr>
            <w:r>
              <w:rPr>
                <w:rFonts w:ascii="Times New Roman" w:hAnsi="Times New Roman"/>
                <w:sz w:val="20"/>
              </w:rPr>
              <w:t>8.04</w:t>
            </w:r>
          </w:p>
          <w:p>
            <w:pPr>
              <w:pStyle w:val="TableContents"/>
              <w:bidi w:val="0"/>
              <w:spacing w:before="0" w:after="0"/>
              <w:jc w:val="left"/>
              <w:rPr>
                <w:rFonts w:ascii="Times New Roman" w:hAnsi="Times New Roman"/>
                <w:sz w:val="20"/>
              </w:rPr>
            </w:pPr>
            <w:r>
              <w:rPr>
                <w:rFonts w:ascii="Times New Roman" w:hAnsi="Times New Roman"/>
                <w:sz w:val="20"/>
              </w:rPr>
              <w:t>9.01(c)</w:t>
            </w:r>
          </w:p>
          <w:p>
            <w:pPr>
              <w:pStyle w:val="TableContents"/>
              <w:bidi w:val="0"/>
              <w:spacing w:before="0" w:after="0"/>
              <w:jc w:val="left"/>
              <w:rPr>
                <w:rFonts w:ascii="Times New Roman" w:hAnsi="Times New Roman"/>
                <w:sz w:val="20"/>
              </w:rPr>
            </w:pPr>
            <w:r>
              <w:rPr>
                <w:rFonts w:ascii="Times New Roman" w:hAnsi="Times New Roman"/>
                <w:sz w:val="20"/>
              </w:rPr>
              <w:t>10.01(b)</w:t>
            </w:r>
          </w:p>
          <w:p>
            <w:pPr>
              <w:pStyle w:val="TableContents"/>
              <w:bidi w:val="0"/>
              <w:spacing w:before="0" w:after="20"/>
              <w:jc w:val="left"/>
              <w:rPr>
                <w:rFonts w:ascii="Times New Roman" w:hAnsi="Times New Roman"/>
                <w:sz w:val="20"/>
              </w:rPr>
            </w:pPr>
            <w:r>
              <w:rPr>
                <w:rFonts w:ascii="Times New Roman" w:hAnsi="Times New Roman"/>
                <w:sz w:val="20"/>
              </w:rPr>
              <w:t>11.05</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314(d)</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Inapplicable</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314(e)</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11.05</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314(f)</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Inapplicable</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315(a)</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jc w:val="left"/>
              <w:rPr/>
            </w:pPr>
            <w:r>
              <w:rPr/>
              <w:t>6.01</w:t>
            </w:r>
          </w:p>
          <w:p>
            <w:pPr>
              <w:pStyle w:val="TableContents"/>
              <w:bidi w:val="0"/>
              <w:spacing w:before="0" w:after="20"/>
              <w:jc w:val="left"/>
              <w:rPr>
                <w:rFonts w:ascii="Times New Roman" w:hAnsi="Times New Roman"/>
                <w:sz w:val="20"/>
              </w:rPr>
            </w:pPr>
            <w:r>
              <w:rPr>
                <w:rFonts w:ascii="Times New Roman" w:hAnsi="Times New Roman"/>
                <w:sz w:val="20"/>
              </w:rPr>
              <w:t>6.02</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315(b)</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5.11</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315(c)</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6.01</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315(d)</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6.01</w:t>
            </w:r>
          </w:p>
        </w:tc>
      </w:tr>
      <w:tr>
        <w:trPr/>
        <w:tc>
          <w:tcPr>
            <w:tcW w:w="877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6.02</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315(e)</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5.12</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316(a)</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jc w:val="left"/>
              <w:rPr/>
            </w:pPr>
            <w:r>
              <w:rPr/>
              <w:t>5.09</w:t>
            </w:r>
          </w:p>
          <w:p>
            <w:pPr>
              <w:pStyle w:val="TableContents"/>
              <w:bidi w:val="0"/>
              <w:spacing w:before="0" w:after="0"/>
              <w:jc w:val="left"/>
              <w:rPr>
                <w:rFonts w:ascii="Times New Roman" w:hAnsi="Times New Roman"/>
                <w:sz w:val="20"/>
              </w:rPr>
            </w:pPr>
            <w:r>
              <w:rPr>
                <w:rFonts w:ascii="Times New Roman" w:hAnsi="Times New Roman"/>
                <w:sz w:val="20"/>
              </w:rPr>
              <w:t>5.10</w:t>
            </w:r>
          </w:p>
          <w:p>
            <w:pPr>
              <w:pStyle w:val="TableContents"/>
              <w:bidi w:val="0"/>
              <w:spacing w:before="0" w:after="20"/>
              <w:jc w:val="left"/>
              <w:rPr>
                <w:rFonts w:ascii="Times New Roman" w:hAnsi="Times New Roman"/>
                <w:sz w:val="20"/>
              </w:rPr>
            </w:pPr>
            <w:r>
              <w:rPr>
                <w:rFonts w:ascii="Times New Roman" w:hAnsi="Times New Roman"/>
                <w:sz w:val="20"/>
              </w:rPr>
              <w:t>7.04</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316(b)</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jc w:val="left"/>
              <w:rPr/>
            </w:pPr>
            <w:r>
              <w:rPr/>
              <w:t>5.06</w:t>
            </w:r>
          </w:p>
          <w:p>
            <w:pPr>
              <w:pStyle w:val="TableContents"/>
              <w:bidi w:val="0"/>
              <w:spacing w:before="0" w:after="20"/>
              <w:jc w:val="left"/>
              <w:rPr>
                <w:rFonts w:ascii="Times New Roman" w:hAnsi="Times New Roman"/>
                <w:sz w:val="20"/>
              </w:rPr>
            </w:pPr>
            <w:r>
              <w:rPr>
                <w:rFonts w:ascii="Times New Roman" w:hAnsi="Times New Roman"/>
                <w:sz w:val="20"/>
              </w:rPr>
              <w:t>5.10</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316(c)</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7.02</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317(a)</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5.04</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317(b)</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3.04</w:t>
            </w:r>
          </w:p>
        </w:tc>
      </w:tr>
      <w:tr>
        <w:trPr/>
        <w:tc>
          <w:tcPr>
            <w:tcW w:w="8775" w:type="dxa"/>
            <w:tcBorders/>
          </w:tcPr>
          <w:p>
            <w:pPr>
              <w:pStyle w:val="TableContents"/>
              <w:bidi w:val="0"/>
              <w:spacing w:before="0" w:after="0"/>
              <w:jc w:val="left"/>
              <w:rPr>
                <w:rFonts w:ascii="Times New Roman" w:hAnsi="Times New Roman"/>
                <w:sz w:val="20"/>
              </w:rPr>
            </w:pPr>
            <w:r>
              <w:rPr>
                <w:rFonts w:ascii="Times New Roman" w:hAnsi="Times New Roman"/>
                <w:sz w:val="20"/>
              </w:rPr>
              <w:t>318(a)</w:t>
            </w:r>
          </w:p>
        </w:tc>
        <w:tc>
          <w:tcPr>
            <w:tcW w:w="225"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pPr>
            <w:r>
              <w:rPr/>
              <w:t>11.07</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1</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Cross-Reference Table does not constitute part of the Indenture and shall not have any bearing on the interpretation of any of its terms or provisions.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9"/>
        <w:gridCol w:w="125"/>
        <w:gridCol w:w="7771"/>
        <w:gridCol w:w="175"/>
        <w:gridCol w:w="96"/>
        <w:gridCol w:w="425"/>
        <w:gridCol w:w="64"/>
      </w:tblGrid>
      <w:tr>
        <w:trPr/>
        <w:tc>
          <w:tcPr>
            <w:tcW w:w="154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771"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4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77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1"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 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549" w:type="dxa"/>
            <w:tcBorders/>
            <w:vAlign w:val="center"/>
          </w:tcPr>
          <w:p>
            <w:pPr>
              <w:pStyle w:val="TableContents"/>
              <w:bidi w:val="0"/>
              <w:spacing w:before="0" w:after="283"/>
              <w:jc w:val="left"/>
              <w:rPr>
                <w:sz w:val="4"/>
                <w:szCs w:val="4"/>
              </w:rPr>
            </w:pPr>
            <w:r>
              <w:rPr>
                <w:sz w:val="4"/>
                <w:szCs w:val="4"/>
              </w:rPr>
            </w:r>
          </w:p>
        </w:tc>
        <w:tc>
          <w:tcPr>
            <w:tcW w:w="7896"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Certain Terms Defined</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2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1549" w:type="dxa"/>
            <w:tcBorders/>
            <w:vAlign w:val="center"/>
          </w:tcPr>
          <w:p>
            <w:pPr>
              <w:pStyle w:val="TableContents"/>
              <w:bidi w:val="0"/>
              <w:spacing w:before="0" w:after="283"/>
              <w:jc w:val="left"/>
              <w:rPr>
                <w:sz w:val="4"/>
                <w:szCs w:val="4"/>
              </w:rPr>
            </w:pPr>
            <w:r>
              <w:rPr>
                <w:sz w:val="4"/>
                <w:szCs w:val="4"/>
              </w:rPr>
            </w:r>
          </w:p>
        </w:tc>
        <w:tc>
          <w:tcPr>
            <w:tcW w:w="7896"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Forms Generally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Form of Trustee’s Certificate of Authentication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Amount Unlimited; Issuable in Series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Authentication and Delivery of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Execution of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of Authentication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Denomination and Date of Securities; Payments of Interest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Transfer and Exchange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Mutilated, Defaced, Destroyed, Lost and Stolen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Cancellation of Securities; Destruction Thereof</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Temporary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CUSIP Numbers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3 COVENANTS OF THE ISSUER</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1549" w:type="dxa"/>
            <w:tcBorders/>
            <w:vAlign w:val="center"/>
          </w:tcPr>
          <w:p>
            <w:pPr>
              <w:pStyle w:val="TableContents"/>
              <w:bidi w:val="0"/>
              <w:spacing w:before="0" w:after="283"/>
              <w:jc w:val="left"/>
              <w:rPr>
                <w:sz w:val="4"/>
                <w:szCs w:val="4"/>
              </w:rPr>
            </w:pPr>
            <w:r>
              <w:rPr>
                <w:sz w:val="4"/>
                <w:szCs w:val="4"/>
              </w:rPr>
            </w:r>
          </w:p>
        </w:tc>
        <w:tc>
          <w:tcPr>
            <w:tcW w:w="7896"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Payment of Principal and Interest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Offices for Payments, Etc.</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to Fill a Vacancy in Office of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Paying Agents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Written Statement to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4 SECURITYHOLDERS LISTS AND REPORTS BY THE ISSUER AND THE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1549" w:type="dxa"/>
            <w:tcBorders/>
            <w:vAlign w:val="center"/>
          </w:tcPr>
          <w:p>
            <w:pPr>
              <w:pStyle w:val="TableContents"/>
              <w:bidi w:val="0"/>
              <w:spacing w:before="0" w:after="283"/>
              <w:jc w:val="left"/>
              <w:rPr>
                <w:sz w:val="4"/>
                <w:szCs w:val="4"/>
              </w:rPr>
            </w:pPr>
            <w:r>
              <w:rPr>
                <w:sz w:val="4"/>
                <w:szCs w:val="4"/>
              </w:rPr>
            </w:r>
          </w:p>
        </w:tc>
        <w:tc>
          <w:tcPr>
            <w:tcW w:w="7896"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Issuer to Furnish Trustee Information as to Names and Addresses of Securityholders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Reports by the Issuer</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Reports by the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Preservation of Information; Communication with Securityholders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5 REMEDIES OF THE TRUSTEE AND SECURITYHOLDERS ON EVENT OF DEFAULT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1549" w:type="dxa"/>
            <w:tcBorders/>
            <w:vAlign w:val="center"/>
          </w:tcPr>
          <w:p>
            <w:pPr>
              <w:pStyle w:val="TableContents"/>
              <w:bidi w:val="0"/>
              <w:spacing w:before="0" w:after="283"/>
              <w:jc w:val="left"/>
              <w:rPr>
                <w:sz w:val="4"/>
                <w:szCs w:val="4"/>
              </w:rPr>
            </w:pPr>
            <w:r>
              <w:rPr>
                <w:sz w:val="4"/>
                <w:szCs w:val="4"/>
              </w:rPr>
            </w:r>
          </w:p>
        </w:tc>
        <w:tc>
          <w:tcPr>
            <w:tcW w:w="7896"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Event of Default Defined; Acceleration of Maturity; Waiver of Default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Collection of Debt by Trustee; Trustee May Prove Debt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Proceeds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Suits for Enforcement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Restoration of Rights on Abandonment of Proceedings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Limitations on Suits by Securityholders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Unconditional Right of Securityholders to Institute Certain Suits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Powers and Remedies Cumulative; Delay or Omission Not Waiver of Default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Control by Holders of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Waiver of Past Defaults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Trustee to Give Notice of Default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Right of Court to Require Filing of Undertaking to Pay Costs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6 CONCERNING THE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1549" w:type="dxa"/>
            <w:tcBorders/>
            <w:vAlign w:val="center"/>
          </w:tcPr>
          <w:p>
            <w:pPr>
              <w:pStyle w:val="TableContents"/>
              <w:bidi w:val="0"/>
              <w:spacing w:before="0" w:after="283"/>
              <w:jc w:val="left"/>
              <w:rPr>
                <w:sz w:val="4"/>
                <w:szCs w:val="4"/>
              </w:rPr>
            </w:pPr>
            <w:r>
              <w:rPr>
                <w:sz w:val="4"/>
                <w:szCs w:val="4"/>
              </w:rPr>
            </w:r>
          </w:p>
        </w:tc>
        <w:tc>
          <w:tcPr>
            <w:tcW w:w="7896"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Duties and Responsibilities of the Trustee; During Default; Prior to Default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Certain Rights of the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Trustee Not Responsible for Recitals, Disposition of Securities or Application of Proceeds Thereof</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Trustee and Agents May Hold Securities; Collections, Etc.</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Moneys Held by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Indemnification of Trustee and Its Prior Claim</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Right of Trustee to Rely on Officer’s Certificate, Etc.</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Disqualification; Conflicting Interests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Persons Eligible for Appointment as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Resignation and Removal; Appointment of Successor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Acceptance of Appointment by Successor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Merger, Conversion, Consolidation or Succession to Business of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549"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125" w:type="dxa"/>
            <w:tcBorders/>
            <w:vAlign w:val="bottom"/>
          </w:tcPr>
          <w:p>
            <w:pPr>
              <w:pStyle w:val="TableContents"/>
              <w:bidi w:val="0"/>
              <w:spacing w:before="0" w:after="283"/>
              <w:jc w:val="left"/>
              <w:rPr/>
            </w:pPr>
            <w:r>
              <w:rPr/>
              <w:t> </w:t>
            </w:r>
          </w:p>
        </w:tc>
        <w:tc>
          <w:tcPr>
            <w:tcW w:w="7771" w:type="dxa"/>
            <w:tcBorders/>
          </w:tcPr>
          <w:p>
            <w:pPr>
              <w:pStyle w:val="TableContents"/>
              <w:bidi w:val="0"/>
              <w:spacing w:before="0" w:after="0"/>
              <w:jc w:val="left"/>
              <w:rPr>
                <w:rFonts w:ascii="Times New Roman" w:hAnsi="Times New Roman"/>
                <w:sz w:val="20"/>
              </w:rPr>
            </w:pPr>
            <w:r>
              <w:rPr>
                <w:rFonts w:ascii="Times New Roman" w:hAnsi="Times New Roman"/>
                <w:sz w:val="20"/>
              </w:rPr>
              <w:t>Preferential Collection of Claims Against the Issuer</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16"/>
        <w:gridCol w:w="123"/>
        <w:gridCol w:w="7915"/>
        <w:gridCol w:w="165"/>
        <w:gridCol w:w="60"/>
        <w:gridCol w:w="263"/>
        <w:gridCol w:w="63"/>
      </w:tblGrid>
      <w:tr>
        <w:trPr/>
        <w:tc>
          <w:tcPr>
            <w:tcW w:w="161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915"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7 CONCERNING THE SECURITYHOLDERS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8038"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Evidence of Action Taken by Securityholders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Proof of Execution of Instruments and of Holding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Holders to Be Treated as Owners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Securities Owned by Issuer Deemed Not Outstanding</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Right of Revocation of Action Taken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8 SUPPLEMENTAL INDENTURES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8038"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Indentures Without Consent of Securityholders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Indentures With Consent of Securityholders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Effect of Supplemental Indenture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Documents to Be Given to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Notation on Securities in Respect of Supplemental Indentures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9 CONSOLIDATION, MERGER, SALE OR CONVEYANCE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8038"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Issuer May Consolidate, Etc., on Certain Terms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Successor Issuer Substituted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10 SATISFACTION AND DISCHARGE OF INDENTURE; DEFEASANCE; UNCLAIMED MONEYS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8038"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Satisfaction and Discharge of Indenture; Defeasance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by Trustee of Funds Deposited for Payment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Moneys Held by Paying Agent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Return of Moneys Held by Trustee and Paying Agent Unclaimed for Two Years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Indemnity for U.S. Government Obligations and Foreign Government Obligations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11 MISCELLANEOUS PROVISIONS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8038"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No Recourse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Provisions of Indenture for the Sole Benefit of Parties and Holders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 of Issuer Bound by Indenture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Notices and Demands on Issuer, Trustee and Holders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Officer’s Certificates and Opinions of Counsel; Statements to Be Contained Therein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Payments Due on Saturdays, Sundays and Holidays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Conflict of Any Provision of Indenture With Trust Indenture Act of 1939</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New York Law to Govern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11.09</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11.10</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Effect of Headings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11.11</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Actions by Successor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11.12</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12 REDEMPTION OF SECURITIES AND SINKING FUNDS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8038"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Applicability of Article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Notice of Redemption; Partial Redemptions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12.03</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Payment of Securities Called for Redemption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12.04</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Exclusion of Certain Securities from Eligibility for Selection for Redemption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12.05</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Mandatory and Optional Sinking Funds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13 SUBORDINATION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8038"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Agreement of Subordination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Payments to Securityholders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Subrogation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13.04</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 by Securityholders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13.05</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Notice to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13.06</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Trustee’s Relation to Senior Indebtedness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13.07</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No Impairment of Subordination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61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13.08</w:t>
            </w:r>
          </w:p>
        </w:tc>
        <w:tc>
          <w:tcPr>
            <w:tcW w:w="123" w:type="dxa"/>
            <w:tcBorders/>
            <w:vAlign w:val="bottom"/>
          </w:tcPr>
          <w:p>
            <w:pPr>
              <w:pStyle w:val="TableContents"/>
              <w:bidi w:val="0"/>
              <w:spacing w:before="0" w:after="283"/>
              <w:jc w:val="left"/>
              <w:rPr/>
            </w:pPr>
            <w:r>
              <w:rPr/>
              <w:t> </w:t>
            </w:r>
          </w:p>
        </w:tc>
        <w:tc>
          <w:tcPr>
            <w:tcW w:w="7915" w:type="dxa"/>
            <w:tcBorders/>
          </w:tcPr>
          <w:p>
            <w:pPr>
              <w:pStyle w:val="TableContents"/>
              <w:bidi w:val="0"/>
              <w:spacing w:before="0" w:after="0"/>
              <w:jc w:val="left"/>
              <w:rPr>
                <w:rFonts w:ascii="Times New Roman" w:hAnsi="Times New Roman"/>
                <w:sz w:val="20"/>
              </w:rPr>
            </w:pPr>
            <w:r>
              <w:rPr>
                <w:rFonts w:ascii="Times New Roman" w:hAnsi="Times New Roman"/>
                <w:sz w:val="20"/>
              </w:rPr>
              <w:t>Rights of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INDENTURE, dated as of _________ between Solid Biosciences Inc., a Delaware corporation (the “</w:t>
      </w:r>
      <w:r>
        <w:rPr>
          <w:rFonts w:ascii="Times New Roman" w:hAnsi="Times New Roman"/>
          <w:b/>
          <w:sz w:val="20"/>
        </w:rPr>
        <w:t>Issuer</w:t>
      </w:r>
      <w:r>
        <w:rPr>
          <w:rFonts w:ascii="Times New Roman" w:hAnsi="Times New Roman"/>
          <w:sz w:val="20"/>
        </w:rPr>
        <w:t>”), and ________, a _______ (the “</w:t>
      </w:r>
      <w:r>
        <w:rPr>
          <w:rFonts w:ascii="Times New Roman" w:hAnsi="Times New Roman"/>
          <w:b/>
          <w:sz w:val="20"/>
        </w:rPr>
        <w:t>Trustee</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the Issuer may from time to time duly authorize the issue of its unsecured subordinated debentures, notes or other evidences of indebtedness to be issued in one or more series (the “</w:t>
      </w:r>
      <w:r>
        <w:rPr>
          <w:rFonts w:ascii="Times New Roman" w:hAnsi="Times New Roman"/>
          <w:b/>
          <w:sz w:val="20"/>
        </w:rPr>
        <w:t>Securities</w:t>
      </w:r>
      <w:r>
        <w:rPr>
          <w:rFonts w:ascii="Times New Roman" w:hAnsi="Times New Roman"/>
          <w:sz w:val="20"/>
        </w:rPr>
        <w:t xml:space="preserve">”) up to such principal amount or amounts as may from time to time be authorized in accordance with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the Issuer has duly authorized the execution and delivery of this Indenture to provide, among other things, for the authentication, delivery and administration of the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things necessary to make this Indenture a valid indenture and agreement according to its terms have been done;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w:t>
      </w:r>
    </w:p>
    <w:p>
      <w:pPr>
        <w:pStyle w:val="TextBody"/>
        <w:bidi w:val="0"/>
        <w:spacing w:before="120" w:after="0"/>
        <w:jc w:val="left"/>
        <w:rPr>
          <w:rFonts w:ascii="Times New Roman" w:hAnsi="Times New Roman"/>
          <w:sz w:val="20"/>
        </w:rPr>
      </w:pPr>
      <w:r>
        <w:rPr>
          <w:rFonts w:ascii="Times New Roman" w:hAnsi="Times New Roman"/>
          <w:sz w:val="20"/>
        </w:rPr>
        <w:t xml:space="preserve">In consideration of the premises and the purchases of the Securities by the holders thereof, the Issuer and the Trustee mutually covenant and agree for the equal and proportionate benefit of the respective holders from time to time of the Securities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1 </w:t>
      </w:r>
    </w:p>
    <w:p>
      <w:pPr>
        <w:pStyle w:val="TextBody"/>
        <w:bidi w:val="0"/>
        <w:spacing w:before="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i/>
          <w:sz w:val="20"/>
        </w:rPr>
        <w:t xml:space="preserve">Certain Terms Defined. </w:t>
      </w:r>
      <w:r>
        <w:rPr>
          <w:rFonts w:ascii="Times New Roman" w:hAnsi="Times New Roman"/>
          <w:sz w:val="20"/>
        </w:rPr>
        <w:t>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of 1933 as in force at the date of this Indenture. All accounting terms used herein and not expressly defined shall have the meanings assigned to such terms in accordance with generally accepted accounting principles, and the term “</w:t>
      </w:r>
      <w:r>
        <w:rPr>
          <w:rFonts w:ascii="Times New Roman" w:hAnsi="Times New Roman"/>
          <w:b/>
          <w:sz w:val="20"/>
        </w:rPr>
        <w:t>generally accepted accounting principles</w:t>
      </w:r>
      <w:r>
        <w:rPr>
          <w:rFonts w:ascii="Times New Roman" w:hAnsi="Times New Roman"/>
          <w:sz w:val="20"/>
        </w:rPr>
        <w:t xml:space="preserve">” means such accounting principles as are generally accepted in the United States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 </w:t>
      </w:r>
    </w:p>
    <w:p>
      <w:pPr>
        <w:pStyle w:val="TextBody"/>
        <w:bidi w:val="0"/>
        <w:spacing w:before="240" w:after="0"/>
        <w:jc w:val="left"/>
        <w:rPr/>
      </w:pPr>
      <w:r>
        <w:rPr/>
        <w:t>“</w:t>
      </w:r>
      <w:r>
        <w:rPr>
          <w:rFonts w:ascii="Times New Roman" w:hAnsi="Times New Roman"/>
          <w:b/>
          <w:sz w:val="20"/>
        </w:rPr>
        <w:t>Additional Amounts”</w:t>
      </w:r>
      <w:r>
        <w:rPr>
          <w:rFonts w:ascii="Times New Roman" w:hAnsi="Times New Roman"/>
          <w:sz w:val="20"/>
        </w:rPr>
        <w:t xml:space="preserve"> means any additional amounts that are required by this Indenture or by any Security, under circumstances specified herein or therein, to be paid by the Issuer in respect of certain taxes, assessments or other governmental charges imposed on Holders specified therein and which are owing to such Holders. </w:t>
      </w:r>
    </w:p>
    <w:p>
      <w:pPr>
        <w:pStyle w:val="TextBody"/>
        <w:bidi w:val="0"/>
        <w:spacing w:before="240" w:after="0"/>
        <w:jc w:val="left"/>
        <w:rPr/>
      </w:pPr>
      <w:r>
        <w:rPr/>
        <w:t>“</w:t>
      </w:r>
      <w:r>
        <w:rPr>
          <w:rFonts w:ascii="Times New Roman" w:hAnsi="Times New Roman"/>
          <w:b/>
          <w:sz w:val="20"/>
        </w:rPr>
        <w:t>Applicable Procedures</w:t>
      </w:r>
      <w:r>
        <w:rPr>
          <w:rFonts w:ascii="Times New Roman" w:hAnsi="Times New Roman"/>
          <w:sz w:val="20"/>
        </w:rPr>
        <w:t xml:space="preserve">” means, with respect to a Depositary, as to any matter at any time, the policies and procedures of such Depositary, if any, that are applicable to such matter at such time.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either the Board of Directors of the Issuer or any committee of such Board duly authorized to act on its behalf. </w:t>
      </w:r>
    </w:p>
    <w:p>
      <w:pPr>
        <w:pStyle w:val="TextBody"/>
        <w:bidi w:val="0"/>
        <w:spacing w:before="240" w:after="0"/>
        <w:jc w:val="left"/>
        <w:rPr/>
      </w:pPr>
      <w:r>
        <w:rPr/>
        <w:t>“</w:t>
      </w:r>
      <w:r>
        <w:rPr>
          <w:rFonts w:ascii="Times New Roman" w:hAnsi="Times New Roman"/>
          <w:b/>
          <w:sz w:val="20"/>
        </w:rPr>
        <w:t>Board Resolution</w:t>
      </w:r>
      <w:r>
        <w:rPr>
          <w:rFonts w:ascii="Times New Roman" w:hAnsi="Times New Roman"/>
          <w:sz w:val="20"/>
        </w:rPr>
        <w:t xml:space="preserve">” means a copy of one or more resolutions, certified by the secretary or an assistant secretary of the Issuer to have been duly adopted by the Board of Directors and to be in full force and effect, and delivered to the Trustee.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with respect to any Security, a day that in the city (or in any of the cities, if more than one) in which amounts are payable, as specified in the form of such Security, is not a day on which banking institutions are authorized or required by law or regulation to close. </w:t>
      </w:r>
    </w:p>
    <w:p>
      <w:pPr>
        <w:pStyle w:val="TextBody"/>
        <w:bidi w:val="0"/>
        <w:spacing w:before="240" w:after="0"/>
        <w:jc w:val="left"/>
        <w:rPr/>
      </w:pPr>
      <w:r>
        <w:rPr/>
        <w:t>“</w:t>
      </w:r>
      <w:r>
        <w:rPr>
          <w:rFonts w:ascii="Times New Roman" w:hAnsi="Times New Roman"/>
          <w:b/>
          <w:sz w:val="20"/>
        </w:rPr>
        <w:t>Capital Stock”</w:t>
      </w:r>
      <w:r>
        <w:rPr>
          <w:rFonts w:ascii="Times New Roman" w:hAnsi="Times New Roman"/>
          <w:sz w:val="20"/>
        </w:rPr>
        <w:t xml:space="preserve">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Commission</w:t>
      </w:r>
      <w:r>
        <w:rPr>
          <w:rFonts w:ascii="Times New Roman" w:hAnsi="Times New Roman"/>
          <w:sz w:val="20"/>
        </w:rPr>
        <w:t xml:space="preserve">”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shares of common stock, par value $0.001 per share, of the Issuer as the same exists at the date of execution and delivery of this Indenture or as such stock may be reconstituted from time to time. </w:t>
      </w:r>
    </w:p>
    <w:p>
      <w:pPr>
        <w:pStyle w:val="TextBody"/>
        <w:bidi w:val="0"/>
        <w:spacing w:before="240" w:after="0"/>
        <w:jc w:val="left"/>
        <w:rPr/>
      </w:pPr>
      <w:r>
        <w:rPr/>
        <w:t>“</w:t>
      </w:r>
      <w:r>
        <w:rPr>
          <w:rFonts w:ascii="Times New Roman" w:hAnsi="Times New Roman"/>
          <w:b/>
          <w:sz w:val="20"/>
        </w:rPr>
        <w:t>Corporate Trust Office</w:t>
      </w:r>
      <w:r>
        <w:rPr>
          <w:rFonts w:ascii="Times New Roman" w:hAnsi="Times New Roman"/>
          <w:sz w:val="20"/>
        </w:rPr>
        <w:t xml:space="preserve">” means the office of the Trustee at which the corporate trust business of the Trustee shall, at any particular time, be principally administered, which office is, at the date as of which this Indenture is dated, located at __________. </w:t>
      </w:r>
    </w:p>
    <w:p>
      <w:pPr>
        <w:pStyle w:val="TextBody"/>
        <w:bidi w:val="0"/>
        <w:spacing w:before="240" w:after="0"/>
        <w:jc w:val="left"/>
        <w:rPr/>
      </w:pPr>
      <w:r>
        <w:rPr/>
        <w:t>“</w:t>
      </w:r>
      <w:r>
        <w:rPr>
          <w:rFonts w:ascii="Times New Roman" w:hAnsi="Times New Roman"/>
          <w:b/>
          <w:sz w:val="20"/>
        </w:rPr>
        <w:t>Debt</w:t>
      </w:r>
      <w:r>
        <w:rPr>
          <w:rFonts w:ascii="Times New Roman" w:hAnsi="Times New Roman"/>
          <w:sz w:val="20"/>
        </w:rPr>
        <w:t xml:space="preserve">”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the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 excluded the money, securities or evidences of Debt deposited by such Person in trust for the purpose of paying or satisfying such Debt.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Times New Roman" w:hAnsi="Times New Roman"/>
          <w:b/>
          <w:sz w:val="20"/>
        </w:rPr>
        <w:t>Depositary</w:t>
      </w:r>
      <w:r>
        <w:rPr>
          <w:rFonts w:ascii="Times New Roman" w:hAnsi="Times New Roman"/>
          <w:sz w:val="20"/>
        </w:rPr>
        <w:t>” shall mean or include each Person who is then a Depositary hereunder, and if at any time there is more than one such Person, “</w:t>
      </w:r>
      <w:r>
        <w:rPr>
          <w:rFonts w:ascii="Times New Roman" w:hAnsi="Times New Roman"/>
          <w:b/>
          <w:sz w:val="20"/>
        </w:rPr>
        <w:t>Depositary</w:t>
      </w:r>
      <w:r>
        <w:rPr>
          <w:rFonts w:ascii="Times New Roman" w:hAnsi="Times New Roman"/>
          <w:sz w:val="20"/>
        </w:rPr>
        <w:t xml:space="preserve">” as used with respect to the Securities of any such series shall mean the Depositary with respect to the Global Securities of that series. </w:t>
      </w:r>
    </w:p>
    <w:p>
      <w:pPr>
        <w:pStyle w:val="TextBody"/>
        <w:bidi w:val="0"/>
        <w:spacing w:before="240" w:after="0"/>
        <w:jc w:val="left"/>
        <w:rPr/>
      </w:pPr>
      <w:r>
        <w:rPr/>
        <w:t>“</w:t>
      </w:r>
      <w:r>
        <w:rPr>
          <w:rFonts w:ascii="Times New Roman" w:hAnsi="Times New Roman"/>
          <w:b/>
          <w:sz w:val="20"/>
        </w:rPr>
        <w:t>Dollar</w:t>
      </w:r>
      <w:r>
        <w:rPr>
          <w:rFonts w:ascii="Times New Roman" w:hAnsi="Times New Roman"/>
          <w:sz w:val="20"/>
        </w:rPr>
        <w:t xml:space="preserve">” means the currency of the United States of America as at the time of payment is legal tender for the payment of public and private debts.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means any event or condition specified as such in Section 5.01. </w:t>
      </w:r>
    </w:p>
    <w:p>
      <w:pPr>
        <w:pStyle w:val="TextBody"/>
        <w:bidi w:val="0"/>
        <w:spacing w:before="240" w:after="0"/>
        <w:jc w:val="left"/>
        <w:rPr/>
      </w:pPr>
      <w:r>
        <w:rPr/>
        <w:t>“</w:t>
      </w:r>
      <w:r>
        <w:rPr>
          <w:rFonts w:ascii="Times New Roman" w:hAnsi="Times New Roman"/>
          <w:b/>
          <w:sz w:val="20"/>
        </w:rPr>
        <w:t>Foreign Currency</w:t>
      </w:r>
      <w:r>
        <w:rPr>
          <w:rFonts w:ascii="Times New Roman" w:hAnsi="Times New Roman"/>
          <w:sz w:val="20"/>
        </w:rPr>
        <w:t xml:space="preserve">” means a currency issued by the government of a country other than the United States. </w:t>
      </w:r>
    </w:p>
    <w:p>
      <w:pPr>
        <w:pStyle w:val="TextBody"/>
        <w:bidi w:val="0"/>
        <w:spacing w:before="240" w:after="0"/>
        <w:jc w:val="left"/>
        <w:rPr/>
      </w:pPr>
      <w:r>
        <w:rPr/>
        <w:t>“</w:t>
      </w:r>
      <w:r>
        <w:rPr>
          <w:rFonts w:ascii="Times New Roman" w:hAnsi="Times New Roman"/>
          <w:b/>
          <w:sz w:val="20"/>
        </w:rPr>
        <w:t>Foreign Government Obligation”</w:t>
      </w:r>
      <w:r>
        <w:rPr>
          <w:rFonts w:ascii="Times New Roman" w:hAnsi="Times New Roman"/>
          <w:sz w:val="20"/>
        </w:rPr>
        <w:t xml:space="preserve"> means (a) a direct obligation of the government of a country other than the United States of America, backed by the full faith and credit of such government, (b) an obligation of a Person controlled or supervised by and acting as an agency or instrumentality of such government, the payment of which is unconditionally guaranteed as a full faith and credit obligation by such government or (c) any depositary receipt issued by a bank (as defined in Section 3(a)(2) of the Securities Act of 1933) as custodian with respect to any Foreign Government Obligation which is specified in clause (a) and held by such bank for the account of the holder of such depositary receipt, or with respect to any specific payment of principal of or interest on any such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 </w:t>
      </w:r>
    </w:p>
    <w:p>
      <w:pPr>
        <w:pStyle w:val="TextBody"/>
        <w:bidi w:val="0"/>
        <w:spacing w:before="240" w:after="0"/>
        <w:jc w:val="left"/>
        <w:rPr/>
      </w:pPr>
      <w:r>
        <w:rPr/>
        <w:t>“</w:t>
      </w:r>
      <w:r>
        <w:rPr>
          <w:rFonts w:ascii="Times New Roman" w:hAnsi="Times New Roman"/>
          <w:b/>
          <w:sz w:val="20"/>
        </w:rPr>
        <w:t>Global Security</w:t>
      </w:r>
      <w:r>
        <w:rPr>
          <w:rFonts w:ascii="Times New Roman" w:hAnsi="Times New Roman"/>
          <w:sz w:val="20"/>
        </w:rPr>
        <w:t xml:space="preserve">” means a Security evidencing all or a part of a series of Securities, issued to the Depositary for such series in accordance with Section 2.04, and bearing the legend prescribed in Section 2.04. </w:t>
      </w:r>
    </w:p>
    <w:p>
      <w:pPr>
        <w:pStyle w:val="TextBody"/>
        <w:bidi w:val="0"/>
        <w:spacing w:before="240" w:after="0"/>
        <w:jc w:val="left"/>
        <w:rPr/>
      </w:pPr>
      <w:r>
        <w:rPr/>
        <w:t>“</w:t>
      </w:r>
      <w:r>
        <w:rPr>
          <w:rFonts w:ascii="Times New Roman" w:hAnsi="Times New Roman"/>
          <w:b/>
          <w:sz w:val="20"/>
        </w:rPr>
        <w:t>Holder”, “holder”,</w:t>
      </w:r>
      <w:r>
        <w:rPr>
          <w:rFonts w:ascii="Times New Roman" w:hAnsi="Times New Roman"/>
          <w:sz w:val="20"/>
        </w:rPr>
        <w:t xml:space="preserve"> “</w:t>
      </w:r>
      <w:r>
        <w:rPr>
          <w:rFonts w:ascii="Times New Roman" w:hAnsi="Times New Roman"/>
          <w:b/>
          <w:sz w:val="20"/>
        </w:rPr>
        <w:t>holder of Securities</w:t>
      </w:r>
      <w:r>
        <w:rPr>
          <w:rFonts w:ascii="Times New Roman" w:hAnsi="Times New Roman"/>
          <w:sz w:val="20"/>
        </w:rPr>
        <w:t>”, “</w:t>
      </w:r>
      <w:r>
        <w:rPr>
          <w:rFonts w:ascii="Times New Roman" w:hAnsi="Times New Roman"/>
          <w:b/>
          <w:sz w:val="20"/>
        </w:rPr>
        <w:t>Securityholder</w:t>
      </w:r>
      <w:r>
        <w:rPr>
          <w:rFonts w:ascii="Times New Roman" w:hAnsi="Times New Roman"/>
          <w:sz w:val="20"/>
        </w:rPr>
        <w:t xml:space="preserve">” or other similar terms mean the Person in whose name such Security is registered in the Security register kept by the Issuer for that purpose in accordance with the terms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Indenture</w:t>
      </w:r>
      <w:r>
        <w:rPr>
          <w:rFonts w:ascii="Times New Roman" w:hAnsi="Times New Roman"/>
          <w:sz w:val="20"/>
        </w:rPr>
        <w:t xml:space="preserve">” means this instrument as originally executed and delivered or, if amended or supplemented as herein provided, as so amended or supplemented or both, and shall include the forms and terms of particular series of Securities established as contemplated hereunder. </w:t>
      </w:r>
    </w:p>
    <w:p>
      <w:pPr>
        <w:pStyle w:val="TextBody"/>
        <w:bidi w:val="0"/>
        <w:spacing w:before="240" w:after="0"/>
        <w:jc w:val="left"/>
        <w:rPr/>
      </w:pPr>
      <w:r>
        <w:rPr/>
        <w:t>“</w:t>
      </w:r>
      <w:r>
        <w:rPr>
          <w:rFonts w:ascii="Times New Roman" w:hAnsi="Times New Roman"/>
          <w:b/>
          <w:sz w:val="20"/>
        </w:rPr>
        <w:t>interest</w:t>
      </w:r>
      <w:r>
        <w:rPr>
          <w:rFonts w:ascii="Times New Roman" w:hAnsi="Times New Roman"/>
          <w:sz w:val="20"/>
        </w:rPr>
        <w:t xml:space="preserve">”, unless the context otherwise requires, refers to interest, and when used with respect to non-interest bearing Securities, refers to interest payable after maturity, if any. </w:t>
      </w:r>
    </w:p>
    <w:p>
      <w:pPr>
        <w:pStyle w:val="TextBody"/>
        <w:bidi w:val="0"/>
        <w:spacing w:before="240" w:after="0"/>
        <w:jc w:val="left"/>
        <w:rPr/>
      </w:pPr>
      <w:r>
        <w:rPr/>
        <w:t>“</w:t>
      </w:r>
      <w:r>
        <w:rPr>
          <w:rFonts w:ascii="Times New Roman" w:hAnsi="Times New Roman"/>
          <w:b/>
          <w:sz w:val="20"/>
        </w:rPr>
        <w:t>Interest Payment Date</w:t>
      </w:r>
      <w:r>
        <w:rPr>
          <w:rFonts w:ascii="Times New Roman" w:hAnsi="Times New Roman"/>
          <w:sz w:val="20"/>
        </w:rPr>
        <w:t xml:space="preserve">”, with respect to any Security, means the Stated Maturity of an installment of interest on such Security. </w:t>
      </w:r>
    </w:p>
    <w:p>
      <w:pPr>
        <w:pStyle w:val="TextBody"/>
        <w:bidi w:val="0"/>
        <w:spacing w:before="240" w:after="0"/>
        <w:jc w:val="left"/>
        <w:rPr/>
      </w:pPr>
      <w:r>
        <w:rPr/>
        <w:t>“</w:t>
      </w:r>
      <w:r>
        <w:rPr>
          <w:rFonts w:ascii="Times New Roman" w:hAnsi="Times New Roman"/>
          <w:b/>
          <w:sz w:val="20"/>
        </w:rPr>
        <w:t>Issuer</w:t>
      </w:r>
      <w:r>
        <w:rPr>
          <w:rFonts w:ascii="Times New Roman" w:hAnsi="Times New Roman"/>
          <w:sz w:val="20"/>
        </w:rPr>
        <w:t xml:space="preserve">” means Solid Biosciences Inc., a Delaware corporation, and, subject to Article 9, its successors and assigns. </w:t>
      </w:r>
    </w:p>
    <w:p>
      <w:pPr>
        <w:pStyle w:val="TextBody"/>
        <w:bidi w:val="0"/>
        <w:spacing w:before="240" w:after="0"/>
        <w:jc w:val="left"/>
        <w:rPr/>
      </w:pPr>
      <w:r>
        <w:rPr/>
        <w:t>“</w:t>
      </w:r>
      <w:r>
        <w:rPr>
          <w:rFonts w:ascii="Times New Roman" w:hAnsi="Times New Roman"/>
          <w:b/>
          <w:sz w:val="20"/>
        </w:rPr>
        <w:t>Issuer Order</w:t>
      </w:r>
      <w:r>
        <w:rPr>
          <w:rFonts w:ascii="Times New Roman" w:hAnsi="Times New Roman"/>
          <w:sz w:val="20"/>
        </w:rPr>
        <w:t xml:space="preserve">” means a written statement, request or order of the Issuer signed in its name by the chairman of the Board of Directors, the president or any vice president of the Issuer. </w:t>
      </w:r>
    </w:p>
    <w:p>
      <w:pPr>
        <w:pStyle w:val="TextBody"/>
        <w:bidi w:val="0"/>
        <w:spacing w:before="240" w:after="0"/>
        <w:jc w:val="left"/>
        <w:rPr/>
      </w:pPr>
      <w:r>
        <w:rPr/>
        <w:t>“</w:t>
      </w:r>
      <w:r>
        <w:rPr>
          <w:rFonts w:ascii="Times New Roman" w:hAnsi="Times New Roman"/>
          <w:b/>
          <w:sz w:val="20"/>
        </w:rPr>
        <w:t>Notice of Default”</w:t>
      </w:r>
      <w:r>
        <w:rPr>
          <w:rFonts w:ascii="Times New Roman" w:hAnsi="Times New Roman"/>
          <w:sz w:val="20"/>
        </w:rPr>
        <w:t xml:space="preserve"> shall have the meaning set forth in Section 5.01(c).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the chairman of the Board of Directors, the president, any vice president, the treasurer, the secretary or any assistant secretary of the Issuer and delivered to the Trustee. Each such certificate shall comply with Section 314 of the Trust Indenture Act of 1939 and, except to the extent provided herein, shall include the statements provided for in Section 11.05. </w:t>
      </w:r>
    </w:p>
    <w:p>
      <w:pPr>
        <w:pStyle w:val="TextBody"/>
        <w:bidi w:val="0"/>
        <w:spacing w:before="240" w:after="0"/>
        <w:jc w:val="left"/>
        <w:rPr/>
      </w:pPr>
      <w:r>
        <w:rPr/>
        <w:t>“</w:t>
      </w:r>
      <w:r>
        <w:rPr>
          <w:rFonts w:ascii="Times New Roman" w:hAnsi="Times New Roman"/>
          <w:b/>
          <w:sz w:val="20"/>
        </w:rPr>
        <w:t>Opinion of Counsel</w:t>
      </w:r>
      <w:r>
        <w:rPr>
          <w:rFonts w:ascii="Times New Roman" w:hAnsi="Times New Roman"/>
          <w:sz w:val="20"/>
        </w:rPr>
        <w:t xml:space="preserve">”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 </w:t>
      </w:r>
    </w:p>
    <w:p>
      <w:pPr>
        <w:pStyle w:val="TextBody"/>
        <w:bidi w:val="0"/>
        <w:spacing w:before="240" w:after="0"/>
        <w:jc w:val="left"/>
        <w:rPr/>
      </w:pPr>
      <w:r>
        <w:rPr/>
        <w:t>“</w:t>
      </w:r>
      <w:r>
        <w:rPr>
          <w:rFonts w:ascii="Times New Roman" w:hAnsi="Times New Roman"/>
          <w:b/>
          <w:sz w:val="20"/>
        </w:rPr>
        <w:t>original issue date</w:t>
      </w:r>
      <w:r>
        <w:rPr>
          <w:rFonts w:ascii="Times New Roman" w:hAnsi="Times New Roman"/>
          <w:sz w:val="20"/>
        </w:rPr>
        <w:t xml:space="preserve">” of any Security (or portion thereof) means the earlier of (a) the date of such Security or (b) the date of any Security (or portion thereof) for which such Security was issued (directly or indirectly) on registration of transfer, exchange or substitution. </w:t>
      </w:r>
    </w:p>
    <w:p>
      <w:pPr>
        <w:pStyle w:val="TextBody"/>
        <w:bidi w:val="0"/>
        <w:spacing w:before="240" w:after="0"/>
        <w:jc w:val="left"/>
        <w:rPr/>
      </w:pPr>
      <w:r>
        <w:rPr/>
        <w:t>“</w:t>
      </w:r>
      <w:r>
        <w:rPr>
          <w:rFonts w:ascii="Times New Roman" w:hAnsi="Times New Roman"/>
          <w:b/>
          <w:sz w:val="20"/>
        </w:rPr>
        <w:t>Original Issue Discount Security</w:t>
      </w:r>
      <w:r>
        <w:rPr>
          <w:rFonts w:ascii="Times New Roman" w:hAnsi="Times New Roman"/>
          <w:sz w:val="20"/>
        </w:rPr>
        <w:t xml:space="preserve">” means any Security that provides for an amount less than the principal amount thereof to be due and payable upon a declaration of acceleration of the maturity thereof pursuant to Section 5.01. </w:t>
      </w:r>
    </w:p>
    <w:p>
      <w:pPr>
        <w:pStyle w:val="TextBody"/>
        <w:bidi w:val="0"/>
        <w:spacing w:before="240" w:after="0"/>
        <w:jc w:val="left"/>
        <w:rPr/>
      </w:pPr>
      <w:r>
        <w:rPr/>
        <w:t>“</w:t>
      </w:r>
      <w:r>
        <w:rPr>
          <w:rFonts w:ascii="Times New Roman" w:hAnsi="Times New Roman"/>
          <w:b/>
          <w:sz w:val="20"/>
        </w:rPr>
        <w:t>Outstanding</w:t>
      </w:r>
      <w:r>
        <w:rPr>
          <w:rFonts w:ascii="Times New Roman" w:hAnsi="Times New Roman"/>
          <w:sz w:val="20"/>
        </w:rPr>
        <w:t xml:space="preserve">”, when used with reference to Securities, shall, subject to the provisions of Section 7.04, mean, as of any particular time, all Securities authenticated and delivered by the Trustee under this Indenture, except </w:t>
      </w:r>
    </w:p>
    <w:p>
      <w:pPr>
        <w:pStyle w:val="TextBody"/>
        <w:bidi w:val="0"/>
        <w:spacing w:before="240" w:after="0"/>
        <w:jc w:val="left"/>
        <w:rPr>
          <w:rFonts w:ascii="Times New Roman" w:hAnsi="Times New Roman"/>
          <w:sz w:val="20"/>
        </w:rPr>
      </w:pPr>
      <w:r>
        <w:rPr>
          <w:rFonts w:ascii="Times New Roman" w:hAnsi="Times New Roman"/>
          <w:sz w:val="20"/>
        </w:rPr>
        <w:t xml:space="preserve">(a) Securities theretofore cancelled by the Trustee or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(b) Securities, or portions thereof, for the payment or redemption of which cash, U.S. Government Obligations or Foreign Government Obligations (as provided for in Section 10.01(a) and Section 10.01(b))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Times New Roman" w:hAnsi="Times New Roman"/>
          <w:i/>
          <w:sz w:val="20"/>
        </w:rPr>
        <w:t>provided</w:t>
      </w:r>
      <w:r>
        <w:rPr>
          <w:rFonts w:ascii="Times New Roman" w:hAnsi="Times New Roman"/>
          <w:sz w:val="20"/>
        </w:rPr>
        <w:t xml:space="preserve">, that if such Securities, or portions thereof, are to be redeemed prior to the maturity thereof, notice of such redemption shall have been given as herein provided, or provision satisfactory to the Trustee shall have been made for giving such notice; </w:t>
      </w:r>
    </w:p>
    <w:p>
      <w:pPr>
        <w:pStyle w:val="TextBody"/>
        <w:bidi w:val="0"/>
        <w:spacing w:before="240" w:after="0"/>
        <w:jc w:val="left"/>
        <w:rPr>
          <w:rFonts w:ascii="Times New Roman" w:hAnsi="Times New Roman"/>
          <w:sz w:val="20"/>
        </w:rPr>
      </w:pPr>
      <w:r>
        <w:rPr>
          <w:rFonts w:ascii="Times New Roman" w:hAnsi="Times New Roman"/>
          <w:sz w:val="20"/>
        </w:rPr>
        <w:t xml:space="preserve">(c) Securities as to which Legal Defeasance shall have been effected pursuant to Section 10.01(b); </w:t>
      </w:r>
    </w:p>
    <w:p>
      <w:pPr>
        <w:pStyle w:val="TextBody"/>
        <w:bidi w:val="0"/>
        <w:spacing w:before="240" w:after="0"/>
        <w:jc w:val="left"/>
        <w:rPr>
          <w:rFonts w:ascii="Times New Roman" w:hAnsi="Times New Roman"/>
          <w:sz w:val="20"/>
        </w:rPr>
      </w:pPr>
      <w:r>
        <w:rPr>
          <w:rFonts w:ascii="Times New Roman" w:hAnsi="Times New Roman"/>
          <w:sz w:val="20"/>
        </w:rPr>
        <w:t xml:space="preserve">(d) 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Securities as to which any property deliverable upon conversion thereof has been delivered (or such delivery has been made available), or as to which any other particular conditions have been satisfied, in each case as may be provided for such Securities as contemplated in Section 2.03.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principal amount of Outstanding Securities of any or all series have given any request, demand, authorization, direction, notice, consent or waiver hereunder, (A)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 (B) if, as of such date, the principal amount payable at the Stated Maturity of a Security is not determinable, the principal amount of such Security which shall be deemed to be Outstanding shall be the amount as specified or determined as contemplated by Section 2.03, and (C) the principal amount of a Security denominated in one or more foreign currencies, composite currencies or currency units which shall be deemed to be Outstanding shall be the U.S. dollar equivalent, determined as of such date in the manner provided as contemplated by Section 2.03, of the principal amount of such Security (or, in the case of a Security described in clause (A) or (B) above, of the amount determined as provided in such clause).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corporation, partnership, limited partnership, limited liability company, joint venture, association, joint stock company, trust, unincorporated organization or government or any agency or political subdivision thereof. </w:t>
      </w:r>
    </w:p>
    <w:p>
      <w:pPr>
        <w:pStyle w:val="TextBody"/>
        <w:bidi w:val="0"/>
        <w:spacing w:before="240" w:after="0"/>
        <w:jc w:val="left"/>
        <w:rPr/>
      </w:pPr>
      <w:r>
        <w:rPr/>
        <w:t>“</w:t>
      </w:r>
      <w:r>
        <w:rPr>
          <w:rFonts w:ascii="Times New Roman" w:hAnsi="Times New Roman"/>
          <w:b/>
          <w:sz w:val="20"/>
        </w:rPr>
        <w:t>principal</w:t>
      </w:r>
      <w:r>
        <w:rPr>
          <w:rFonts w:ascii="Times New Roman" w:hAnsi="Times New Roman"/>
          <w:sz w:val="20"/>
        </w:rPr>
        <w:t xml:space="preserve">” whenever used with reference to the Securities or any Security or any portion thereof, shall be deemed to include “and premium, if any”. </w:t>
      </w:r>
    </w:p>
    <w:p>
      <w:pPr>
        <w:pStyle w:val="TextBody"/>
        <w:bidi w:val="0"/>
        <w:spacing w:before="240" w:after="0"/>
        <w:jc w:val="left"/>
        <w:rPr/>
      </w:pPr>
      <w:r>
        <w:rPr/>
        <w:t>“</w:t>
      </w:r>
      <w:r>
        <w:rPr>
          <w:rFonts w:ascii="Times New Roman" w:hAnsi="Times New Roman"/>
          <w:b/>
          <w:sz w:val="20"/>
        </w:rPr>
        <w:t>record date”</w:t>
      </w:r>
      <w:r>
        <w:rPr>
          <w:rFonts w:ascii="Times New Roman" w:hAnsi="Times New Roman"/>
          <w:sz w:val="20"/>
        </w:rPr>
        <w:t xml:space="preserve"> shall have the meaning set forth in Section 2.07.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 </w:t>
      </w:r>
    </w:p>
    <w:p>
      <w:pPr>
        <w:pStyle w:val="TextBody"/>
        <w:bidi w:val="0"/>
        <w:spacing w:before="240" w:after="0"/>
        <w:jc w:val="left"/>
        <w:rPr/>
      </w:pPr>
      <w:r>
        <w:rPr/>
        <w:t>“</w:t>
      </w:r>
      <w:r>
        <w:rPr>
          <w:rFonts w:ascii="Times New Roman" w:hAnsi="Times New Roman"/>
          <w:b/>
          <w:sz w:val="20"/>
        </w:rPr>
        <w:t>Security</w:t>
      </w:r>
      <w:r>
        <w:rPr>
          <w:rFonts w:ascii="Times New Roman" w:hAnsi="Times New Roman"/>
          <w:sz w:val="20"/>
        </w:rPr>
        <w:t>” or “</w:t>
      </w:r>
      <w:r>
        <w:rPr>
          <w:rFonts w:ascii="Times New Roman" w:hAnsi="Times New Roman"/>
          <w:b/>
          <w:sz w:val="20"/>
        </w:rPr>
        <w:t>Securities</w:t>
      </w:r>
      <w:r>
        <w:rPr>
          <w:rFonts w:ascii="Times New Roman" w:hAnsi="Times New Roman"/>
          <w:sz w:val="20"/>
        </w:rPr>
        <w:t xml:space="preserve">” has the meaning stated in the first recital of this Indenture, or, as the case may be, Securities that have been authenticated and delivered under this Indenture. </w:t>
      </w:r>
    </w:p>
    <w:p>
      <w:pPr>
        <w:pStyle w:val="TextBody"/>
        <w:bidi w:val="0"/>
        <w:spacing w:before="240" w:after="0"/>
        <w:jc w:val="left"/>
        <w:rPr/>
      </w:pPr>
      <w:r>
        <w:rPr/>
        <w:t>“</w:t>
      </w:r>
      <w:r>
        <w:rPr>
          <w:rFonts w:ascii="Times New Roman" w:hAnsi="Times New Roman"/>
          <w:b/>
          <w:sz w:val="20"/>
        </w:rPr>
        <w:t>Security Registrar</w:t>
      </w:r>
      <w:r>
        <w:rPr>
          <w:rFonts w:ascii="Times New Roman" w:hAnsi="Times New Roman"/>
          <w:sz w:val="20"/>
        </w:rPr>
        <w:t xml:space="preserve">” shall have the meaning set forth in Section 4.01(b). </w:t>
      </w:r>
    </w:p>
    <w:p>
      <w:pPr>
        <w:pStyle w:val="TextBody"/>
        <w:bidi w:val="0"/>
        <w:spacing w:before="240" w:after="0"/>
        <w:jc w:val="left"/>
        <w:rPr/>
      </w:pPr>
      <w:r>
        <w:rPr/>
        <w:t>“</w:t>
      </w:r>
      <w:r>
        <w:rPr>
          <w:rFonts w:ascii="Times New Roman" w:hAnsi="Times New Roman"/>
          <w:b/>
          <w:sz w:val="20"/>
        </w:rPr>
        <w:t>Senior Indebtedness</w:t>
      </w:r>
      <w:r>
        <w:rPr>
          <w:rFonts w:ascii="Times New Roman" w:hAnsi="Times New Roman"/>
          <w:sz w:val="20"/>
        </w:rPr>
        <w:t xml:space="preserve">” of a Person means the principal of, premium, if any, interest on, and any other payment due pursuant to any of the following, whether outstanding at the date hereof or hereafter incurred or created: </w:t>
      </w:r>
    </w:p>
    <w:p>
      <w:pPr>
        <w:pStyle w:val="TextBody"/>
        <w:bidi w:val="0"/>
        <w:spacing w:before="120" w:after="0"/>
        <w:jc w:val="left"/>
        <w:rPr>
          <w:rFonts w:ascii="Times New Roman" w:hAnsi="Times New Roman"/>
          <w:sz w:val="20"/>
        </w:rPr>
      </w:pPr>
      <w:r>
        <w:rPr>
          <w:rFonts w:ascii="Times New Roman" w:hAnsi="Times New Roman"/>
          <w:sz w:val="20"/>
        </w:rPr>
        <w:t xml:space="preserve">(a) all of the indebtedness of that Person for money borrowed; </w:t>
      </w:r>
    </w:p>
    <w:p>
      <w:pPr>
        <w:pStyle w:val="TextBody"/>
        <w:bidi w:val="0"/>
        <w:spacing w:before="240" w:after="0"/>
        <w:jc w:val="left"/>
        <w:rPr>
          <w:rFonts w:ascii="Times New Roman" w:hAnsi="Times New Roman"/>
          <w:sz w:val="20"/>
        </w:rPr>
      </w:pPr>
      <w:r>
        <w:rPr>
          <w:rFonts w:ascii="Times New Roman" w:hAnsi="Times New Roman"/>
          <w:sz w:val="20"/>
        </w:rPr>
        <w:t xml:space="preserve">(b) all of the indebtedness of that Person evidenced by notes, debentures, bonds or other securities sold by that Person for money; </w:t>
      </w:r>
    </w:p>
    <w:p>
      <w:pPr>
        <w:pStyle w:val="TextBody"/>
        <w:bidi w:val="0"/>
        <w:spacing w:before="240" w:after="0"/>
        <w:jc w:val="left"/>
        <w:rPr>
          <w:rFonts w:ascii="Times New Roman" w:hAnsi="Times New Roman"/>
          <w:sz w:val="20"/>
        </w:rPr>
      </w:pPr>
      <w:r>
        <w:rPr>
          <w:rFonts w:ascii="Times New Roman" w:hAnsi="Times New Roman"/>
          <w:sz w:val="20"/>
        </w:rPr>
        <w:t xml:space="preserve">(c) all of the lease obligations which are capitalized on the books of that Person in accordance with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(d) all indebtedness of others of the kinds described in either of the preceding clauses (a) or (b) above and all lease obligations of others of the kind described in the preceding clause (c) above that the Person, in any manner, assumes or guarantees or that the Person in effect guarantees through an agreement to purchase, whether that agreement is contingent or otherwise;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all renewals, extensions or refundings of indebtedness of the kinds described in any of the preceding clauses (a), (b) and (d) and all renewals or extensions of leases of the kinds described in either of the preceding clauses (c) or (d) above; </w:t>
      </w:r>
    </w:p>
    <w:p>
      <w:pPr>
        <w:pStyle w:val="TextBody"/>
        <w:bidi w:val="0"/>
        <w:spacing w:before="240" w:after="0"/>
        <w:jc w:val="left"/>
        <w:rPr>
          <w:rFonts w:ascii="Times New Roman" w:hAnsi="Times New Roman"/>
          <w:sz w:val="20"/>
        </w:rPr>
      </w:pPr>
      <w:r>
        <w:rPr>
          <w:rFonts w:ascii="Times New Roman" w:hAnsi="Times New Roman"/>
          <w:i/>
          <w:sz w:val="20"/>
        </w:rPr>
        <w:t>unless</w:t>
      </w:r>
      <w:r>
        <w:rPr>
          <w:rFonts w:ascii="Times New Roman" w:hAnsi="Times New Roman"/>
          <w:sz w:val="20"/>
        </w:rPr>
        <w:t xml:space="preserve">,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Securities. </w:t>
      </w:r>
    </w:p>
    <w:p>
      <w:pPr>
        <w:pStyle w:val="TextBody"/>
        <w:bidi w:val="0"/>
        <w:spacing w:before="240" w:after="0"/>
        <w:jc w:val="left"/>
        <w:rPr/>
      </w:pPr>
      <w:r>
        <w:rPr/>
        <w:t>“</w:t>
      </w:r>
      <w:r>
        <w:rPr>
          <w:rFonts w:ascii="Times New Roman" w:hAnsi="Times New Roman"/>
          <w:b/>
          <w:sz w:val="20"/>
        </w:rPr>
        <w:t>Stated Maturity</w:t>
      </w:r>
      <w:r>
        <w:rPr>
          <w:rFonts w:ascii="Times New Roman" w:hAnsi="Times New Roman"/>
          <w:sz w:val="20"/>
        </w:rPr>
        <w:t xml:space="preserve">”, with respect to any Security or any installment of principal thereof or interest thereon or any Additional Amounts with respect thereto, means the date established by or pursuant to this Indenture or such Security as the fixed date on which the principal of such Security or such installment of principal or interest is, or such Additional Amounts are, due and payable.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any corporation or other entity (including, without limitation, partnerships, limited liability companies, joint ventures and associations) of which at least a majority of the outstanding Capital Stock having by the terms thereof (without regard to the occurrence or any contingency) ordinary voting power for the election of directors (or persons performing similar functions) of such corporation or other entity (irrespective of whether or not at the time the Capital Stock of any other class or classes of such corporation or other entity shall have or might have voting power by reason of the occurrence of any such contingency) is at the time directly or indirectly owned by the Issuer, or by one or more Subsidiaries of the Issuer, or by the Issuer and one or more other Subsidiaries of the Issuer. </w:t>
      </w:r>
    </w:p>
    <w:p>
      <w:pPr>
        <w:pStyle w:val="TextBody"/>
        <w:bidi w:val="0"/>
        <w:spacing w:before="240" w:after="0"/>
        <w:jc w:val="left"/>
        <w:rPr/>
      </w:pPr>
      <w:r>
        <w:rPr/>
        <w:t>“</w:t>
      </w:r>
      <w:r>
        <w:rPr>
          <w:rFonts w:ascii="Times New Roman" w:hAnsi="Times New Roman"/>
          <w:b/>
          <w:sz w:val="20"/>
        </w:rPr>
        <w:t>Trust Indenture Act of 1939</w:t>
      </w:r>
      <w:r>
        <w:rPr>
          <w:rFonts w:ascii="Times New Roman" w:hAnsi="Times New Roman"/>
          <w:sz w:val="20"/>
        </w:rPr>
        <w:t xml:space="preserve">” (except as otherwise provided in Sections 8.01 and 8.02) means the Trust Indenture Act of 1939 as in force at the date as of which this Indenture was originally executed. </w:t>
      </w:r>
    </w:p>
    <w:p>
      <w:pPr>
        <w:pStyle w:val="TextBody"/>
        <w:bidi w:val="0"/>
        <w:spacing w:before="240" w:after="0"/>
        <w:jc w:val="left"/>
        <w:rPr/>
      </w:pPr>
      <w:r>
        <w:rPr/>
        <w:t>“</w:t>
      </w:r>
      <w:r>
        <w:rPr>
          <w:rFonts w:ascii="Times New Roman" w:hAnsi="Times New Roman"/>
          <w:b/>
          <w:sz w:val="20"/>
        </w:rPr>
        <w:t>Trustee</w:t>
      </w:r>
      <w:r>
        <w:rPr>
          <w:rFonts w:ascii="Times New Roman" w:hAnsi="Times New Roman"/>
          <w:sz w:val="20"/>
        </w:rPr>
        <w:t>” means the Person identified as “</w:t>
      </w:r>
      <w:r>
        <w:rPr>
          <w:rFonts w:ascii="Times New Roman" w:hAnsi="Times New Roman"/>
          <w:b/>
          <w:sz w:val="20"/>
        </w:rPr>
        <w:t>Trustee</w:t>
      </w:r>
      <w:r>
        <w:rPr>
          <w:rFonts w:ascii="Times New Roman" w:hAnsi="Times New Roman"/>
          <w:sz w:val="20"/>
        </w:rPr>
        <w:t>” in the first paragraph hereof and, subject to the provisions of Article 6, shall also include any successor trustee. “</w:t>
      </w:r>
      <w:r>
        <w:rPr>
          <w:rFonts w:ascii="Times New Roman" w:hAnsi="Times New Roman"/>
          <w:b/>
          <w:sz w:val="20"/>
        </w:rPr>
        <w:t>Trustee</w:t>
      </w:r>
      <w:r>
        <w:rPr>
          <w:rFonts w:ascii="Times New Roman" w:hAnsi="Times New Roman"/>
          <w:sz w:val="20"/>
        </w:rPr>
        <w:t>” shall also mean or include each Person who is then a trustee hereunder and if at any time there is more than one such Person, “</w:t>
      </w:r>
      <w:r>
        <w:rPr>
          <w:rFonts w:ascii="Times New Roman" w:hAnsi="Times New Roman"/>
          <w:b/>
          <w:sz w:val="20"/>
        </w:rPr>
        <w:t>Trustee</w:t>
      </w:r>
      <w:r>
        <w:rPr>
          <w:rFonts w:ascii="Times New Roman" w:hAnsi="Times New Roman"/>
          <w:sz w:val="20"/>
        </w:rPr>
        <w:t xml:space="preserve">” as used with respect to the Securities of any series shall mean the trustee with respect to the Securities of such series. </w:t>
      </w:r>
    </w:p>
    <w:p>
      <w:pPr>
        <w:pStyle w:val="TextBody"/>
        <w:bidi w:val="0"/>
        <w:spacing w:before="240" w:after="0"/>
        <w:jc w:val="left"/>
        <w:rPr/>
      </w:pPr>
      <w:r>
        <w:rPr/>
        <w:t>“</w:t>
      </w:r>
      <w:r>
        <w:rPr>
          <w:rFonts w:ascii="Times New Roman" w:hAnsi="Times New Roman"/>
          <w:b/>
          <w:sz w:val="20"/>
        </w:rPr>
        <w:t>U.S. Government Obligation</w:t>
      </w:r>
      <w:r>
        <w:rPr>
          <w:rFonts w:ascii="Times New Roman" w:hAnsi="Times New Roman"/>
          <w:sz w:val="20"/>
        </w:rPr>
        <w:t xml:space="preserve">” means (a) a direct obligation of the United States of America, backed by its full faith and credit, or (b) an obligation of a Person controlled or supervised by and acting as an agency or instrumentality of the United States of America, the payment of which is unconditionally guaranteed as a full faith and credit obligation by the United States of America. </w:t>
      </w:r>
    </w:p>
    <w:p>
      <w:pPr>
        <w:pStyle w:val="TextBody"/>
        <w:bidi w:val="0"/>
        <w:spacing w:before="240" w:after="0"/>
        <w:jc w:val="left"/>
        <w:rPr/>
      </w:pPr>
      <w:r>
        <w:rPr/>
        <w:t>“</w:t>
      </w:r>
      <w:r>
        <w:rPr>
          <w:rFonts w:ascii="Times New Roman" w:hAnsi="Times New Roman"/>
          <w:b/>
          <w:sz w:val="20"/>
        </w:rPr>
        <w:t>vice president</w:t>
      </w:r>
      <w:r>
        <w:rPr>
          <w:rFonts w:ascii="Times New Roman" w:hAnsi="Times New Roman"/>
          <w:sz w:val="20"/>
        </w:rPr>
        <w:t xml:space="preserve">”, when used with respect to the Issuer or the Trustee, means any vice president, whether or not designated by a number or a word or words added before or after the title of “vice president”. </w:t>
      </w:r>
    </w:p>
    <w:p>
      <w:pPr>
        <w:pStyle w:val="TextBody"/>
        <w:bidi w:val="0"/>
        <w:spacing w:before="240" w:after="0"/>
        <w:jc w:val="left"/>
        <w:rPr/>
      </w:pPr>
      <w:r>
        <w:rPr/>
        <w:t>“</w:t>
      </w:r>
      <w:r>
        <w:rPr>
          <w:rFonts w:ascii="Times New Roman" w:hAnsi="Times New Roman"/>
          <w:b/>
          <w:sz w:val="20"/>
        </w:rPr>
        <w:t>Yield to Maturity</w:t>
      </w:r>
      <w:r>
        <w:rPr>
          <w:rFonts w:ascii="Times New Roman" w:hAnsi="Times New Roman"/>
          <w:sz w:val="20"/>
        </w:rPr>
        <w:t xml:space="preserve">” means the yield to maturity on a series of securities, calculated at the time of issuance of such series, or, if applicable, at the most recent redetermination of interest on such series, and calculated in accordance with accepted financial practice. </w:t>
      </w:r>
    </w:p>
    <w:p>
      <w:pPr>
        <w:pStyle w:val="TextBody"/>
        <w:bidi w:val="0"/>
        <w:spacing w:before="480" w:after="0"/>
        <w:jc w:val="center"/>
        <w:rPr>
          <w:rFonts w:ascii="Times New Roman" w:hAnsi="Times New Roman"/>
          <w:sz w:val="20"/>
        </w:rPr>
      </w:pPr>
      <w:r>
        <w:rPr>
          <w:rFonts w:ascii="Times New Roman" w:hAnsi="Times New Roman"/>
          <w:sz w:val="20"/>
        </w:rPr>
        <w:t xml:space="preserve">ARTICLE 2 </w:t>
      </w:r>
    </w:p>
    <w:p>
      <w:pPr>
        <w:pStyle w:val="TextBody"/>
        <w:bidi w:val="0"/>
        <w:spacing w:before="0" w:after="0"/>
        <w:jc w:val="center"/>
        <w:rPr>
          <w:rFonts w:ascii="Times New Roman" w:hAnsi="Times New Roman"/>
          <w:sz w:val="20"/>
        </w:rPr>
      </w:pPr>
      <w:r>
        <w:rPr>
          <w:rFonts w:ascii="Times New Roman" w:hAnsi="Times New Roman"/>
          <w:sz w:val="20"/>
        </w:rPr>
        <w:t xml:space="preserve">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i/>
          <w:sz w:val="20"/>
        </w:rPr>
        <w:t xml:space="preserve">Forms Generally. </w:t>
      </w:r>
      <w:r>
        <w:rPr>
          <w:rFonts w:ascii="Times New Roman" w:hAnsi="Times New Roman"/>
          <w:sz w:val="20"/>
        </w:rPr>
        <w:t xml:space="preserve">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definitive Securities shall be printed, lithographed or engraved on steel engraved borders or may be produced in any other manner, all as determined by the officers executing such Securities as evidenced by their execution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i/>
          <w:sz w:val="20"/>
        </w:rPr>
        <w:t xml:space="preserve">Form of Trustee’s Certificate of Authentication. </w:t>
      </w:r>
      <w:r>
        <w:rPr>
          <w:rFonts w:ascii="Times New Roman" w:hAnsi="Times New Roman"/>
          <w:sz w:val="20"/>
        </w:rPr>
        <w:t xml:space="preserve">The Trustee’s certificate of authentication on all Securities shall be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is one of the Securities of the series designated herein and referred to in the within-mentioned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as Trustee</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 </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0"/>
              <w:jc w:val="left"/>
              <w:rPr>
                <w:rFonts w:ascii="Times New Roman" w:hAnsi="Times New Roman"/>
                <w:sz w:val="20"/>
              </w:rPr>
            </w:pPr>
            <w:r>
              <w:rPr>
                <w:rFonts w:ascii="Times New Roman" w:hAnsi="Times New Roman"/>
                <w:sz w:val="20"/>
              </w:rPr>
              <w:t>Authorized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i/>
          <w:sz w:val="20"/>
        </w:rPr>
        <w:t>Amount Unlimited</w:t>
      </w:r>
      <w:r>
        <w:rPr>
          <w:rFonts w:ascii="Times New Roman" w:hAnsi="Times New Roman"/>
          <w:sz w:val="20"/>
        </w:rPr>
        <w:t xml:space="preserve">; </w:t>
      </w:r>
      <w:r>
        <w:rPr>
          <w:rFonts w:ascii="Times New Roman" w:hAnsi="Times New Roman"/>
          <w:i/>
          <w:sz w:val="20"/>
        </w:rPr>
        <w:t xml:space="preserve">Issuable in Series. </w:t>
      </w:r>
      <w:r>
        <w:rPr>
          <w:rFonts w:ascii="Times New Roman" w:hAnsi="Times New Roman"/>
          <w:sz w:val="20"/>
        </w:rPr>
        <w:t xml:space="preserve">The aggregate principal amount of Securities which may be authenticated and delivered under this Indenture is unlimited.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issued in one or more series. The terms of a series of Securities shall be established prior to the initial issuance thereof in or pursuant to one or more Board Resolutions,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 </w:t>
      </w:r>
    </w:p>
    <w:p>
      <w:pPr>
        <w:pStyle w:val="TextBody"/>
        <w:bidi w:val="0"/>
        <w:spacing w:before="120" w:after="0"/>
        <w:jc w:val="left"/>
        <w:rPr>
          <w:rFonts w:ascii="Times New Roman" w:hAnsi="Times New Roman"/>
          <w:sz w:val="20"/>
        </w:rPr>
      </w:pPr>
      <w:r>
        <w:rPr>
          <w:rFonts w:ascii="Times New Roman" w:hAnsi="Times New Roman"/>
          <w:sz w:val="20"/>
        </w:rPr>
        <w:t xml:space="preserve">(a) the designation of the Securities of the series (which may be part of a series of Securities previously issued); </w:t>
      </w:r>
    </w:p>
    <w:p>
      <w:pPr>
        <w:pStyle w:val="TextBody"/>
        <w:bidi w:val="0"/>
        <w:spacing w:before="240" w:after="0"/>
        <w:jc w:val="left"/>
        <w:rPr>
          <w:rFonts w:ascii="Times New Roman" w:hAnsi="Times New Roman"/>
          <w:sz w:val="20"/>
        </w:rPr>
      </w:pPr>
      <w:r>
        <w:rPr>
          <w:rFonts w:ascii="Times New Roman" w:hAnsi="Times New Roman"/>
          <w:sz w:val="20"/>
        </w:rPr>
        <w:t xml:space="preserve">(b) 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 </w:t>
      </w:r>
    </w:p>
    <w:p>
      <w:pPr>
        <w:pStyle w:val="TextBody"/>
        <w:bidi w:val="0"/>
        <w:spacing w:before="240" w:after="0"/>
        <w:jc w:val="left"/>
        <w:rPr>
          <w:rFonts w:ascii="Times New Roman" w:hAnsi="Times New Roman"/>
          <w:sz w:val="20"/>
        </w:rPr>
      </w:pPr>
      <w:r>
        <w:rPr>
          <w:rFonts w:ascii="Times New Roman" w:hAnsi="Times New Roman"/>
          <w:sz w:val="20"/>
        </w:rPr>
        <w:t xml:space="preserve">(c) the date or dates on which the principal of the Securities of the series is payable or the method used to determine those dates and the right, if any, to extend such date or dates; </w:t>
      </w:r>
    </w:p>
    <w:p>
      <w:pPr>
        <w:pStyle w:val="TextBody"/>
        <w:bidi w:val="0"/>
        <w:spacing w:before="240" w:after="0"/>
        <w:jc w:val="left"/>
        <w:rPr>
          <w:rFonts w:ascii="Times New Roman" w:hAnsi="Times New Roman"/>
          <w:sz w:val="20"/>
        </w:rPr>
      </w:pPr>
      <w:r>
        <w:rPr>
          <w:rFonts w:ascii="Times New Roman" w:hAnsi="Times New Roman"/>
          <w:sz w:val="20"/>
        </w:rPr>
        <w:t xml:space="preserve">(d) the rate or rates at which the Securities of the series shall bear interest, if any or the method by which such rate or rates shall be determined; the record date or dates for the determination of holders to whom interest is payable; the date or dates from which such interest shall accrue and on which such interest shall be payable , or the method by which such date or dates shall be determined; the right, if any, to extend the interest payment periods and the duration of that extension; and the basis upon which interest shall be calculated if other than that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(e) the place or places where the principal of and any interest on Securities of the series shall be payable (if other than as provided in Section 3.02); </w:t>
      </w:r>
    </w:p>
    <w:p>
      <w:pPr>
        <w:pStyle w:val="TextBody"/>
        <w:bidi w:val="0"/>
        <w:spacing w:before="240" w:after="0"/>
        <w:jc w:val="left"/>
        <w:rPr>
          <w:rFonts w:ascii="Times New Roman" w:hAnsi="Times New Roman"/>
          <w:sz w:val="20"/>
        </w:rPr>
      </w:pPr>
      <w:r>
        <w:rPr>
          <w:rFonts w:ascii="Times New Roman" w:hAnsi="Times New Roman"/>
          <w:sz w:val="20"/>
        </w:rPr>
        <w:t xml:space="preserve">(f) the obligation or the right,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 or right; </w:t>
      </w:r>
    </w:p>
    <w:p>
      <w:pPr>
        <w:pStyle w:val="TextBody"/>
        <w:bidi w:val="0"/>
        <w:spacing w:before="240" w:after="0"/>
        <w:jc w:val="left"/>
        <w:rPr>
          <w:rFonts w:ascii="Times New Roman" w:hAnsi="Times New Roman"/>
          <w:sz w:val="20"/>
        </w:rPr>
      </w:pPr>
      <w:r>
        <w:rPr>
          <w:rFonts w:ascii="Times New Roman" w:hAnsi="Times New Roman"/>
          <w:sz w:val="20"/>
        </w:rPr>
        <w:t xml:space="preserve">(g) if other than denominations of $1,000 and any integral multiple of $1,000 in excess thereof, the denominations in which Securities of the series shall be issuable;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if other than the principal amount thereof, the portion of the principal amount of Securities of the series which shall be payable upon declaration of acceleration of the maturity thereof; </w:t>
      </w:r>
    </w:p>
    <w:p>
      <w:pPr>
        <w:pStyle w:val="TextBody"/>
        <w:bidi w:val="0"/>
        <w:spacing w:before="240" w:after="0"/>
        <w:jc w:val="left"/>
        <w:rPr>
          <w:rFonts w:ascii="Times New Roman" w:hAnsi="Times New Roman"/>
          <w:sz w:val="20"/>
        </w:rPr>
      </w:pPr>
      <w:r>
        <w:rPr>
          <w:rFonts w:ascii="Times New Roman" w:hAnsi="Times New Roman"/>
          <w:sz w:val="20"/>
        </w:rPr>
        <w:t xml:space="preserve">(i) if other than Dollars, the currency, currencies or currency units in which the Securities of the series are denominated; </w:t>
      </w:r>
    </w:p>
    <w:p>
      <w:pPr>
        <w:pStyle w:val="TextBody"/>
        <w:bidi w:val="0"/>
        <w:spacing w:before="240" w:after="0"/>
        <w:jc w:val="left"/>
        <w:rPr>
          <w:rFonts w:ascii="Times New Roman" w:hAnsi="Times New Roman"/>
          <w:sz w:val="20"/>
        </w:rPr>
      </w:pPr>
      <w:r>
        <w:rPr>
          <w:rFonts w:ascii="Times New Roman" w:hAnsi="Times New Roman"/>
          <w:sz w:val="20"/>
        </w:rPr>
        <w:t xml:space="preserve">(j) if other than the currency in which the Securities of the series are denominated, the currency in which payment of the principal of or interest on the Securities of such series shall be payable; </w:t>
      </w:r>
    </w:p>
    <w:p>
      <w:pPr>
        <w:pStyle w:val="TextBody"/>
        <w:bidi w:val="0"/>
        <w:spacing w:before="240" w:after="0"/>
        <w:jc w:val="left"/>
        <w:rPr>
          <w:rFonts w:ascii="Times New Roman" w:hAnsi="Times New Roman"/>
          <w:sz w:val="20"/>
        </w:rPr>
      </w:pPr>
      <w:r>
        <w:rPr>
          <w:rFonts w:ascii="Times New Roman" w:hAnsi="Times New Roman"/>
          <w:sz w:val="20"/>
        </w:rPr>
        <w:t xml:space="preserve">(k) 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 </w:t>
      </w:r>
    </w:p>
    <w:p>
      <w:pPr>
        <w:pStyle w:val="TextBody"/>
        <w:bidi w:val="0"/>
        <w:spacing w:before="240" w:after="0"/>
        <w:jc w:val="left"/>
        <w:rPr>
          <w:rFonts w:ascii="Times New Roman" w:hAnsi="Times New Roman"/>
          <w:sz w:val="20"/>
        </w:rPr>
      </w:pPr>
      <w:r>
        <w:rPr>
          <w:rFonts w:ascii="Times New Roman" w:hAnsi="Times New Roman"/>
          <w:sz w:val="20"/>
        </w:rPr>
        <w:t xml:space="preserve">(l) if the amount of payments of principal of and interest on the Securities of the series may be determined by reference to an index based on a currency other than that in which the Securities of the series are denominated, or by reference to one or more currency exchange rates, securities or baskets of securities, commodity prices or indices, the manner in which such amounts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(m) the terms and conditions, if applicable, upon which conversion or exchange of the Securities into Common Stock will be effected, including the initial conversion or exchange price or rate and any adjustments thereto, the conversion or exchange period and other provisions in addition to or in lieu of those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(n) 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 </w:t>
      </w:r>
    </w:p>
    <w:p>
      <w:pPr>
        <w:pStyle w:val="TextBody"/>
        <w:bidi w:val="0"/>
        <w:spacing w:before="240" w:after="0"/>
        <w:jc w:val="left"/>
        <w:rPr>
          <w:rFonts w:ascii="Times New Roman" w:hAnsi="Times New Roman"/>
          <w:sz w:val="20"/>
        </w:rPr>
      </w:pPr>
      <w:r>
        <w:rPr>
          <w:rFonts w:ascii="Times New Roman" w:hAnsi="Times New Roman"/>
          <w:sz w:val="20"/>
        </w:rPr>
        <w:t xml:space="preserve">(o) if Sections 10.01(b) or 10.01(c) are inapplicable to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(p) whether and under what circumstances the Issuer will pay Additional Amounts on the Securities and, if so, whether the Issuer will have the option to redeem such Securities rather than pay such additional amounts; </w:t>
      </w:r>
    </w:p>
    <w:p>
      <w:pPr>
        <w:pStyle w:val="TextBody"/>
        <w:bidi w:val="0"/>
        <w:spacing w:before="240" w:after="0"/>
        <w:jc w:val="left"/>
        <w:rPr>
          <w:rFonts w:ascii="Times New Roman" w:hAnsi="Times New Roman"/>
          <w:sz w:val="20"/>
        </w:rPr>
      </w:pPr>
      <w:r>
        <w:rPr>
          <w:rFonts w:ascii="Times New Roman" w:hAnsi="Times New Roman"/>
          <w:sz w:val="20"/>
        </w:rPr>
        <w:t xml:space="preserve">(q) 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(r) any trustees, authenticating or paying agents, transfer agents or registrars or any other agents with respect to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 any other events of default or covenants with respect to the Securities of such series in addition to or in lieu of those contained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 the extent to which payments on the Securities will be subordinated to the payment of Senior Indebtedness of the Issuer; and </w:t>
      </w:r>
    </w:p>
    <w:p>
      <w:pPr>
        <w:pStyle w:val="TextBody"/>
        <w:bidi w:val="0"/>
        <w:spacing w:before="240" w:after="0"/>
        <w:jc w:val="left"/>
        <w:rPr>
          <w:rFonts w:ascii="Times New Roman" w:hAnsi="Times New Roman"/>
          <w:sz w:val="20"/>
        </w:rPr>
      </w:pPr>
      <w:r>
        <w:rPr>
          <w:rFonts w:ascii="Times New Roman" w:hAnsi="Times New Roman"/>
          <w:sz w:val="20"/>
        </w:rPr>
        <w:t xml:space="preserve">(u) any other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The Issuer may from time to time, without notice to or the consent of the holders of any series of Securities, create and issue further Securities of any such series ranking equally with the Securities of such series in all respects (or in all respects other than (1) the payment of interest accruing prior to the issue date of such further Securities or (2)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i/>
          <w:sz w:val="20"/>
        </w:rPr>
        <w:t xml:space="preserve">Authentication and Delivery of Securities. </w:t>
      </w:r>
      <w:r>
        <w:rPr>
          <w:rFonts w:ascii="Times New Roman" w:hAnsi="Times New Roman"/>
          <w:sz w:val="20"/>
        </w:rPr>
        <w:t xml:space="preserve">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 </w:t>
      </w:r>
    </w:p>
    <w:p>
      <w:pPr>
        <w:pStyle w:val="TextBody"/>
        <w:bidi w:val="0"/>
        <w:spacing w:before="240" w:after="0"/>
        <w:jc w:val="left"/>
        <w:rPr>
          <w:rFonts w:ascii="Times New Roman" w:hAnsi="Times New Roman"/>
          <w:sz w:val="20"/>
        </w:rPr>
      </w:pPr>
      <w:r>
        <w:rPr>
          <w:rFonts w:ascii="Times New Roman" w:hAnsi="Times New Roman"/>
          <w:sz w:val="20"/>
        </w:rPr>
        <w:t xml:space="preserve">(a) an Issuer Order requesting such authentication and setting forth delivery instructions if the Securities are not to be delivered to the Issuer; </w:t>
      </w:r>
    </w:p>
    <w:p>
      <w:pPr>
        <w:pStyle w:val="TextBody"/>
        <w:bidi w:val="0"/>
        <w:spacing w:before="240" w:after="0"/>
        <w:jc w:val="left"/>
        <w:rPr>
          <w:rFonts w:ascii="Times New Roman" w:hAnsi="Times New Roman"/>
          <w:sz w:val="20"/>
        </w:rPr>
      </w:pPr>
      <w:r>
        <w:rPr>
          <w:rFonts w:ascii="Times New Roman" w:hAnsi="Times New Roman"/>
          <w:sz w:val="20"/>
        </w:rPr>
        <w:t xml:space="preserve">(b) any Board Resolution, Officer’s Certificate and/or executed supplemental indenture referred to in Sections 2.01 and 2.03 by or pursuant to which the forms and terms of the Securities were established; </w:t>
      </w:r>
    </w:p>
    <w:p>
      <w:pPr>
        <w:pStyle w:val="TextBody"/>
        <w:bidi w:val="0"/>
        <w:spacing w:before="240" w:after="0"/>
        <w:jc w:val="left"/>
        <w:rPr>
          <w:rFonts w:ascii="Times New Roman" w:hAnsi="Times New Roman"/>
          <w:sz w:val="20"/>
        </w:rPr>
      </w:pPr>
      <w:r>
        <w:rPr>
          <w:rFonts w:ascii="Times New Roman" w:hAnsi="Times New Roman"/>
          <w:sz w:val="20"/>
        </w:rPr>
        <w:t xml:space="preserve">(c) 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 </w:t>
      </w:r>
    </w:p>
    <w:p>
      <w:pPr>
        <w:pStyle w:val="TextBody"/>
        <w:bidi w:val="0"/>
        <w:spacing w:before="240" w:after="0"/>
        <w:jc w:val="left"/>
        <w:rPr>
          <w:rFonts w:ascii="Times New Roman" w:hAnsi="Times New Roman"/>
          <w:sz w:val="20"/>
        </w:rPr>
      </w:pPr>
      <w:r>
        <w:rPr>
          <w:rFonts w:ascii="Times New Roman" w:hAnsi="Times New Roman"/>
          <w:sz w:val="20"/>
        </w:rPr>
        <w:t xml:space="preserve">(d) an Opinion of Counsel to the effect that: </w:t>
      </w:r>
    </w:p>
    <w:p>
      <w:pPr>
        <w:pStyle w:val="TextBody"/>
        <w:bidi w:val="0"/>
        <w:spacing w:before="120" w:after="0"/>
        <w:jc w:val="left"/>
        <w:rPr>
          <w:rFonts w:ascii="Times New Roman" w:hAnsi="Times New Roman"/>
          <w:sz w:val="20"/>
        </w:rPr>
      </w:pPr>
      <w:r>
        <w:rPr>
          <w:rFonts w:ascii="Times New Roman" w:hAnsi="Times New Roman"/>
          <w:sz w:val="20"/>
        </w:rPr>
        <w:t xml:space="preserve">(i) the form or forms and terms of such Securities have been established pursuant to Sections 2.01 and 2.03 and comply with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(ii) the authentication and delivery of such Securities by the Trustee are authorized under the provisions of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(iii) such Securities when authenticated and delivered by the Trustee and issued by the Issuer in the manner and subject to any conditions specified in such Opinion of Counsel, will constitute valid and binding obligations of the Issuer, </w:t>
      </w:r>
    </w:p>
    <w:p>
      <w:pPr>
        <w:pStyle w:val="TextBody"/>
        <w:bidi w:val="0"/>
        <w:spacing w:before="240" w:after="0"/>
        <w:jc w:val="left"/>
        <w:rPr>
          <w:rFonts w:ascii="Times New Roman" w:hAnsi="Times New Roman"/>
          <w:sz w:val="20"/>
        </w:rPr>
      </w:pPr>
      <w:r>
        <w:rPr>
          <w:rFonts w:ascii="Times New Roman" w:hAnsi="Times New Roman"/>
          <w:sz w:val="20"/>
        </w:rPr>
        <w:t xml:space="preserve">and covering such other matters as the Trustee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execute and the Trustee shall, in accordance with this Section with respect to the Securities of a series, authenticate and deliver one or more Global Securities that (i) 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 (iii) shall be delivered by the Trustee to such Depositary or pursuant to such Depositary’s instructions and (iv) shall bear a legend substantially to the following effect: </w:t>
      </w:r>
    </w:p>
    <w:p>
      <w:pPr>
        <w:pStyle w:val="TextBody"/>
        <w:bidi w:val="0"/>
        <w:spacing w:before="240" w:after="0"/>
        <w:jc w:val="left"/>
        <w:rPr/>
      </w:pPr>
      <w:r>
        <w:rPr/>
        <w:t>“</w:t>
      </w:r>
      <w:r>
        <w:rPr>
          <w:rFonts w:ascii="Times New Roman" w:hAnsi="Times New Roman"/>
          <w:sz w:val="20"/>
        </w:rPr>
        <w:t xml:space="preserve">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Each Depositary designated pursuant to this Section must, at the time of its designation and at all times while it serves as Depositary, be a clearing agency registered under the Securities Exchange Act of 1934, as amended and any other applicable statute or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2.05 </w:t>
      </w:r>
      <w:r>
        <w:rPr>
          <w:rFonts w:ascii="Times New Roman" w:hAnsi="Times New Roman"/>
          <w:i/>
          <w:sz w:val="20"/>
        </w:rPr>
        <w:t>Execution of Securities</w:t>
      </w:r>
      <w:r>
        <w:rPr>
          <w:rFonts w:ascii="Times New Roman" w:hAnsi="Times New Roman"/>
          <w:sz w:val="20"/>
        </w:rPr>
        <w:t xml:space="preserve">. The Securities shall be signed on behalf of the Issuer by the chairman of its Board of Directors, any vice chairman of its Board of Directors, its chief executive officer, its principal financial officer, its president,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i/>
          <w:sz w:val="20"/>
        </w:rPr>
        <w:t>Certificate of Authentication</w:t>
      </w:r>
      <w:r>
        <w:rPr>
          <w:rFonts w:ascii="Times New Roman" w:hAnsi="Times New Roman"/>
          <w:sz w:val="20"/>
        </w:rPr>
        <w:t xml:space="preserve">.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i/>
          <w:sz w:val="20"/>
        </w:rPr>
        <w:t>Denomination and Date of Securities; Payments of Interest</w:t>
      </w:r>
      <w:r>
        <w:rPr>
          <w:rFonts w:ascii="Times New Roman" w:hAnsi="Times New Roman"/>
          <w:sz w:val="20"/>
        </w:rPr>
        <w:t xml:space="preserve">. The Securities of each series shall be issuable in denominations established as contemplated by Section 2.03 or, if not so established, in denominations of $1,000 and any integral multiple of $1,000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shall be dated the date of its authentication. The Securities of each series shall bear interest, if any, from the date, and such interest shall be payable on the dates, established as contemplated by Section 2.03. </w:t>
      </w:r>
    </w:p>
    <w:p>
      <w:pPr>
        <w:pStyle w:val="TextBody"/>
        <w:bidi w:val="0"/>
        <w:spacing w:before="240" w:after="0"/>
        <w:jc w:val="left"/>
        <w:rPr>
          <w:rFonts w:ascii="Times New Roman" w:hAnsi="Times New Roman"/>
          <w:sz w:val="20"/>
        </w:rPr>
      </w:pPr>
      <w:r>
        <w:rPr>
          <w:rFonts w:ascii="Times New Roman" w:hAnsi="Times New Roman"/>
          <w:sz w:val="20"/>
        </w:rPr>
        <w:t xml:space="preserve">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or on behalf of the Issuer to the Holders of Securities not less than 15 days preceding such subsequent record date. The term “record date”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specified, if such Interest Payment Date is the first day of a calendar month, the 15th day of the immediately preceding calendar month or, if such Interest Payment Date is the 15th day of a calendar month, the first day of such calendar month, whether or not such record date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i/>
          <w:sz w:val="20"/>
        </w:rPr>
        <w:t>Registration, Transfer and Exchange</w:t>
      </w:r>
      <w:r>
        <w:rPr>
          <w:rFonts w:ascii="Times New Roman" w:hAnsi="Times New Roman"/>
          <w:sz w:val="20"/>
        </w:rPr>
        <w:t xml:space="preserve">. The Issuer will keep at each office or agency to be maintained for the purpose as provided in Section 3.02 for each series of Securities a register or registers in which, subject to such reasonable regulations as it may 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 </w:t>
      </w:r>
    </w:p>
    <w:p>
      <w:pPr>
        <w:pStyle w:val="TextBody"/>
        <w:bidi w:val="0"/>
        <w:spacing w:before="240" w:after="0"/>
        <w:jc w:val="left"/>
        <w:rPr>
          <w:rFonts w:ascii="Times New Roman" w:hAnsi="Times New Roman"/>
          <w:sz w:val="20"/>
        </w:rPr>
      </w:pPr>
      <w:r>
        <w:rPr>
          <w:rFonts w:ascii="Times New Roman" w:hAnsi="Times New Roman"/>
          <w:sz w:val="20"/>
        </w:rPr>
        <w:t xml:space="preserve">The Issuer may require payment of a sum sufficient to cover any stamp or other tax or other governmental charge that may be imposed in connection with any exchange or registration of transfer of Securities. No service charge shall be made for any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not be required to exchange or register a transfer of (a) any Securities of any series for a period of 15 days immediately preceding the first delivery of notice of redemption of Securities of such series to be redeemed or (b) any Securities selected, called or being called for redemption, in whole or in part, except, in the case of any Security to be redeemed in part, the portion thereof not so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determination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for such Global Security may surrender such Global Security in exchange in whole or in part for Securities of the same series in definitive registered form in accordance with the two preceding paragraphs or on such other terms as are acceptable to the Issuer and such Depositary. Thereupon, the Issuer shall execute, and the Trustee shall authenticate and deliver, without service charge, </w:t>
      </w:r>
    </w:p>
    <w:p>
      <w:pPr>
        <w:pStyle w:val="TextBody"/>
        <w:bidi w:val="0"/>
        <w:spacing w:before="120" w:after="0"/>
        <w:jc w:val="left"/>
        <w:rPr>
          <w:rFonts w:ascii="Times New Roman" w:hAnsi="Times New Roman"/>
          <w:sz w:val="20"/>
        </w:rPr>
      </w:pPr>
      <w:r>
        <w:rPr>
          <w:rFonts w:ascii="Times New Roman" w:hAnsi="Times New Roman"/>
          <w:sz w:val="20"/>
        </w:rPr>
        <w:t xml:space="preserve">(i) to the Person specified by such Depositary a new Security or Securities of the same series, of any authorized denominations as requested by such Person, in an aggregate principal amount equal to and in exchange for such Person’s beneficial interest in the Global Security;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to such Depositary a new Global Security in a denomination equal to the difference, if any, between the principal amount of the surrendered Global Security and the aggregate principal amount of Securities authenticated and delivered pursuant to clause (i) above. </w:t>
      </w:r>
    </w:p>
    <w:p>
      <w:pPr>
        <w:pStyle w:val="TextBody"/>
        <w:bidi w:val="0"/>
        <w:spacing w:before="240" w:after="0"/>
        <w:jc w:val="left"/>
        <w:rPr>
          <w:rFonts w:ascii="Times New Roman" w:hAnsi="Times New Roman"/>
          <w:sz w:val="20"/>
        </w:rPr>
      </w:pPr>
      <w:r>
        <w:rPr>
          <w:rFonts w:ascii="Times New Roman" w:hAnsi="Times New Roman"/>
          <w:sz w:val="20"/>
        </w:rPr>
        <w:t xml:space="preserve">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issued upon any transfer or exchange of Securities shall be valid obligations of the Issuer, evidencing the same debt, and entitled to the same benefits under this Indenture, as the Securities surrendered upon such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i/>
          <w:sz w:val="20"/>
        </w:rPr>
        <w:t xml:space="preserve">Mutilated, Defaced, Destroyed, Lost and Stolen Securities. </w:t>
      </w:r>
      <w:r>
        <w:rPr>
          <w:rFonts w:ascii="Times New Roman" w:hAnsi="Times New Roman"/>
          <w:sz w:val="20"/>
        </w:rPr>
        <w:t xml:space="preserve">In case any temporary or definitive Security shall become mutilated or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 </w:t>
      </w:r>
    </w:p>
    <w:p>
      <w:pPr>
        <w:pStyle w:val="TextBody"/>
        <w:bidi w:val="0"/>
        <w:spacing w:before="240" w:after="0"/>
        <w:jc w:val="left"/>
        <w:rPr>
          <w:rFonts w:ascii="Times New Roman" w:hAnsi="Times New Roman"/>
          <w:sz w:val="20"/>
        </w:rPr>
      </w:pPr>
      <w:r>
        <w:rPr>
          <w:rFonts w:ascii="Times New Roman" w:hAnsi="Times New Roman"/>
          <w:sz w:val="20"/>
        </w:rPr>
        <w:t xml:space="preserve">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2.10 </w:t>
      </w:r>
      <w:r>
        <w:rPr>
          <w:rFonts w:ascii="Times New Roman" w:hAnsi="Times New Roman"/>
          <w:i/>
          <w:sz w:val="20"/>
        </w:rPr>
        <w:t xml:space="preserve">Cancellation of Securities; Destruction Thereof. </w:t>
      </w:r>
      <w:r>
        <w:rPr>
          <w:rFonts w:ascii="Times New Roman" w:hAnsi="Times New Roman"/>
          <w:sz w:val="20"/>
        </w:rPr>
        <w:t xml:space="preserve">All Securities surrendered for exchange for Securities of the same series or for payment, redemption, registration of transfer or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i/>
          <w:sz w:val="20"/>
        </w:rPr>
        <w:t xml:space="preserve">Temporary Securities. </w:t>
      </w:r>
      <w:r>
        <w:rPr>
          <w:rFonts w:ascii="Times New Roman" w:hAnsi="Times New Roman"/>
          <w:sz w:val="20"/>
        </w:rPr>
        <w:t xml:space="preserve">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i/>
          <w:sz w:val="20"/>
        </w:rPr>
        <w:t>CUSIP Numbers</w:t>
      </w:r>
      <w:r>
        <w:rPr>
          <w:rFonts w:ascii="Times New Roman" w:hAnsi="Times New Roman"/>
          <w:sz w:val="20"/>
        </w:rPr>
        <w:t xml:space="preserve">. The Issuer in issuing the Securities may use “CUSIP” numbers if then generally in use and, if so, the Trustee may use “CUSIP” numbers in notices of redemption as a convenience to Holders. Any such notice may state that no representation is made as to the correctness of such numbers either as printed on the Securities or as contained in any notice of a redemption and that reliance may be placed only on the other identification numbers printed on the Securities. No such redemption shall be affected by any defect in or omission of such numbers. </w:t>
      </w:r>
    </w:p>
    <w:p>
      <w:pPr>
        <w:pStyle w:val="TextBody"/>
        <w:bidi w:val="0"/>
        <w:spacing w:before="480" w:after="0"/>
        <w:jc w:val="center"/>
        <w:rPr>
          <w:rFonts w:ascii="Times New Roman" w:hAnsi="Times New Roman"/>
          <w:sz w:val="20"/>
        </w:rPr>
      </w:pPr>
      <w:r>
        <w:rPr>
          <w:rFonts w:ascii="Times New Roman" w:hAnsi="Times New Roman"/>
          <w:sz w:val="20"/>
        </w:rPr>
        <w:t xml:space="preserve">ARTICLE 3 </w:t>
      </w:r>
    </w:p>
    <w:p>
      <w:pPr>
        <w:pStyle w:val="TextBody"/>
        <w:bidi w:val="0"/>
        <w:spacing w:before="0" w:after="0"/>
        <w:jc w:val="center"/>
        <w:rPr>
          <w:rFonts w:ascii="Times New Roman" w:hAnsi="Times New Roman"/>
          <w:sz w:val="20"/>
        </w:rPr>
      </w:pPr>
      <w:r>
        <w:rPr>
          <w:rFonts w:ascii="Times New Roman" w:hAnsi="Times New Roman"/>
          <w:sz w:val="20"/>
        </w:rPr>
        <w:t xml:space="preserve">COVENANTS OF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i/>
          <w:sz w:val="20"/>
        </w:rPr>
        <w:t xml:space="preserve">Payment of Principal and Interest. </w:t>
      </w:r>
      <w:r>
        <w:rPr>
          <w:rFonts w:ascii="Times New Roman" w:hAnsi="Times New Roman"/>
          <w:sz w:val="20"/>
        </w:rPr>
        <w:t xml:space="preserve">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i/>
          <w:sz w:val="20"/>
        </w:rPr>
        <w:t xml:space="preserve">Offices for Payments, Etc. </w:t>
      </w:r>
      <w:r>
        <w:rPr>
          <w:rFonts w:ascii="Times New Roman" w:hAnsi="Times New Roman"/>
          <w:sz w:val="20"/>
        </w:rPr>
        <w:t xml:space="preserve">The Issuer will maintain (i) in _______, an agency where the Securities of each series may be presented for payment, an agency where the Securities of each series may be presented for exchange and conversion, if applicable, as provided in this Indenture and an agency where the Securities of each series may be presented for registration of transfer as in this Indenture provided and (ii) such further agencies in such places as may be determined for the Securities of such series pursuant to Section 2.03.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maintain in __________, an agency where notices and demands to or upon the Issuer in respect of the Securities of any series or this Indenture may be served.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give to the Trustee written notice of the location of each such agency and of any change of location thereof. In case the Issuer shall fail to maintain any agency required by this Section to be located in __________, or shall fail to give such notice of the location or of any change in the location of any of the above agencies, presentations and demands may be made and notices may be served at the Corporate Trust Office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designation or rescission shall in any manner relieve the Issuer of its obligation to maintain the agencies provided for in this Section. The Issuer will give to the Trustee prompt written notice of any such designation or rescission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i/>
          <w:sz w:val="20"/>
        </w:rPr>
        <w:t xml:space="preserve">Appointment to Fill a Vacancy in Office of Trustee. </w:t>
      </w:r>
      <w:r>
        <w:rPr>
          <w:rFonts w:ascii="Times New Roman" w:hAnsi="Times New Roman"/>
          <w:sz w:val="20"/>
        </w:rPr>
        <w:t xml:space="preserve">The Issuer, whenever necessary to avoid or fill a vacancy in the office of Trustee, will appoint, in the manner provided in Section 6.10, a Trustee, so that there shall at all times be a Trustee with respect to each series of Securities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i/>
          <w:sz w:val="20"/>
        </w:rPr>
        <w:t xml:space="preserve">Paying Agents. </w:t>
      </w:r>
      <w:r>
        <w:rPr>
          <w:rFonts w:ascii="Times New Roman" w:hAnsi="Times New Roman"/>
          <w:sz w:val="20"/>
        </w:rPr>
        <w:t xml:space="preserve">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(a) 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(b) that it will give the Trustee notice of any failure by the Issuer (or by any other obligor on the Securities of such series) to make any payment of the principal of or interest on the Securities of such series when the same shall be due and payable, and </w:t>
      </w:r>
    </w:p>
    <w:p>
      <w:pPr>
        <w:pStyle w:val="TextBody"/>
        <w:bidi w:val="0"/>
        <w:spacing w:before="240" w:after="0"/>
        <w:jc w:val="left"/>
        <w:rPr>
          <w:rFonts w:ascii="Times New Roman" w:hAnsi="Times New Roman"/>
          <w:sz w:val="20"/>
        </w:rPr>
      </w:pPr>
      <w:r>
        <w:rPr>
          <w:rFonts w:ascii="Times New Roman" w:hAnsi="Times New Roman"/>
          <w:sz w:val="20"/>
        </w:rPr>
        <w:t xml:space="preserve">(c) that at any time during the continuance of any such failure, upon the written request of the Trustee, it will forthwith pay to the Trustee all sums so held in trust by such paying agent.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 </w:t>
      </w:r>
    </w:p>
    <w:p>
      <w:pPr>
        <w:pStyle w:val="TextBody"/>
        <w:bidi w:val="0"/>
        <w:spacing w:before="240" w:after="0"/>
        <w:jc w:val="left"/>
        <w:rPr>
          <w:rFonts w:ascii="Times New Roman" w:hAnsi="Times New Roman"/>
          <w:sz w:val="20"/>
        </w:rPr>
      </w:pPr>
      <w:r>
        <w:rPr>
          <w:rFonts w:ascii="Times New Roman" w:hAnsi="Times New Roman"/>
          <w:sz w:val="20"/>
        </w:rPr>
        <w:t xml:space="preserve">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 </w:t>
      </w:r>
    </w:p>
    <w:p>
      <w:pPr>
        <w:pStyle w:val="TextBody"/>
        <w:bidi w:val="0"/>
        <w:spacing w:before="240" w:after="0"/>
        <w:jc w:val="left"/>
        <w:rPr>
          <w:rFonts w:ascii="Times New Roman" w:hAnsi="Times New Roman"/>
          <w:sz w:val="20"/>
        </w:rPr>
      </w:pPr>
      <w:r>
        <w:rPr>
          <w:rFonts w:ascii="Times New Roman" w:hAnsi="Times New Roman"/>
          <w:sz w:val="20"/>
        </w:rPr>
        <w:t xml:space="preserve">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 </w:t>
      </w:r>
    </w:p>
    <w:p>
      <w:pPr>
        <w:pStyle w:val="TextBody"/>
        <w:bidi w:val="0"/>
        <w:spacing w:before="240" w:after="0"/>
        <w:jc w:val="left"/>
        <w:rPr>
          <w:rFonts w:ascii="Times New Roman" w:hAnsi="Times New Roman"/>
          <w:sz w:val="20"/>
        </w:rPr>
      </w:pPr>
      <w:r>
        <w:rPr>
          <w:rFonts w:ascii="Times New Roman" w:hAnsi="Times New Roman"/>
          <w:sz w:val="20"/>
        </w:rPr>
        <w:t xml:space="preserve">Anything in this Section to the contrary notwithstanding, the agreement to hold sums in trust as provided in this Section is subject to the provisions of Sections 10.03 and 10.04.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i/>
          <w:sz w:val="20"/>
        </w:rPr>
        <w:t xml:space="preserve">Written Statement to Trustee. </w:t>
      </w:r>
      <w:r>
        <w:rPr>
          <w:rFonts w:ascii="Times New Roman" w:hAnsi="Times New Roman"/>
          <w:sz w:val="20"/>
        </w:rPr>
        <w:t xml:space="preserve">So long as any Securities are Outstanding hereunder, the Issuer will deliver to the Trustee, within 120 days after the end of each fiscal year of the Issuer ending after the date hereof, a written certificate covering the previous fiscal year, (which need not comply with Section 11.05), signed by its principal executive officer, principal financial officer or principal accounting officer, stating whether or not, to the best knowledge of such officer,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they may have knowledge.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4 </w:t>
      </w:r>
    </w:p>
    <w:p>
      <w:pPr>
        <w:pStyle w:val="TextBody"/>
        <w:bidi w:val="0"/>
        <w:spacing w:before="0" w:after="0"/>
        <w:jc w:val="center"/>
        <w:rPr>
          <w:rFonts w:ascii="Times New Roman" w:hAnsi="Times New Roman"/>
          <w:sz w:val="20"/>
        </w:rPr>
      </w:pPr>
      <w:r>
        <w:rPr>
          <w:rFonts w:ascii="Times New Roman" w:hAnsi="Times New Roman"/>
          <w:sz w:val="20"/>
        </w:rPr>
        <w:t xml:space="preserve">SECURITYHOLDERS LISTS AND REPORTS BY THE ISSUER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i/>
          <w:sz w:val="20"/>
        </w:rPr>
        <w:t>Issuer to Furnish Trustee Information as to Names and</w:t>
      </w:r>
      <w:r>
        <w:rPr>
          <w:rFonts w:ascii="Times New Roman" w:hAnsi="Times New Roman"/>
          <w:sz w:val="20"/>
        </w:rPr>
        <w:t xml:space="preserve"> </w:t>
      </w:r>
      <w:r>
        <w:rPr>
          <w:rFonts w:ascii="Times New Roman" w:hAnsi="Times New Roman"/>
          <w:i/>
          <w:sz w:val="20"/>
        </w:rPr>
        <w:t xml:space="preserve">Addresses of Securityholders. </w:t>
      </w:r>
      <w:r>
        <w:rPr>
          <w:rFonts w:ascii="Times New Roman" w:hAnsi="Times New Roman"/>
          <w:sz w:val="20"/>
        </w:rPr>
        <w:t xml:space="preserve">The Issuer covenants and agrees that it will furnish or cause to be furnished to the Trustee a list in such form as the Trustee may reasonably require of the names and addresses of the Holders of the Securities of each series pursuant to Section 312 of the Trust Indenture Act of 1939: </w:t>
      </w:r>
    </w:p>
    <w:p>
      <w:pPr>
        <w:pStyle w:val="TextBody"/>
        <w:bidi w:val="0"/>
        <w:spacing w:before="120" w:after="0"/>
        <w:jc w:val="left"/>
        <w:rPr>
          <w:rFonts w:ascii="Times New Roman" w:hAnsi="Times New Roman"/>
          <w:sz w:val="20"/>
        </w:rPr>
      </w:pPr>
      <w:r>
        <w:rPr>
          <w:rFonts w:ascii="Times New Roman" w:hAnsi="Times New Roman"/>
          <w:sz w:val="20"/>
        </w:rPr>
        <w:t xml:space="preserve">(a) semiannually and not more than 15 days after each record date for the payment of interest on such Securities, as hereinabove specified, as of such record date and on dates to be determined pursuant to Section 2.03 for non-interest bearing Securities in each year, and </w:t>
      </w:r>
    </w:p>
    <w:p>
      <w:pPr>
        <w:pStyle w:val="TextBody"/>
        <w:bidi w:val="0"/>
        <w:spacing w:before="240" w:after="0"/>
        <w:jc w:val="left"/>
        <w:rPr>
          <w:rFonts w:ascii="Times New Roman" w:hAnsi="Times New Roman"/>
          <w:sz w:val="20"/>
        </w:rPr>
      </w:pPr>
      <w:r>
        <w:rPr>
          <w:rFonts w:ascii="Times New Roman" w:hAnsi="Times New Roman"/>
          <w:sz w:val="20"/>
        </w:rPr>
        <w:t xml:space="preserve">(b) at such other times as the Trustee may request in writing, within 30 days after receipt by the Issuer of any such request as of a date not more than 15 days prior to the time such information is furnished, </w:t>
      </w:r>
      <w:r>
        <w:rPr>
          <w:rFonts w:ascii="Times New Roman" w:hAnsi="Times New Roman"/>
          <w:i/>
          <w:sz w:val="20"/>
        </w:rPr>
        <w:t>provided</w:t>
      </w:r>
      <w:r>
        <w:rPr>
          <w:rFonts w:ascii="Times New Roman" w:hAnsi="Times New Roman"/>
          <w:sz w:val="20"/>
        </w:rPr>
        <w:t>, that, if and so long as the Trustee shall be the Security registrar (the “</w:t>
      </w:r>
      <w:r>
        <w:rPr>
          <w:rFonts w:ascii="Times New Roman" w:hAnsi="Times New Roman"/>
          <w:b/>
          <w:sz w:val="20"/>
        </w:rPr>
        <w:t>Security Registrar”</w:t>
      </w:r>
      <w:r>
        <w:rPr>
          <w:rFonts w:ascii="Times New Roman" w:hAnsi="Times New Roman"/>
          <w:sz w:val="20"/>
        </w:rPr>
        <w:t xml:space="preserve">) for such series, such list shall not be required to be furnished.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i/>
          <w:sz w:val="20"/>
        </w:rPr>
        <w:t xml:space="preserve">Reports by the Issuer. </w:t>
      </w:r>
      <w:r>
        <w:rPr>
          <w:rFonts w:ascii="Times New Roman" w:hAnsi="Times New Roman"/>
          <w:sz w:val="20"/>
        </w:rPr>
        <w:t xml:space="preserve">The Issuer covenants to comply with Section 314(a) of the Trust Indenture Act of 1939 insofar as it relates to information, documentation and other reports which the Issuer may be required to file with the Commission pursuant to Section 13 or Section 15(d) of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i/>
          <w:sz w:val="20"/>
        </w:rPr>
        <w:t xml:space="preserve">Reports by the Trustee. </w:t>
      </w:r>
      <w:r>
        <w:rPr>
          <w:rFonts w:ascii="Times New Roman" w:hAnsi="Times New Roman"/>
          <w:sz w:val="20"/>
        </w:rPr>
        <w:t xml:space="preserve">Any Trustee’s report required under Section 313(a) of the Trust Indenture Act of 1939 shall be transmitted on or before ______ in each year following the date hereof, so long as any Securities are Outstanding hereunder, and shall be dated as of a date convenient to the Trustee but no more than 60 nor less than 45 days prior thereto. The Trustee shall comply with Sections 313(b), 313(c) and 313(d) of the Trust Indenture Act of 1939.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i/>
          <w:sz w:val="20"/>
        </w:rPr>
        <w:t xml:space="preserve">Preservation of Information; Communication with Securityholders. </w:t>
      </w:r>
      <w:r>
        <w:rPr>
          <w:rFonts w:ascii="Times New Roman" w:hAnsi="Times New Roman"/>
          <w:sz w:val="20"/>
        </w:rPr>
        <w:t xml:space="preserve">(a) The Trustee shall preserve, in as current a form as is reasonably practicable, all information as to the names and addresses of the Holders of Securities contained in the most recent list furnished to it as provided in Section 4.01 and as to the names and addresses of holders of Securities received by the Trustee in its capacity as Security Registrar (if acting in such capacity).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may destroy any list furnished to it as provided in Section 4.01 upon receipt of a new list so furnished.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Securityholders may communicate as provided in Section 312(b) of the Trust Indenture Act of 1939 with other Securityholders with respect to their rights under this Indenture or under the Securities. The Issuer, the Trustee, the Security Registrar and any other Person shall have the protection of Section 312(c) of the Trust Indenture Act of 1939.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5 </w:t>
      </w:r>
    </w:p>
    <w:p>
      <w:pPr>
        <w:pStyle w:val="TextBody"/>
        <w:bidi w:val="0"/>
        <w:spacing w:before="0" w:after="0"/>
        <w:jc w:val="center"/>
        <w:rPr>
          <w:rFonts w:ascii="Times New Roman" w:hAnsi="Times New Roman"/>
          <w:sz w:val="20"/>
        </w:rPr>
      </w:pPr>
      <w:r>
        <w:rPr>
          <w:rFonts w:ascii="Times New Roman" w:hAnsi="Times New Roman"/>
          <w:sz w:val="20"/>
        </w:rPr>
        <w:t xml:space="preserve">REMEDIES OF THE TRUSTEE AND SECURITYHOLDERS ON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i/>
          <w:sz w:val="20"/>
        </w:rPr>
        <w:t>Event of Default Defined; Acceleration of Maturity; Waiver</w:t>
      </w:r>
      <w:r>
        <w:rPr>
          <w:rFonts w:ascii="Times New Roman" w:hAnsi="Times New Roman"/>
          <w:sz w:val="20"/>
        </w:rPr>
        <w:t xml:space="preserve"> </w:t>
      </w:r>
      <w:r>
        <w:rPr>
          <w:rFonts w:ascii="Times New Roman" w:hAnsi="Times New Roman"/>
          <w:i/>
          <w:sz w:val="20"/>
        </w:rPr>
        <w:t xml:space="preserve">of Default. </w:t>
      </w:r>
      <w:r>
        <w:rPr>
          <w:rFonts w:ascii="Times New Roman" w:hAnsi="Times New Roman"/>
          <w:sz w:val="20"/>
        </w:rPr>
        <w:t>“</w:t>
      </w:r>
      <w:r>
        <w:rPr>
          <w:rFonts w:ascii="Times New Roman" w:hAnsi="Times New Roman"/>
          <w:b/>
          <w:sz w:val="20"/>
        </w:rPr>
        <w:t>Event of Default</w:t>
      </w:r>
      <w:r>
        <w:rPr>
          <w:rFonts w:ascii="Times New Roman" w:hAnsi="Times New Roman"/>
          <w:sz w:val="20"/>
        </w:rPr>
        <w:t xml:space="preserve">”, with respect to Securities of any series wherever used herein, means any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w:t>
      </w:r>
    </w:p>
    <w:p>
      <w:pPr>
        <w:pStyle w:val="TextBody"/>
        <w:bidi w:val="0"/>
        <w:spacing w:before="120" w:after="0"/>
        <w:jc w:val="left"/>
        <w:rPr>
          <w:rFonts w:ascii="Times New Roman" w:hAnsi="Times New Roman"/>
          <w:sz w:val="20"/>
        </w:rPr>
      </w:pPr>
      <w:r>
        <w:rPr>
          <w:rFonts w:ascii="Times New Roman" w:hAnsi="Times New Roman"/>
          <w:sz w:val="20"/>
        </w:rPr>
        <w:t xml:space="preserve">(a) default in the payment of any installment of interest upon any of the Securities of such series as and when the same shall become due and payable, and continuance of such default for a period of 30 days (or such other period as may be established for the Securities of such series as contemplated by Section 2.03); or </w:t>
      </w:r>
    </w:p>
    <w:p>
      <w:pPr>
        <w:pStyle w:val="TextBody"/>
        <w:bidi w:val="0"/>
        <w:spacing w:before="240" w:after="0"/>
        <w:jc w:val="left"/>
        <w:rPr>
          <w:rFonts w:ascii="Times New Roman" w:hAnsi="Times New Roman"/>
          <w:sz w:val="20"/>
        </w:rPr>
      </w:pPr>
      <w:r>
        <w:rPr>
          <w:rFonts w:ascii="Times New Roman" w:hAnsi="Times New Roman"/>
          <w:sz w:val="20"/>
        </w:rPr>
        <w:t xml:space="preserve">(b) default in the payment of all or any part of the principal on any of the Securities of such series as and when the same shall become due and payable either at maturity, upon redemption, by declaration or otherwise (and, if established for the Securities of such series as contemplated by Section 2.03, the continuance of such default for a specified period); or </w:t>
      </w:r>
    </w:p>
    <w:p>
      <w:pPr>
        <w:pStyle w:val="TextBody"/>
        <w:bidi w:val="0"/>
        <w:spacing w:before="240" w:after="0"/>
        <w:jc w:val="left"/>
        <w:rPr>
          <w:rFonts w:ascii="Times New Roman" w:hAnsi="Times New Roman"/>
          <w:sz w:val="20"/>
        </w:rPr>
      </w:pPr>
      <w:r>
        <w:rPr>
          <w:rFonts w:ascii="Times New Roman" w:hAnsi="Times New Roman"/>
          <w:sz w:val="20"/>
        </w:rPr>
        <w:t>(c) default in the performance, or breach, of any covenant or agreement of the Issuer in respect of the Securities of such series (other than a covenant or agreement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such series, a written notice specifying such default or breach and requiring it to be remedied and stating that such notice is a “</w:t>
      </w:r>
      <w:r>
        <w:rPr>
          <w:rFonts w:ascii="Times New Roman" w:hAnsi="Times New Roman"/>
          <w:b/>
          <w:sz w:val="20"/>
        </w:rPr>
        <w:t>Notice of Default</w:t>
      </w:r>
      <w:r>
        <w:rPr>
          <w:rFonts w:ascii="Times New Roman" w:hAnsi="Times New Roman"/>
          <w:sz w:val="20"/>
        </w:rPr>
        <w:t xml:space="preserve">” hereunder; or </w:t>
      </w:r>
    </w:p>
    <w:p>
      <w:pPr>
        <w:pStyle w:val="TextBody"/>
        <w:bidi w:val="0"/>
        <w:spacing w:before="240" w:after="0"/>
        <w:jc w:val="left"/>
        <w:rPr>
          <w:rFonts w:ascii="Times New Roman" w:hAnsi="Times New Roman"/>
          <w:sz w:val="20"/>
        </w:rPr>
      </w:pPr>
      <w:r>
        <w:rPr>
          <w:rFonts w:ascii="Times New Roman" w:hAnsi="Times New Roman"/>
          <w:sz w:val="20"/>
        </w:rPr>
        <w:t xml:space="preserve">(d) 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and assets or ordering the winding up or liquidation of its affairs, and such decree or order shall remain unstayed and in effect for a period of 90 consecutive days; or </w:t>
      </w:r>
    </w:p>
    <w:p>
      <w:pPr>
        <w:pStyle w:val="TextBody"/>
        <w:bidi w:val="0"/>
        <w:spacing w:before="240" w:after="0"/>
        <w:jc w:val="left"/>
        <w:rPr>
          <w:rFonts w:ascii="Times New Roman" w:hAnsi="Times New Roman"/>
          <w:sz w:val="20"/>
        </w:rPr>
      </w:pPr>
      <w:r>
        <w:rPr>
          <w:rFonts w:ascii="Times New Roman" w:hAnsi="Times New Roman"/>
          <w:sz w:val="20"/>
        </w:rPr>
        <w:t xml:space="preserve">(e) 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and assets, or make any general assignment for the benefit of creditors; or </w:t>
      </w:r>
    </w:p>
    <w:p>
      <w:pPr>
        <w:pStyle w:val="TextBody"/>
        <w:bidi w:val="0"/>
        <w:spacing w:before="240" w:after="0"/>
        <w:jc w:val="left"/>
        <w:rPr>
          <w:rFonts w:ascii="Times New Roman" w:hAnsi="Times New Roman"/>
          <w:sz w:val="20"/>
        </w:rPr>
      </w:pPr>
      <w:r>
        <w:rPr>
          <w:rFonts w:ascii="Times New Roman" w:hAnsi="Times New Roman"/>
          <w:sz w:val="20"/>
        </w:rPr>
        <w:t xml:space="preserve">(f) any other Event of Default provided for in such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described in clauses (a), (b), (c) or (f)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also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(d) or (e) occurs and is continuing, then and in each and every such case, the entire principal (or, if any Securities are Original Issue Discount Securities, such portion of the principal as may be specified in the terms thereof) of all the Securities then Outstanding and interest accrued thereon, if any, shall automatically become immediately due and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provisions, however, are subject to the condition that if, at any time after the principal of the Securities of any series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and the principal of any and all Securities of such series which shall have become due otherwise than by acceleration (with interest upon such principal and, to the extent that payment of such interest is enforceable under applicable law, on overdue installments of interest, at the same rate as the rate of interest specified in the Securities of such series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with respect to such series, other than the non-payment of the principal of Securities of such series which shall have become due solely by such acceleration, shall have been cured, waived or otherwise remedied as provided herein, then and in every such case the Holders of a majority in aggregate principal amount of all the Securities of such series then Outstanding, by written notice to the Issuer and to the Trustee, may waive all defaults with respect to such series and rescind and annul such declaration and its consequences, but no such waiver or rescission and annulment shall extend to or shall affect any subsequent default or shall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Board Resolution, Officer’s Certificate or supplemental indenture for a series of Original Issue Discount Securities, 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i/>
          <w:sz w:val="20"/>
        </w:rPr>
        <w:t xml:space="preserve">Collection of Debt by Trustee; Trustee May Prove Debt. </w:t>
      </w:r>
      <w:r>
        <w:rPr>
          <w:rFonts w:ascii="Times New Roman" w:hAnsi="Times New Roman"/>
          <w:sz w:val="20"/>
        </w:rPr>
        <w:t xml:space="preserve">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 </w:t>
      </w:r>
    </w:p>
    <w:p>
      <w:pPr>
        <w:pStyle w:val="TextBody"/>
        <w:bidi w:val="0"/>
        <w:spacing w:before="240" w:after="0"/>
        <w:jc w:val="left"/>
        <w:rPr>
          <w:rFonts w:ascii="Times New Roman" w:hAnsi="Times New Roman"/>
          <w:sz w:val="20"/>
        </w:rPr>
      </w:pPr>
      <w:r>
        <w:rPr>
          <w:rFonts w:ascii="Times New Roman" w:hAnsi="Times New Roman"/>
          <w:sz w:val="20"/>
        </w:rPr>
        <w:t xml:space="preserve">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 </w:t>
      </w:r>
    </w:p>
    <w:p>
      <w:pPr>
        <w:pStyle w:val="TextBody"/>
        <w:bidi w:val="0"/>
        <w:spacing w:before="240" w:after="0"/>
        <w:jc w:val="left"/>
        <w:rPr>
          <w:rFonts w:ascii="Times New Roman" w:hAnsi="Times New Roman"/>
          <w:sz w:val="20"/>
        </w:rPr>
      </w:pPr>
      <w:r>
        <w:rPr>
          <w:rFonts w:ascii="Times New Roman" w:hAnsi="Times New Roman"/>
          <w:sz w:val="20"/>
        </w:rPr>
        <w:t xml:space="preserve">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and irrespective of whether the Trustee shall have made any demand pursuant to the provisions of this Section, shall be entitled and empowered, by intervention in such proceedings or otherwise: </w:t>
      </w:r>
    </w:p>
    <w:p>
      <w:pPr>
        <w:pStyle w:val="TextBody"/>
        <w:bidi w:val="0"/>
        <w:spacing w:before="120" w:after="0"/>
        <w:jc w:val="left"/>
        <w:rPr>
          <w:rFonts w:ascii="Times New Roman" w:hAnsi="Times New Roman"/>
          <w:sz w:val="20"/>
        </w:rPr>
      </w:pPr>
      <w:r>
        <w:rPr>
          <w:rFonts w:ascii="Times New Roman" w:hAnsi="Times New Roman"/>
          <w:sz w:val="20"/>
        </w:rPr>
        <w:t xml:space="preserve">(i) 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 </w:t>
      </w:r>
    </w:p>
    <w:p>
      <w:pPr>
        <w:pStyle w:val="TextBody"/>
        <w:bidi w:val="0"/>
        <w:spacing w:before="120" w:after="0"/>
        <w:jc w:val="left"/>
        <w:rPr>
          <w:rFonts w:ascii="Times New Roman" w:hAnsi="Times New Roman"/>
          <w:sz w:val="20"/>
        </w:rPr>
      </w:pPr>
      <w:r>
        <w:rPr>
          <w:rFonts w:ascii="Times New Roman" w:hAnsi="Times New Roman"/>
          <w:sz w:val="20"/>
        </w:rPr>
        <w:t xml:space="preserve">(ii) 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 </w:t>
      </w:r>
    </w:p>
    <w:p>
      <w:pPr>
        <w:pStyle w:val="TextBody"/>
        <w:bidi w:val="0"/>
        <w:spacing w:before="120" w:after="0"/>
        <w:jc w:val="left"/>
        <w:rPr>
          <w:rFonts w:ascii="Times New Roman" w:hAnsi="Times New Roman"/>
          <w:sz w:val="20"/>
        </w:rPr>
      </w:pPr>
      <w:r>
        <w:rPr>
          <w:rFonts w:ascii="Times New Roman" w:hAnsi="Times New Roman"/>
          <w:sz w:val="20"/>
        </w:rPr>
        <w:t xml:space="preserve">(iii) 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 </w:t>
      </w:r>
    </w:p>
    <w:p>
      <w:pPr>
        <w:pStyle w:val="TextBody"/>
        <w:bidi w:val="0"/>
        <w:spacing w:before="240" w:after="0"/>
        <w:jc w:val="left"/>
        <w:rPr>
          <w:rFonts w:ascii="Times New Roman" w:hAnsi="Times New Roman"/>
          <w:sz w:val="20"/>
        </w:rPr>
      </w:pPr>
      <w:r>
        <w:rPr>
          <w:rFonts w:ascii="Times New Roman" w:hAnsi="Times New Roman"/>
          <w:sz w:val="20"/>
        </w:rPr>
        <w:t xml:space="preserve">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 </w:t>
      </w:r>
    </w:p>
    <w:p>
      <w:pPr>
        <w:pStyle w:val="TextBody"/>
        <w:bidi w:val="0"/>
        <w:spacing w:before="240" w:after="0"/>
        <w:jc w:val="left"/>
        <w:rPr>
          <w:rFonts w:ascii="Times New Roman" w:hAnsi="Times New Roman"/>
          <w:sz w:val="20"/>
        </w:rPr>
      </w:pPr>
      <w:r>
        <w:rPr>
          <w:rFonts w:ascii="Times New Roman" w:hAnsi="Times New Roman"/>
          <w:sz w:val="20"/>
        </w:rPr>
        <w:t xml:space="preserve">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i/>
          <w:sz w:val="20"/>
        </w:rPr>
        <w:t xml:space="preserve">Application of Proceeds. </w:t>
      </w:r>
      <w:r>
        <w:rPr>
          <w:rFonts w:ascii="Times New Roman" w:hAnsi="Times New Roman"/>
          <w:sz w:val="20"/>
        </w:rPr>
        <w:t xml:space="preserve">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all amounts due to the Trustee or any predecessor trustee pursuant to Section 6.06;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to the extent permitted by applicable law, at the same rate as the rate of interest or Yield to Maturity (in the case of Original Issue Discount Securities) specified in such Securities, such payments to be made ratably to the Persons entitled thereto, without discrimination or preference; </w:t>
      </w:r>
    </w:p>
    <w:p>
      <w:pPr>
        <w:pStyle w:val="TextBody"/>
        <w:bidi w:val="0"/>
        <w:spacing w:before="240" w:after="0"/>
        <w:jc w:val="left"/>
        <w:rPr>
          <w:rFonts w:ascii="Times New Roman" w:hAnsi="Times New Roman"/>
          <w:sz w:val="20"/>
        </w:rPr>
      </w:pPr>
      <w:r>
        <w:rPr>
          <w:rFonts w:ascii="Times New Roman" w:hAnsi="Times New Roman"/>
          <w:sz w:val="20"/>
        </w:rPr>
        <w:t xml:space="preserve">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to the extent permitted by applicable law,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without preference or priority of principal over interest, or of interest over principal, or of any installment of interest over any other installment of interest, or of any Security of such series over any other Security of such series, ratably to the aggregate of such principal and accrued and unpaid interest; and </w:t>
      </w:r>
    </w:p>
    <w:p>
      <w:pPr>
        <w:pStyle w:val="TextBody"/>
        <w:bidi w:val="0"/>
        <w:spacing w:before="240" w:after="0"/>
        <w:jc w:val="left"/>
        <w:rPr>
          <w:rFonts w:ascii="Times New Roman" w:hAnsi="Times New Roman"/>
          <w:sz w:val="20"/>
        </w:rPr>
      </w:pPr>
      <w:r>
        <w:rPr>
          <w:rFonts w:ascii="Times New Roman" w:hAnsi="Times New Roman"/>
          <w:sz w:val="20"/>
        </w:rPr>
        <w:t xml:space="preserve">FOURTH: To the payment of the remainder, if any, to the Issuer or any other Person lawfully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i/>
          <w:sz w:val="20"/>
        </w:rPr>
        <w:t>Suits for Enforcement</w:t>
      </w:r>
      <w:r>
        <w:rPr>
          <w:rFonts w:ascii="Times New Roman" w:hAnsi="Times New Roman"/>
          <w:sz w:val="20"/>
        </w:rPr>
        <w:t xml:space="preserve">.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i/>
          <w:sz w:val="20"/>
        </w:rPr>
        <w:t>Restoration of Rights on Abandonment of Proceedings</w:t>
      </w:r>
      <w:r>
        <w:rPr>
          <w:rFonts w:ascii="Times New Roman" w:hAnsi="Times New Roman"/>
          <w:sz w:val="20"/>
        </w:rPr>
        <w:t xml:space="preserve">. In case the Trustee shall have proceeded to enforce any right under this Indenture and such proceedings shall have been discontinued or abandoned for any reason, or shall have been determined adversely to the Trustee, then and in every such case (subject to any determination in such proceeding) the Issuer and the Trustee shall be restored respectively to their former positions and rights hereunder, and all rights, remedies and powers of the Issuer, the Trustee and the Securityholders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i/>
          <w:sz w:val="20"/>
        </w:rPr>
        <w:t>Limitations on Suits by Securityholders</w:t>
      </w:r>
      <w:r>
        <w:rPr>
          <w:rFonts w:ascii="Times New Roman" w:hAnsi="Times New Roman"/>
          <w:sz w:val="20"/>
        </w:rPr>
        <w:t xml:space="preserve">. No Holder of any Security of any series shall have any right by virtue, or by availing itself,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affect, disturb or prejudice the rights of any other such Holder of Securities of such series, or to obtain or seek to obtain priority over or preference to any other such Holder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i/>
          <w:sz w:val="20"/>
        </w:rPr>
        <w:t>Unconditional Right of Securityholders to Institute Certain</w:t>
      </w:r>
      <w:r>
        <w:rPr>
          <w:rFonts w:ascii="Times New Roman" w:hAnsi="Times New Roman"/>
          <w:sz w:val="20"/>
        </w:rPr>
        <w:t xml:space="preserve"> </w:t>
      </w:r>
      <w:r>
        <w:rPr>
          <w:rFonts w:ascii="Times New Roman" w:hAnsi="Times New Roman"/>
          <w:i/>
          <w:sz w:val="20"/>
        </w:rPr>
        <w:t>Suits</w:t>
      </w:r>
      <w:r>
        <w:rPr>
          <w:rFonts w:ascii="Times New Roman" w:hAnsi="Times New Roman"/>
          <w:sz w:val="20"/>
        </w:rPr>
        <w:t xml:space="preserve">. Notwithstanding any other provision in this Indenture and any provision of any Security, the right of any Holder of any Security to receive payment of the principal of and interest on such Security on or after the respective due dates expressed in such Security in accordance with the terms hereof and thereof, or to institute suit for the enforcement of any such payment on or after such respective dates, shall not be impaired or affected without the consent of such Holder; it being understood and intended, and being expressly covenanted by the Holder of every Security of a particular series with every other Holder of Securities of such Series and the Trustee, that no one or more Holders of Securities of any series shall have any right in any manner whatever by virtue or by availing of any provision of this Indenture to affect, disturb or prejudice the rights of any other such Holder of Securities of such series, or to obtain or seek to obtain priority over or preference to any other such Holder of Securities of such series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i/>
          <w:sz w:val="20"/>
        </w:rPr>
        <w:t>Powers and Remedies Cumulative; Delay or Omission Not</w:t>
      </w:r>
      <w:r>
        <w:rPr>
          <w:rFonts w:ascii="Times New Roman" w:hAnsi="Times New Roman"/>
          <w:sz w:val="20"/>
        </w:rPr>
        <w:t xml:space="preserve"> </w:t>
      </w:r>
      <w:r>
        <w:rPr>
          <w:rFonts w:ascii="Times New Roman" w:hAnsi="Times New Roman"/>
          <w:i/>
          <w:sz w:val="20"/>
        </w:rPr>
        <w:t>Waiver of Default</w:t>
      </w:r>
      <w:r>
        <w:rPr>
          <w:rFonts w:ascii="Times New Roman" w:hAnsi="Times New Roman"/>
          <w:sz w:val="20"/>
        </w:rPr>
        <w:t xml:space="preserve">. Except as provided in Section 5.06,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 Indenture or by law to the Trustee or to the Holders of Securities may be exercised from time to time, and as often as shall be deemed expedient, by the Trustee or by the Holders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5.09 </w:t>
      </w:r>
      <w:r>
        <w:rPr>
          <w:rFonts w:ascii="Times New Roman" w:hAnsi="Times New Roman"/>
          <w:i/>
          <w:sz w:val="20"/>
        </w:rPr>
        <w:t>Control by Holders of Securities</w:t>
      </w:r>
      <w:r>
        <w:rPr>
          <w:rFonts w:ascii="Times New Roman" w:hAnsi="Times New Roman"/>
          <w:sz w:val="20"/>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Times New Roman" w:hAnsi="Times New Roman"/>
          <w:i/>
          <w:sz w:val="20"/>
        </w:rPr>
        <w:t>provided</w:t>
      </w:r>
      <w:r>
        <w:rPr>
          <w:rFonts w:ascii="Times New Roman" w:hAnsi="Times New Roman"/>
          <w:sz w:val="20"/>
        </w:rPr>
        <w:t xml:space="preserve">, that such direction shall not be otherwise than in accordance with law and the 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shall impair the right of the Trustee in its discretion to take any action deemed proper by the Trustee and which is not inconsistent with such direction or directions by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i/>
          <w:sz w:val="20"/>
        </w:rPr>
        <w:t>Waiver of Past Defaults</w:t>
      </w:r>
      <w:r>
        <w:rPr>
          <w:rFonts w:ascii="Times New Roman" w:hAnsi="Times New Roman"/>
          <w:sz w:val="20"/>
        </w:rPr>
        <w:t xml:space="preserve">. The Holders of a majority in aggregate principal amount of the Securities of any series at the time Outstanding, by notice to the Trustee, may on behalf of the Holders of all the Securities of such series waive any existing default in the performance of any of the covenants contained herein or established pursuant to Section 2.03 with respect to such series and its consequences, except an uncured default in the payment of the principal of, or interest on, any of the Securities of that series as and when the same shall become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due by the terms of such Securities; and may rescind an acceleration and its consequences, including any related payment default that resulted from such acceleration. In the case of any such waiver, the Issuer, the Trustee and the Holders of the Securities of such series shall be restored to their former positions and rights hereunder, respectively,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i/>
          <w:sz w:val="20"/>
        </w:rPr>
        <w:t>Trustee to Give Notice of Default</w:t>
      </w:r>
      <w:r>
        <w:rPr>
          <w:rFonts w:ascii="Times New Roman" w:hAnsi="Times New Roman"/>
          <w:sz w:val="20"/>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Sections 4.03 and 11.04, unless in each case such defaults shall have been cured before the giving of such notice (the term “</w:t>
      </w:r>
      <w:r>
        <w:rPr>
          <w:rFonts w:ascii="Times New Roman" w:hAnsi="Times New Roman"/>
          <w:b/>
          <w:sz w:val="20"/>
        </w:rPr>
        <w:t>defaults</w:t>
      </w:r>
      <w:r>
        <w:rPr>
          <w:rFonts w:ascii="Times New Roman" w:hAnsi="Times New Roman"/>
          <w:sz w:val="20"/>
        </w:rPr>
        <w:t xml:space="preserve">” for the purpose of this Section being hereby defined to mean any event or condition which is, or with notice or lapse of time or both would become, an Event of Default); </w:t>
      </w:r>
      <w:r>
        <w:rPr>
          <w:rFonts w:ascii="Times New Roman" w:hAnsi="Times New Roman"/>
          <w:i/>
          <w:sz w:val="20"/>
        </w:rPr>
        <w:t>provided</w:t>
      </w:r>
      <w:r>
        <w:rPr>
          <w:rFonts w:ascii="Times New Roman" w:hAnsi="Times New Roman"/>
          <w:sz w:val="20"/>
        </w:rPr>
        <w:t xml:space="preserve">,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i/>
          <w:sz w:val="20"/>
        </w:rPr>
        <w:t>Right of Court to Require Filing of Undertaking to Pay</w:t>
      </w:r>
      <w:r>
        <w:rPr>
          <w:rFonts w:ascii="Times New Roman" w:hAnsi="Times New Roman"/>
          <w:sz w:val="20"/>
        </w:rPr>
        <w:t xml:space="preserve"> </w:t>
      </w:r>
      <w:r>
        <w:rPr>
          <w:rFonts w:ascii="Times New Roman" w:hAnsi="Times New Roman"/>
          <w:i/>
          <w:sz w:val="20"/>
        </w:rPr>
        <w:t>Costs</w:t>
      </w:r>
      <w:r>
        <w:rPr>
          <w:rFonts w:ascii="Times New Roman" w:hAnsi="Times New Roman"/>
          <w:sz w:val="20"/>
        </w:rPr>
        <w:t xml:space="preserve">.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any Securityholder for the enforcement of the payment of the principal of or interest on any Security of such series, on or after the respective due dates expressed in such Security or established pursuant to this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6 </w:t>
      </w:r>
    </w:p>
    <w:p>
      <w:pPr>
        <w:pStyle w:val="TextBody"/>
        <w:bidi w:val="0"/>
        <w:spacing w:before="0" w:after="0"/>
        <w:jc w:val="center"/>
        <w:rPr>
          <w:rFonts w:ascii="Times New Roman" w:hAnsi="Times New Roman"/>
          <w:sz w:val="20"/>
        </w:rPr>
      </w:pPr>
      <w:r>
        <w:rPr>
          <w:rFonts w:ascii="Times New Roman" w:hAnsi="Times New Roman"/>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i/>
          <w:sz w:val="20"/>
        </w:rPr>
        <w:t>Duties and Responsibilities of the Trustee; During Default;</w:t>
      </w:r>
      <w:r>
        <w:rPr>
          <w:rFonts w:ascii="Times New Roman" w:hAnsi="Times New Roman"/>
          <w:sz w:val="20"/>
        </w:rPr>
        <w:t xml:space="preserve"> </w:t>
      </w:r>
      <w:r>
        <w:rPr>
          <w:rFonts w:ascii="Times New Roman" w:hAnsi="Times New Roman"/>
          <w:i/>
          <w:sz w:val="20"/>
        </w:rPr>
        <w:t>Prior to Default</w:t>
      </w:r>
      <w:r>
        <w:rPr>
          <w:rFonts w:ascii="Times New Roman" w:hAnsi="Times New Roman"/>
          <w:sz w:val="20"/>
        </w:rPr>
        <w:t xml:space="preserve">.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(and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 </w:t>
      </w:r>
    </w:p>
    <w:p>
      <w:pPr>
        <w:pStyle w:val="TextBody"/>
        <w:bidi w:val="0"/>
        <w:spacing w:before="240" w:after="0"/>
        <w:jc w:val="left"/>
        <w:rPr>
          <w:rFonts w:ascii="Times New Roman" w:hAnsi="Times New Roman"/>
          <w:sz w:val="20"/>
        </w:rPr>
      </w:pPr>
      <w:r>
        <w:rPr>
          <w:rFonts w:ascii="Times New Roman" w:hAnsi="Times New Roman"/>
          <w:sz w:val="20"/>
        </w:rPr>
        <w:t xml:space="preserve">No provision of this Indenture shall be construed to relieve the Trustee from liability for its own negligent action, its own negligent failure to act or its own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i/>
          <w:sz w:val="20"/>
        </w:rPr>
        <w:t xml:space="preserve">Certain Rights of the Trustee. </w:t>
      </w:r>
      <w:r>
        <w:rPr>
          <w:rFonts w:ascii="Times New Roman" w:hAnsi="Times New Roman"/>
          <w:sz w:val="20"/>
        </w:rPr>
        <w:t xml:space="preserve">In furtherance of and subject to the Trust Indenture Act of 1939 and subject to Section 6.01: </w:t>
      </w:r>
    </w:p>
    <w:p>
      <w:pPr>
        <w:pStyle w:val="TextBody"/>
        <w:bidi w:val="0"/>
        <w:spacing w:before="120" w:after="0"/>
        <w:jc w:val="left"/>
        <w:rPr>
          <w:rFonts w:ascii="Times New Roman" w:hAnsi="Times New Roman"/>
          <w:sz w:val="20"/>
        </w:rPr>
      </w:pPr>
      <w:r>
        <w:rPr>
          <w:rFonts w:ascii="Times New Roman" w:hAnsi="Times New Roman"/>
          <w:sz w:val="20"/>
        </w:rPr>
        <w:t xml:space="preserve">(a) 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Trustee shall not be liable for any error of judgment made in good faith by a Responsible Officer or Responsible Officers of the Trustee, unless it shall be proved that the Trustee was negligent in ascertaining the pertinent facts; </w:t>
      </w:r>
    </w:p>
    <w:p>
      <w:pPr>
        <w:pStyle w:val="TextBody"/>
        <w:bidi w:val="0"/>
        <w:spacing w:before="240" w:after="0"/>
        <w:jc w:val="left"/>
        <w:rPr>
          <w:rFonts w:ascii="Times New Roman" w:hAnsi="Times New Roman"/>
          <w:sz w:val="20"/>
        </w:rPr>
      </w:pPr>
      <w:r>
        <w:rPr>
          <w:rFonts w:ascii="Times New Roman" w:hAnsi="Times New Roman"/>
          <w:sz w:val="20"/>
        </w:rPr>
        <w:t xml:space="preserve">(c) 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(e) 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(f) 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 </w:t>
      </w:r>
    </w:p>
    <w:p>
      <w:pPr>
        <w:pStyle w:val="TextBody"/>
        <w:bidi w:val="0"/>
        <w:spacing w:before="240" w:after="0"/>
        <w:jc w:val="left"/>
        <w:rPr>
          <w:rFonts w:ascii="Times New Roman" w:hAnsi="Times New Roman"/>
          <w:sz w:val="20"/>
        </w:rPr>
      </w:pPr>
      <w:r>
        <w:rPr>
          <w:rFonts w:ascii="Times New Roman" w:hAnsi="Times New Roman"/>
          <w:sz w:val="20"/>
        </w:rPr>
        <w:t xml:space="preserve">(g) the Trustee may consult with counsel and any advice or Opinion of Counsel shall be full and complete authorization and protection in respect of any action taken, suffered or omitted to be taken by it hereunder in good faith and in accordance with such advice or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(h) 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might be incurred therein or thereby; </w:t>
      </w:r>
    </w:p>
    <w:p>
      <w:pPr>
        <w:pStyle w:val="TextBody"/>
        <w:bidi w:val="0"/>
        <w:spacing w:before="240" w:after="0"/>
        <w:jc w:val="left"/>
        <w:rPr>
          <w:rFonts w:ascii="Times New Roman" w:hAnsi="Times New Roman"/>
          <w:sz w:val="20"/>
        </w:rPr>
      </w:pPr>
      <w:r>
        <w:rPr>
          <w:rFonts w:ascii="Times New Roman" w:hAnsi="Times New Roman"/>
          <w:sz w:val="20"/>
        </w:rPr>
        <w:t xml:space="preserve">(i) the Trustee shall not be liable for any action taken or omitted by it in good faith and believed by it to be authorized or within the discretion,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(j) 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Times New Roman" w:hAnsi="Times New Roman"/>
          <w:i/>
          <w:sz w:val="20"/>
        </w:rPr>
        <w:t>provided</w:t>
      </w:r>
      <w:r>
        <w:rPr>
          <w:rFonts w:ascii="Times New Roman" w:hAnsi="Times New Roman"/>
          <w:sz w:val="20"/>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 </w:t>
      </w:r>
    </w:p>
    <w:p>
      <w:pPr>
        <w:pStyle w:val="TextBody"/>
        <w:bidi w:val="0"/>
        <w:spacing w:before="240" w:after="0"/>
        <w:jc w:val="left"/>
        <w:rPr>
          <w:rFonts w:ascii="Times New Roman" w:hAnsi="Times New Roman"/>
          <w:sz w:val="20"/>
        </w:rPr>
      </w:pPr>
      <w:r>
        <w:rPr>
          <w:rFonts w:ascii="Times New Roman" w:hAnsi="Times New Roman"/>
          <w:sz w:val="20"/>
        </w:rPr>
        <w:t xml:space="preserve">(k) 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i/>
          <w:sz w:val="20"/>
        </w:rPr>
        <w:t>Trustee Not Responsible for Recitals, Disposition of</w:t>
      </w:r>
      <w:r>
        <w:rPr>
          <w:rFonts w:ascii="Times New Roman" w:hAnsi="Times New Roman"/>
          <w:sz w:val="20"/>
        </w:rPr>
        <w:t xml:space="preserve"> </w:t>
      </w:r>
      <w:r>
        <w:rPr>
          <w:rFonts w:ascii="Times New Roman" w:hAnsi="Times New Roman"/>
          <w:i/>
          <w:sz w:val="20"/>
        </w:rPr>
        <w:t xml:space="preserve">Securities or Application of Proceeds Thereof. </w:t>
      </w:r>
      <w:r>
        <w:rPr>
          <w:rFonts w:ascii="Times New Roman" w:hAnsi="Times New Roman"/>
          <w:sz w:val="20"/>
        </w:rPr>
        <w:t xml:space="preserve">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6.04 </w:t>
      </w:r>
      <w:r>
        <w:rPr>
          <w:rFonts w:ascii="Times New Roman" w:hAnsi="Times New Roman"/>
          <w:i/>
          <w:sz w:val="20"/>
        </w:rPr>
        <w:t xml:space="preserve">Trustee and Agents May Hold Securities; Collections, Etc. </w:t>
      </w:r>
      <w:r>
        <w:rPr>
          <w:rFonts w:ascii="Times New Roman" w:hAnsi="Times New Roman"/>
          <w:sz w:val="20"/>
        </w:rPr>
        <w:t xml:space="preserve">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i/>
          <w:sz w:val="20"/>
        </w:rPr>
        <w:t xml:space="preserve">Moneys Held by Trustee. </w:t>
      </w:r>
      <w:r>
        <w:rPr>
          <w:rFonts w:ascii="Times New Roman" w:hAnsi="Times New Roman"/>
          <w:sz w:val="20"/>
        </w:rPr>
        <w:t xml:space="preserve">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i/>
          <w:sz w:val="20"/>
        </w:rPr>
        <w:t>Compensation and Indemnification of Trustee and Its Prior</w:t>
      </w:r>
      <w:r>
        <w:rPr>
          <w:rFonts w:ascii="Times New Roman" w:hAnsi="Times New Roman"/>
          <w:sz w:val="20"/>
        </w:rPr>
        <w:t xml:space="preserve"> </w:t>
      </w:r>
      <w:r>
        <w:rPr>
          <w:rFonts w:ascii="Times New Roman" w:hAnsi="Times New Roman"/>
          <w:i/>
          <w:sz w:val="20"/>
        </w:rPr>
        <w:t xml:space="preserve">Claim. </w:t>
      </w:r>
      <w:r>
        <w:rPr>
          <w:rFonts w:ascii="Times New Roman" w:hAnsi="Times New Roman"/>
          <w:sz w:val="20"/>
        </w:rPr>
        <w:t xml:space="preserve">The Issuer covenants and agrees to pay to the Trustee from time to time, and the Trustee shall be entitled to, such reasonable compensation (which shall not be limited by any provision of law in regard to the compensation of a trustee of an express trust) as the Issuer and the Trustee may from time to time agree in writing and, except as otherwise expressly provided herein,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i/>
          <w:sz w:val="20"/>
        </w:rPr>
        <w:t xml:space="preserve">Right of Trustee to Rely on Officer’s Certificate, Etc. </w:t>
      </w:r>
      <w:r>
        <w:rPr>
          <w:rFonts w:ascii="Times New Roman" w:hAnsi="Times New Roman"/>
          <w:sz w:val="20"/>
        </w:rPr>
        <w:t xml:space="preserve">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i/>
          <w:sz w:val="20"/>
        </w:rPr>
        <w:t xml:space="preserve">Disqualification; Conflicting Interests. </w:t>
      </w:r>
      <w:r>
        <w:rPr>
          <w:rFonts w:ascii="Times New Roman" w:hAnsi="Times New Roman"/>
          <w:sz w:val="20"/>
        </w:rPr>
        <w:t xml:space="preserve">If the Trustee has or shall acquire any “conflicting interest” within the meaning of Section 310(b) of the Trust Indenture Act, the Trustee and the Issuer shall in all respects comply with the provisions of Section 310(b)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i/>
          <w:sz w:val="20"/>
        </w:rPr>
        <w:t xml:space="preserve">Persons Eligible for Appointment as Trustee. </w:t>
      </w:r>
      <w:r>
        <w:rPr>
          <w:rFonts w:ascii="Times New Roman" w:hAnsi="Times New Roman"/>
          <w:sz w:val="20"/>
        </w:rPr>
        <w:t xml:space="preserve">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6.10 </w:t>
      </w:r>
      <w:r>
        <w:rPr>
          <w:rFonts w:ascii="Times New Roman" w:hAnsi="Times New Roman"/>
          <w:i/>
          <w:sz w:val="20"/>
        </w:rPr>
        <w:t>Resignation and Removal; Appointment of Successor</w:t>
      </w:r>
      <w:r>
        <w:rPr>
          <w:rFonts w:ascii="Times New Roman" w:hAnsi="Times New Roman"/>
          <w:sz w:val="20"/>
        </w:rPr>
        <w:t xml:space="preserve"> </w:t>
      </w:r>
      <w:r>
        <w:rPr>
          <w:rFonts w:ascii="Times New Roman" w:hAnsi="Times New Roman"/>
          <w:i/>
          <w:sz w:val="20"/>
        </w:rPr>
        <w:t xml:space="preserve">Trustee. </w:t>
      </w:r>
      <w:r>
        <w:rPr>
          <w:rFonts w:ascii="Times New Roman" w:hAnsi="Times New Roman"/>
          <w:sz w:val="20"/>
        </w:rPr>
        <w:t xml:space="preserve">(a) The Trustee, or any trustee or trustees hereafter appointed, may at any time resign with respect to one or more or all series of Securities by giving written notice of resignation to the Issuer and by delivering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delivery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on behalf of himself or herself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120" w:after="0"/>
        <w:jc w:val="left"/>
        <w:rPr>
          <w:rFonts w:ascii="Times New Roman" w:hAnsi="Times New Roman"/>
          <w:sz w:val="20"/>
        </w:rPr>
      </w:pPr>
      <w:r>
        <w:rPr>
          <w:rFonts w:ascii="Times New Roman" w:hAnsi="Times New Roman"/>
          <w:sz w:val="20"/>
        </w:rPr>
        <w:t xml:space="preserve">(b) In case at any time any of the following shall occur: </w:t>
      </w:r>
    </w:p>
    <w:p>
      <w:pPr>
        <w:pStyle w:val="TextBody"/>
        <w:bidi w:val="0"/>
        <w:spacing w:before="120" w:after="0"/>
        <w:jc w:val="left"/>
        <w:rPr>
          <w:rFonts w:ascii="Times New Roman" w:hAnsi="Times New Roman"/>
          <w:sz w:val="20"/>
        </w:rPr>
      </w:pPr>
      <w:r>
        <w:rPr>
          <w:rFonts w:ascii="Times New Roman" w:hAnsi="Times New Roman"/>
          <w:sz w:val="20"/>
        </w:rPr>
        <w:t xml:space="preserve">(i) 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cease to be eligible in accordance with the provisions of Section 310(a) of the Trust Indenture Act of 1939 and shall fail to resign after written request therefor by the Issuer or by any Securityholder; or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become incapable of acting with respect to any series of Securities, or shall be adjudged bankrupt or insolvent, or a receiver or liquidator of the Trustee or of its property shall be appointed,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(A)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(B) subject to Section 315(e) of the Trust Indenture Act of 1939, any Securityholder who has been a bona fide Holder of a Security or Securities of such series for at least six months may on behalf of itself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(c) The Holders of a majority in aggregate principal amount of the Securities of each series at the time Outstanding may at any time remove the Trustee with respect to Securities of such series and, with the consent of the Issuer, appoint a successor trustee with respect to the Securities of such series by delivering to the Trustee so removed, to the successor trustee so appointed and to the Issuer the evidence provided for in Section 7.01 of the action in that regard taken by the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(d) 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i/>
          <w:sz w:val="20"/>
        </w:rPr>
        <w:t xml:space="preserve">Acceptance of Appointment by Successor Trustee. </w:t>
      </w:r>
      <w:r>
        <w:rPr>
          <w:rFonts w:ascii="Times New Roman" w:hAnsi="Times New Roman"/>
          <w:sz w:val="20"/>
        </w:rPr>
        <w:t xml:space="preserve">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 </w:t>
      </w:r>
    </w:p>
    <w:p>
      <w:pPr>
        <w:pStyle w:val="TextBody"/>
        <w:bidi w:val="0"/>
        <w:spacing w:before="240" w:after="0"/>
        <w:jc w:val="left"/>
        <w:rPr>
          <w:rFonts w:ascii="Times New Roman" w:hAnsi="Times New Roman"/>
          <w:sz w:val="20"/>
        </w:rPr>
      </w:pPr>
      <w:r>
        <w:rPr>
          <w:rFonts w:ascii="Times New Roman" w:hAnsi="Times New Roman"/>
          <w:sz w:val="20"/>
        </w:rPr>
        <w:t xml:space="preserve">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 </w:t>
      </w:r>
    </w:p>
    <w:p>
      <w:pPr>
        <w:pStyle w:val="TextBody"/>
        <w:bidi w:val="0"/>
        <w:spacing w:before="240" w:after="0"/>
        <w:jc w:val="left"/>
        <w:rPr>
          <w:rFonts w:ascii="Times New Roman" w:hAnsi="Times New Roman"/>
          <w:sz w:val="20"/>
        </w:rPr>
      </w:pPr>
      <w:r>
        <w:rPr>
          <w:rFonts w:ascii="Times New Roman" w:hAnsi="Times New Roman"/>
          <w:sz w:val="20"/>
        </w:rPr>
        <w:t xml:space="preserve">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 </w:t>
      </w:r>
    </w:p>
    <w:p>
      <w:pPr>
        <w:pStyle w:val="TextBody"/>
        <w:bidi w:val="0"/>
        <w:spacing w:before="240" w:after="0"/>
        <w:jc w:val="left"/>
        <w:rPr>
          <w:rFonts w:ascii="Times New Roman" w:hAnsi="Times New Roman"/>
          <w:sz w:val="20"/>
        </w:rPr>
      </w:pPr>
      <w:r>
        <w:rPr>
          <w:rFonts w:ascii="Times New Roman" w:hAnsi="Times New Roman"/>
          <w:sz w:val="20"/>
        </w:rPr>
        <w:t xml:space="preserve">Upon acceptance of appointment by any successor trustee as provided in this Section 6.11, the Issuer shall deliver notice thereof to the Holders of Securities of each series affected, by delivering such notice to such Holders at their addresses as they shall appear on the Security register. If the acceptance of appointment is substantially contemporaneous with the resignation, then the notice called for by the preceding sentence may be combined with the notice called for by Section 6.10. If the Issuer fails to deliver such notice within ten days after acceptance of appointment by the successor trustee, the successor trustee shall cause such notice to be given at the expense of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i/>
          <w:sz w:val="20"/>
        </w:rPr>
        <w:t>Merger, Conversion, Consolidation or Succession to</w:t>
      </w:r>
      <w:r>
        <w:rPr>
          <w:rFonts w:ascii="Times New Roman" w:hAnsi="Times New Roman"/>
          <w:sz w:val="20"/>
        </w:rPr>
        <w:t xml:space="preserve"> </w:t>
      </w:r>
      <w:r>
        <w:rPr>
          <w:rFonts w:ascii="Times New Roman" w:hAnsi="Times New Roman"/>
          <w:i/>
          <w:sz w:val="20"/>
        </w:rPr>
        <w:t xml:space="preserve">Business of Trustee. </w:t>
      </w:r>
      <w:r>
        <w:rPr>
          <w:rFonts w:ascii="Times New Roman" w:hAnsi="Times New Roman"/>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Times New Roman" w:hAnsi="Times New Roman"/>
          <w:i/>
          <w:sz w:val="20"/>
        </w:rPr>
        <w:t>provided</w:t>
      </w:r>
      <w:r>
        <w:rPr>
          <w:rFonts w:ascii="Times New Roman" w:hAnsi="Times New Roman"/>
          <w:sz w:val="20"/>
        </w:rPr>
        <w:t xml:space="preserve">, that such corporation shall be qualified under the provisions of Section 310(b) of the Trust Indenture Act of 1939 and eligible under the provisions of Section 310(a) of the Trust Indenture Act of 1939, without the execution or filing of any paper or any further act on the part of any of the parties hereto, anything herein to the contrary notwithstanding. </w:t>
      </w:r>
    </w:p>
    <w:p>
      <w:pPr>
        <w:pStyle w:val="TextBody"/>
        <w:bidi w:val="0"/>
        <w:spacing w:before="240" w:after="0"/>
        <w:jc w:val="left"/>
        <w:rPr>
          <w:rFonts w:ascii="Times New Roman" w:hAnsi="Times New Roman"/>
          <w:sz w:val="20"/>
        </w:rPr>
      </w:pPr>
      <w:r>
        <w:rPr>
          <w:rFonts w:ascii="Times New Roman" w:hAnsi="Times New Roman"/>
          <w:sz w:val="20"/>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Times New Roman" w:hAnsi="Times New Roman"/>
          <w:i/>
          <w:sz w:val="20"/>
        </w:rPr>
        <w:t>provided</w:t>
      </w:r>
      <w:r>
        <w:rPr>
          <w:rFonts w:ascii="Times New Roman" w:hAnsi="Times New Roman"/>
          <w:sz w:val="20"/>
        </w:rPr>
        <w:t xml:space="preserve">, that the right to adopt the certificate of authentication of any predecessor trustee or to authenticate Securities of any series in the name of any predecessor trustee shall apply only to its successor or successors by merger, conversion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i/>
          <w:sz w:val="20"/>
        </w:rPr>
        <w:t>Preferential Collection of Claims Against the Issuer</w:t>
      </w:r>
      <w:r>
        <w:rPr>
          <w:rFonts w:ascii="Times New Roman" w:hAnsi="Times New Roman"/>
          <w:sz w:val="20"/>
        </w:rPr>
        <w:t xml:space="preserve">. The Trustee shall comply with Section 311(a) of the Trust Indenture Act of 1939, excluding any creditor relationship described in Section 311(b) of the Trust Indenture Act of 1939. A Trustee who has resigned or been removed shall be subject to Section 311(a) of the Trust Indenture Act of 1939 to the extent included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7 </w:t>
      </w:r>
    </w:p>
    <w:p>
      <w:pPr>
        <w:pStyle w:val="TextBody"/>
        <w:bidi w:val="0"/>
        <w:spacing w:before="0" w:after="0"/>
        <w:jc w:val="center"/>
        <w:rPr>
          <w:rFonts w:ascii="Times New Roman" w:hAnsi="Times New Roman"/>
          <w:sz w:val="20"/>
        </w:rPr>
      </w:pPr>
      <w:r>
        <w:rPr>
          <w:rFonts w:ascii="Times New Roman" w:hAnsi="Times New Roman"/>
          <w:sz w:val="20"/>
        </w:rPr>
        <w:t xml:space="preserve">CONCERNING THE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i/>
          <w:sz w:val="20"/>
        </w:rPr>
        <w:t xml:space="preserve">Evidence of Action Taken by Securityholders. </w:t>
      </w:r>
      <w:r>
        <w:rPr>
          <w:rFonts w:ascii="Times New Roman" w:hAnsi="Times New Roman"/>
          <w:sz w:val="20"/>
        </w:rPr>
        <w:t xml:space="preserve">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i/>
          <w:sz w:val="20"/>
        </w:rPr>
        <w:t>Proof of Execution of Instruments and of Holding of</w:t>
      </w:r>
      <w:r>
        <w:rPr>
          <w:rFonts w:ascii="Times New Roman" w:hAnsi="Times New Roman"/>
          <w:sz w:val="20"/>
        </w:rPr>
        <w:t xml:space="preserve"> </w:t>
      </w:r>
      <w:r>
        <w:rPr>
          <w:rFonts w:ascii="Times New Roman" w:hAnsi="Times New Roman"/>
          <w:i/>
          <w:sz w:val="20"/>
        </w:rPr>
        <w:t xml:space="preserve">Securities. </w:t>
      </w:r>
      <w:r>
        <w:rPr>
          <w:rFonts w:ascii="Times New Roman" w:hAnsi="Times New Roman"/>
          <w:sz w:val="20"/>
        </w:rPr>
        <w:t xml:space="preserve">Subject to Sections 6.01 and 6.02, the execution of any instrument by a 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any series entitled to vote or consent to any action referred to in Section 7.01,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7.01 is made by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i/>
          <w:sz w:val="20"/>
        </w:rPr>
        <w:t xml:space="preserve">Holders to Be Treated as Owners. </w:t>
      </w:r>
      <w:r>
        <w:rPr>
          <w:rFonts w:ascii="Times New Roman" w:hAnsi="Times New Roman"/>
          <w:sz w:val="20"/>
        </w:rPr>
        <w:t xml:space="preserve">The Issuer, the Trustee and any agent of the Issuer or of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i/>
          <w:sz w:val="20"/>
        </w:rPr>
        <w:t xml:space="preserve">Securities Owned by Issuer Deemed Not Outstanding. </w:t>
      </w:r>
      <w:r>
        <w:rPr>
          <w:rFonts w:ascii="Times New Roman" w:hAnsi="Times New Roman"/>
          <w:sz w:val="20"/>
        </w:rPr>
        <w:t xml:space="preserve">In determining whether the Holders of the requisite aggregate principal amount of Outstanding Securities of any or all series have concurred in any direction, consent or waiver under this Indenture, Securities that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i/>
          <w:sz w:val="20"/>
        </w:rPr>
        <w:t xml:space="preserve">Right of Revocation of Action Taken. </w:t>
      </w:r>
      <w:r>
        <w:rPr>
          <w:rFonts w:ascii="Times New Roman" w:hAnsi="Times New Roman"/>
          <w:sz w:val="20"/>
        </w:rPr>
        <w:t xml:space="preserve">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 </w:t>
      </w:r>
    </w:p>
    <w:p>
      <w:pPr>
        <w:pStyle w:val="TextBody"/>
        <w:bidi w:val="0"/>
        <w:spacing w:before="480" w:after="0"/>
        <w:jc w:val="center"/>
        <w:rPr>
          <w:rFonts w:ascii="Times New Roman" w:hAnsi="Times New Roman"/>
          <w:sz w:val="20"/>
        </w:rPr>
      </w:pPr>
      <w:r>
        <w:rPr>
          <w:rFonts w:ascii="Times New Roman" w:hAnsi="Times New Roman"/>
          <w:sz w:val="20"/>
        </w:rPr>
        <w:t xml:space="preserve">ARTICLE 8 </w:t>
      </w:r>
    </w:p>
    <w:p>
      <w:pPr>
        <w:pStyle w:val="TextBody"/>
        <w:bidi w:val="0"/>
        <w:spacing w:before="0" w:after="0"/>
        <w:jc w:val="center"/>
        <w:rPr>
          <w:rFonts w:ascii="Times New Roman" w:hAnsi="Times New Roman"/>
          <w:sz w:val="20"/>
        </w:rPr>
      </w:pPr>
      <w:r>
        <w:rPr>
          <w:rFonts w:ascii="Times New Roman" w:hAnsi="Times New Roman"/>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i/>
          <w:sz w:val="20"/>
        </w:rPr>
        <w:t>Supplemental Indentures Without Consent of</w:t>
      </w:r>
      <w:r>
        <w:rPr>
          <w:rFonts w:ascii="Times New Roman" w:hAnsi="Times New Roman"/>
          <w:sz w:val="20"/>
        </w:rPr>
        <w:t xml:space="preserve"> </w:t>
      </w:r>
      <w:r>
        <w:rPr>
          <w:rFonts w:ascii="Times New Roman" w:hAnsi="Times New Roman"/>
          <w:i/>
          <w:sz w:val="20"/>
        </w:rPr>
        <w:t xml:space="preserve">Securityholders. </w:t>
      </w:r>
      <w:r>
        <w:rPr>
          <w:rFonts w:ascii="Times New Roman" w:hAnsi="Times New Roman"/>
          <w:sz w:val="20"/>
        </w:rPr>
        <w:t xml:space="preserve">The Issuer, when authorized by a resolution of its Board of Directors and the Trustee may from time to time and at any time, without the consent of any of the Securityholders, enter into an indenture or indentures supplemental hereto in form satisfactory to the Trustee for one or more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convey, transfer, assign, mortgage or pledge to the Trustee as security for the Securities of one or more series any property or assets; </w:t>
      </w:r>
    </w:p>
    <w:p>
      <w:pPr>
        <w:pStyle w:val="TextBody"/>
        <w:bidi w:val="0"/>
        <w:spacing w:before="240" w:after="0"/>
        <w:jc w:val="left"/>
        <w:rPr>
          <w:rFonts w:ascii="Times New Roman" w:hAnsi="Times New Roman"/>
          <w:sz w:val="20"/>
        </w:rPr>
      </w:pPr>
      <w:r>
        <w:rPr>
          <w:rFonts w:ascii="Times New Roman" w:hAnsi="Times New Roman"/>
          <w:sz w:val="20"/>
        </w:rPr>
        <w:t xml:space="preserve">(b) to evidence the succession of another Person to the Issuer, or successive successions, and the assumption by such successor of the covenants, agreements and obligations of the Issuer pursuant to, or to otherwise comply with, Article 9; </w:t>
      </w:r>
    </w:p>
    <w:p>
      <w:pPr>
        <w:pStyle w:val="TextBody"/>
        <w:bidi w:val="0"/>
        <w:spacing w:before="240" w:after="0"/>
        <w:jc w:val="left"/>
        <w:rPr>
          <w:rFonts w:ascii="Times New Roman" w:hAnsi="Times New Roman"/>
          <w:sz w:val="20"/>
        </w:rPr>
      </w:pPr>
      <w:r>
        <w:rPr>
          <w:rFonts w:ascii="Times New Roman" w:hAnsi="Times New Roman"/>
          <w:sz w:val="20"/>
        </w:rPr>
        <w:t xml:space="preserve">(c) to comply with the requirements of the Commission in order to effect or maintain the qualification of this Indenture under the Trust Indenture Act of 1939, as amended; </w:t>
      </w:r>
    </w:p>
    <w:p>
      <w:pPr>
        <w:pStyle w:val="TextBody"/>
        <w:bidi w:val="0"/>
        <w:spacing w:before="240" w:after="0"/>
        <w:jc w:val="left"/>
        <w:rPr>
          <w:rFonts w:ascii="Times New Roman" w:hAnsi="Times New Roman"/>
          <w:sz w:val="20"/>
        </w:rPr>
      </w:pPr>
      <w:r>
        <w:rPr>
          <w:rFonts w:ascii="Times New Roman" w:hAnsi="Times New Roman"/>
          <w:sz w:val="20"/>
        </w:rPr>
        <w:t xml:space="preserve">(d) 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Times New Roman" w:hAnsi="Times New Roman"/>
          <w:i/>
          <w:sz w:val="20"/>
        </w:rPr>
        <w:t>provided</w:t>
      </w:r>
      <w:r>
        <w:rPr>
          <w:rFonts w:ascii="Times New Roman" w:hAnsi="Times New Roman"/>
          <w:sz w:val="20"/>
        </w:rPr>
        <w:t xml:space="preserve">,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(e) to cure any ambiguity, defect or inconsistency, or to conform this Indenture or any supplemental indenture to the description of the Securities set forth in any prospectus, prospectus supplement or offering memorandum related to such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(f) to provide for or add guarantors for the Securities of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(g) to establish the form or terms of Securities of any series as permitted by Sections 2.01 and 2.03; </w:t>
      </w:r>
    </w:p>
    <w:p>
      <w:pPr>
        <w:pStyle w:val="TextBody"/>
        <w:bidi w:val="0"/>
        <w:spacing w:before="240" w:after="0"/>
        <w:jc w:val="left"/>
        <w:rPr>
          <w:rFonts w:ascii="Times New Roman" w:hAnsi="Times New Roman"/>
          <w:sz w:val="20"/>
        </w:rPr>
      </w:pPr>
      <w:r>
        <w:rPr>
          <w:rFonts w:ascii="Times New Roman" w:hAnsi="Times New Roman"/>
          <w:sz w:val="20"/>
        </w:rPr>
        <w:t xml:space="preserve">(h)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w:t>
      </w:r>
    </w:p>
    <w:p>
      <w:pPr>
        <w:pStyle w:val="TextBody"/>
        <w:bidi w:val="0"/>
        <w:spacing w:before="240" w:after="0"/>
        <w:jc w:val="left"/>
        <w:rPr>
          <w:rFonts w:ascii="Times New Roman" w:hAnsi="Times New Roman"/>
          <w:sz w:val="20"/>
        </w:rPr>
      </w:pPr>
      <w:r>
        <w:rPr>
          <w:rFonts w:ascii="Times New Roman" w:hAnsi="Times New Roman"/>
          <w:sz w:val="20"/>
        </w:rPr>
        <w:t xml:space="preserve">(i) to add to, change or eliminate any of the provisions of this Indenture in respect of one or more series of Securities; provided that any such addition, change or elimination shall (A) not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Security described in clause (A)(i)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to make any change to the Securities of any series so long as no Securities of such series are Outstanding; and </w:t>
      </w:r>
    </w:p>
    <w:p>
      <w:pPr>
        <w:pStyle w:val="TextBody"/>
        <w:bidi w:val="0"/>
        <w:spacing w:before="240" w:after="0"/>
        <w:jc w:val="left"/>
        <w:rPr>
          <w:rFonts w:ascii="Times New Roman" w:hAnsi="Times New Roman"/>
          <w:sz w:val="20"/>
        </w:rPr>
      </w:pPr>
      <w:r>
        <w:rPr>
          <w:rFonts w:ascii="Times New Roman" w:hAnsi="Times New Roman"/>
          <w:sz w:val="20"/>
        </w:rPr>
        <w:t xml:space="preserve">(k) to make any other change that does not adversely affect the interests of the Holders of the Securities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authorized by the provisions of this Section may be executed without the consent of the Holders of any of the Securities at the time Outstanding, notwithstanding any of the provisions of Section 8.02.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i/>
          <w:sz w:val="20"/>
        </w:rPr>
        <w:t xml:space="preserve">Supplemental Indentures With Consent of Securityholders. </w:t>
      </w:r>
      <w:r>
        <w:rPr>
          <w:rFonts w:ascii="Times New Roman" w:hAnsi="Times New Roman"/>
          <w:sz w:val="20"/>
        </w:rPr>
        <w:t xml:space="preserve">With the consent (evidenced as provided in Article 7) of the Holders of not less than a majority in aggregate principal amount of the Securities at the time Outstanding of one or more series affected by such supplemental indenture (voting as separate series), the Issuer, when authorized by a resolution of the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consenting series; </w:t>
      </w:r>
      <w:r>
        <w:rPr>
          <w:rFonts w:ascii="Times New Roman" w:hAnsi="Times New Roman"/>
          <w:i/>
          <w:sz w:val="20"/>
        </w:rPr>
        <w:t>provided</w:t>
      </w:r>
      <w:r>
        <w:rPr>
          <w:rFonts w:ascii="Times New Roman" w:hAnsi="Times New Roman"/>
          <w:sz w:val="20"/>
        </w:rPr>
        <w:t xml:space="preserve">,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(b) waive a continuing default in the payment of principal of any Security or interest thereon, other than any such default in payment that resulted solely from such acceleration, or change a provision related to the waiver of past defaults or impair the right of any Securityholder to institute suit for the enforcement of any such payment on or after the Stated Maturity or the date of redemption or conversion of any Security or, if the Securities provide therefor, any right of repayment at the option of the Securityholder, or (c) modify any of the provisions of this section except to increase any required percentage or to provide that certain other provisions cannot be modified or waived without the consent of the Holder of each Security so affected, or (d) make any change that adversely affects the right to convert or exchange any Security into or for Common Stock or other securities, cash or other property in accordance with the terms of such Security or (e) reduce the aforesaid percentage of Securities of any series, the consent of the Holders of which is required for any such supplemental indenture or the consent of Holders of which is required for any modification, amendment or waiver of compliance with certain provisions of this Indenture or certain defaults hereunder and their consequences provided for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 supplemental indenture which changes or eliminates any covenant, Event of Default or other provision of this Indenture (1) that has been expressly included solely for the benefit of one or more particular series of Securities, if any, or (2) which modifies the rights of Holders of Securities of one or more series with respect to any covenant, Event of Default or provision, shall be deemed not to affect the rights under this Indenture of the Holders of Securities of any other series with respect to which such covenant, Event of Default or other provision has not been included or so modified.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Issuer, accompanied by a Board Resolution authorizing the execution of any such supplemental indenture, and upon the filing with the Trustee of evidence of the consent of Securityholders as aforesaid and other documents, if any, required by Section 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shall not be necessary for the consent of the Securityholders under this Section to approve the particular form of any proposed supplemental indenture, but it shall be sufficient if such consent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execution by the Issuer and the Trustee of any supplemental indenture pursuant to the provisions of this Section, the Trustee shall give a notice thereof to the Holders of then Outstanding Securities of each series affected thereby, by delivering a notice thereof, and in each case such notice shall set forth in general terms the substance of such supplemental indenture. Any failure of the Trustee to deliver such notice, or any defect therein, shall not, however, in any way impair or affect the validity of any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i/>
          <w:sz w:val="20"/>
        </w:rPr>
        <w:t xml:space="preserve">Effect of Supplemental Indenture. </w:t>
      </w:r>
      <w:r>
        <w:rPr>
          <w:rFonts w:ascii="Times New Roman" w:hAnsi="Times New Roman"/>
          <w:sz w:val="20"/>
        </w:rPr>
        <w:t xml:space="preserve">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i/>
          <w:sz w:val="20"/>
        </w:rPr>
        <w:t xml:space="preserve">Documents to Be Given to Trustee. </w:t>
      </w:r>
      <w:r>
        <w:rPr>
          <w:rFonts w:ascii="Times New Roman" w:hAnsi="Times New Roman"/>
          <w:sz w:val="20"/>
        </w:rPr>
        <w:t xml:space="preserve">The Trustee, subject to the provisions of Sections 6.01 and 6.02, may receive an Officer’s Certificate and an Opinion of Counsel as conclusive evidence that any supplemental indenture executed pursuant to this Article 8 complies with the applicable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i/>
          <w:sz w:val="20"/>
        </w:rPr>
        <w:t>Notation on Securities in Respect of Supplemental</w:t>
      </w:r>
      <w:r>
        <w:rPr>
          <w:rFonts w:ascii="Times New Roman" w:hAnsi="Times New Roman"/>
          <w:sz w:val="20"/>
        </w:rPr>
        <w:t xml:space="preserve"> </w:t>
      </w:r>
      <w:r>
        <w:rPr>
          <w:rFonts w:ascii="Times New Roman" w:hAnsi="Times New Roman"/>
          <w:i/>
          <w:sz w:val="20"/>
        </w:rPr>
        <w:t xml:space="preserve">Indentures. </w:t>
      </w:r>
      <w:r>
        <w:rPr>
          <w:rFonts w:ascii="Times New Roman" w:hAnsi="Times New Roman"/>
          <w:sz w:val="20"/>
        </w:rPr>
        <w:t xml:space="preserve">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 </w:t>
      </w:r>
    </w:p>
    <w:p>
      <w:pPr>
        <w:pStyle w:val="TextBody"/>
        <w:bidi w:val="0"/>
        <w:spacing w:before="480" w:after="0"/>
        <w:jc w:val="center"/>
        <w:rPr>
          <w:rFonts w:ascii="Times New Roman" w:hAnsi="Times New Roman"/>
          <w:sz w:val="20"/>
        </w:rPr>
      </w:pPr>
      <w:r>
        <w:rPr>
          <w:rFonts w:ascii="Times New Roman" w:hAnsi="Times New Roman"/>
          <w:sz w:val="20"/>
        </w:rPr>
        <w:t xml:space="preserve">ARTICLE 9 </w:t>
      </w:r>
    </w:p>
    <w:p>
      <w:pPr>
        <w:pStyle w:val="TextBody"/>
        <w:bidi w:val="0"/>
        <w:spacing w:before="0" w:after="0"/>
        <w:jc w:val="center"/>
        <w:rPr>
          <w:rFonts w:ascii="Times New Roman" w:hAnsi="Times New Roman"/>
          <w:sz w:val="20"/>
        </w:rPr>
      </w:pPr>
      <w:r>
        <w:rPr>
          <w:rFonts w:ascii="Times New Roman" w:hAnsi="Times New Roman"/>
          <w:sz w:val="20"/>
        </w:rPr>
        <w:t xml:space="preserve">CONSOLIDATION, MERGER, SALE OR CONVEYANCE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i/>
          <w:sz w:val="20"/>
        </w:rPr>
        <w:t xml:space="preserve">Issuer May Consolidate, Etc., on Certain Terms. </w:t>
      </w:r>
      <w:r>
        <w:rPr>
          <w:rFonts w:ascii="Times New Roman" w:hAnsi="Times New Roman"/>
          <w:sz w:val="20"/>
        </w:rPr>
        <w:t xml:space="preserve">The Issuer shall not consolidate with or merge into any other Person (in a transaction in which the Issuer is not the surviving corporation) or convey, transfer or lease its properties and assets substantially as an entirety to any Person, unless (a) the Person formed by such consolidation or into which the Issuer is merged or the Person which acquires by conveyance or transfer, or which leases, the properties and assets of the Issuer substantially as an entirety (i) shall be a corporation, limited liability company, partnership or trust, (ii) shall be organized and validly existing under the laws of the United States of America, any State thereof or the District of Columbia and (iii) shall expressly assume, by an indenture supplemental hereto, executed and delivered to the Trustee, in form satisfactory to the Trustee, the due and punctual payment of the principal, interest on and any Additional Amounts with respect to all the Securities and the performance or observance of every covenant of this Indenture on the part of the Issuer to be performed, by supplemental indenture satisfactory in form to the Trustee, executed and delivered to the Trustee, by the Person formed by such consolidation or into which the Issuer shall have been merged or by the Person which shall have acquired the Issuer’s assets; (b) immediately after giving effect to such transaction, no Event of Default, and no event which, after notice or lapse of time or both, would become an Event of Default, shall have happened and be continuing; and (c) the Issuer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in this Section 9.01 shall not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9.02 </w:t>
      </w:r>
      <w:r>
        <w:rPr>
          <w:rFonts w:ascii="Times New Roman" w:hAnsi="Times New Roman"/>
          <w:i/>
          <w:sz w:val="20"/>
        </w:rPr>
        <w:t xml:space="preserve">Successor Issuer Substituted. </w:t>
      </w:r>
      <w:r>
        <w:rPr>
          <w:rFonts w:ascii="Times New Roman" w:hAnsi="Times New Roman"/>
          <w:sz w:val="20"/>
        </w:rPr>
        <w:t xml:space="preserve">Upon any consolidation of the Issuer with, or merger of the Issuer into, any other Person or any conveyance, transfer or lease of the properties and assets of the Issuer substantially as an entirety in accordance with Section 9.01,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such consolidation, merger, sale, lease or conveyance, such changes in phraseology and form (but not in substance) may be made in the Securities thereafter to be issued as may be appropriate. </w:t>
      </w:r>
    </w:p>
    <w:p>
      <w:pPr>
        <w:pStyle w:val="TextBody"/>
        <w:bidi w:val="0"/>
        <w:spacing w:before="480" w:after="0"/>
        <w:jc w:val="center"/>
        <w:rPr>
          <w:rFonts w:ascii="Times New Roman" w:hAnsi="Times New Roman"/>
          <w:sz w:val="20"/>
        </w:rPr>
      </w:pPr>
      <w:r>
        <w:rPr>
          <w:rFonts w:ascii="Times New Roman" w:hAnsi="Times New Roman"/>
          <w:sz w:val="20"/>
        </w:rPr>
        <w:t xml:space="preserve">ARTICLE 10 </w:t>
      </w:r>
    </w:p>
    <w:p>
      <w:pPr>
        <w:pStyle w:val="TextBody"/>
        <w:bidi w:val="0"/>
        <w:spacing w:before="0" w:after="0"/>
        <w:jc w:val="center"/>
        <w:rPr>
          <w:rFonts w:ascii="Times New Roman" w:hAnsi="Times New Roman"/>
          <w:sz w:val="20"/>
        </w:rPr>
      </w:pPr>
      <w:r>
        <w:rPr>
          <w:rFonts w:ascii="Times New Roman" w:hAnsi="Times New Roman"/>
          <w:sz w:val="20"/>
        </w:rPr>
        <w:t xml:space="preserve">SATISFACTION AND DISCHARGE OF INDENTURE; DEFEASANCE; </w:t>
      </w:r>
    </w:p>
    <w:p>
      <w:pPr>
        <w:pStyle w:val="TextBody"/>
        <w:bidi w:val="0"/>
        <w:spacing w:before="0" w:after="0"/>
        <w:jc w:val="center"/>
        <w:rPr>
          <w:rFonts w:ascii="Times New Roman" w:hAnsi="Times New Roman"/>
          <w:sz w:val="20"/>
        </w:rPr>
      </w:pPr>
      <w:r>
        <w:rPr>
          <w:rFonts w:ascii="Times New Roman" w:hAnsi="Times New Roman"/>
          <w:sz w:val="20"/>
        </w:rPr>
        <w:t xml:space="preserve">UNCLAIMED MONEYS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i/>
          <w:sz w:val="20"/>
        </w:rPr>
        <w:t>Satisfaction and Discharge of Indenture; Defeasance.</w:t>
      </w:r>
      <w:r>
        <w:rPr>
          <w:rFonts w:ascii="Times New Roman" w:hAnsi="Times New Roman"/>
          <w:sz w:val="20"/>
        </w:rPr>
        <w:t xml:space="preserve"> (a) If at any time </w:t>
      </w:r>
    </w:p>
    <w:p>
      <w:pPr>
        <w:pStyle w:val="TextBody"/>
        <w:bidi w:val="0"/>
        <w:spacing w:before="120" w:after="0"/>
        <w:jc w:val="left"/>
        <w:rPr>
          <w:rFonts w:ascii="Times New Roman" w:hAnsi="Times New Roman"/>
          <w:sz w:val="20"/>
        </w:rPr>
      </w:pPr>
      <w:r>
        <w:rPr>
          <w:rFonts w:ascii="Times New Roman" w:hAnsi="Times New Roman"/>
          <w:sz w:val="20"/>
        </w:rPr>
        <w:t xml:space="preserve">(i) the Issuer shall have paid or caused to be paid the principal of and interest on and any Additional Amounts with respect to all the Securities of any series Outstanding hereunder (other than Securities of such series which have been destroyed, lost or stolen and which have been replaced or paid as provided in Section 2.09) as and when the same shall have become due and payable, or </w:t>
      </w:r>
    </w:p>
    <w:p>
      <w:pPr>
        <w:pStyle w:val="TextBody"/>
        <w:bidi w:val="0"/>
        <w:spacing w:before="120" w:after="0"/>
        <w:jc w:val="left"/>
        <w:rPr>
          <w:rFonts w:ascii="Times New Roman" w:hAnsi="Times New Roman"/>
          <w:sz w:val="20"/>
        </w:rPr>
      </w:pPr>
      <w:r>
        <w:rPr>
          <w:rFonts w:ascii="Times New Roman" w:hAnsi="Times New Roman"/>
          <w:sz w:val="20"/>
        </w:rPr>
        <w:t xml:space="preserve">(ii) the Issuer shall have delivered to the Trustee for cancellation all Securities of any series theretofore authenticated (other than any Securities of such series which shall have been destroyed, lost or stolen and which shall have been replaced or paid as provided in Section 2.09); or </w:t>
      </w:r>
    </w:p>
    <w:p>
      <w:pPr>
        <w:pStyle w:val="TextBody"/>
        <w:bidi w:val="0"/>
        <w:spacing w:before="120" w:after="0"/>
        <w:jc w:val="left"/>
        <w:rPr>
          <w:rFonts w:ascii="Times New Roman" w:hAnsi="Times New Roman"/>
          <w:sz w:val="20"/>
        </w:rPr>
      </w:pPr>
      <w:r>
        <w:rPr>
          <w:rFonts w:ascii="Times New Roman" w:hAnsi="Times New Roman"/>
          <w:sz w:val="20"/>
        </w:rPr>
        <w:t xml:space="preserve">(iii) in the case of any series of Securities the exact amount (including the currency of payment) of principal of and interest and Additional Amounts due on which on the dates referred to in clause (B) below can be determined at the time of making the deposit referred to in such clause, </w:t>
      </w:r>
    </w:p>
    <w:p>
      <w:pPr>
        <w:pStyle w:val="TextBody"/>
        <w:bidi w:val="0"/>
        <w:spacing w:before="120" w:after="0"/>
        <w:jc w:val="left"/>
        <w:rPr>
          <w:rFonts w:ascii="Times New Roman" w:hAnsi="Times New Roman"/>
          <w:sz w:val="20"/>
        </w:rPr>
      </w:pPr>
      <w:r>
        <w:rPr>
          <w:rFonts w:ascii="Times New Roman" w:hAnsi="Times New Roman"/>
          <w:sz w:val="20"/>
        </w:rPr>
        <w:t xml:space="preserve">(A) all the Securities of such series not theretofore delivered to the Trustee for cancellation shall have become due and payable, or are by their terms to become due and payable within one year or are to be called for redemption within one year in accordance with their terms under arrangements satisfactory to the Trustee for the giving of notice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(B) the Issuer shall have irrevocably deposited or caused to be deposited with the Trustee as trust funds the entire amount (i) in the case of any series of Securities the payments on which may only be made in Dollars, in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in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if, in a case described in Section 10.01(a)(iii)(B),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 (1) rights of registration of transfer, conversion and exchange of Securities of such series and the Issuer’s right of optional redemption, (2) substitution of mutilated, defaced, destroyed, lost or stolen Securities, (3) rights of Holders of Securities to receive, solely from the trust fund described in Section 10.01(a)(iii)(B), payments of principal thereof and interest thereon, upon the original stated due dates therefor (but not upon acceleration) and remaining rights of the Holders to receive, solely from the trust fund described in Section 10.01(a)(iii)(B), sinking fund payments, if any, (4) the rights (including the Trustee’s rights under Section 10.05) and immunities of the Trustee hereunder and the Trustee’s obligations under Sections 10.02 and 10.04 and (5) the obligations of the Issuer under Section 3.02), and the Trustee, on demand of the Issuer accompanied by an Officer’s Certificate and an Opinion of Counsel which complies with Section 11.05 and at the cost and expense of the Issuer, shall execute proper instruments acknowledging such satisfaction of and discharging this Indenture with respect to such series.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 </w:t>
      </w:r>
    </w:p>
    <w:p>
      <w:pPr>
        <w:pStyle w:val="TextBody"/>
        <w:bidi w:val="0"/>
        <w:spacing w:before="240" w:after="0"/>
        <w:jc w:val="left"/>
        <w:rPr>
          <w:rFonts w:ascii="Times New Roman" w:hAnsi="Times New Roman"/>
          <w:sz w:val="20"/>
        </w:rPr>
      </w:pPr>
      <w:r>
        <w:rPr>
          <w:rFonts w:ascii="Times New Roman" w:hAnsi="Times New Roman"/>
          <w:sz w:val="20"/>
        </w:rPr>
        <w:t>(b) The following subsection shall apply to the Securities of each series unless specifically otherwise provided in a Board Resolution, Officer’s Certificate or indenture supplemental hereto pursuant to Section 2.03. In addition to the right to discharge of the Indenture pursuant to subsection (a) above, the Issuer, at its option and at any time, by written notice by an officer delivered to the Trustee, may elect to have all of its obligations with respect to all Outstanding Securities of a series discharged (“</w:t>
      </w:r>
      <w:r>
        <w:rPr>
          <w:rFonts w:ascii="Times New Roman" w:hAnsi="Times New Roman"/>
          <w:b/>
          <w:sz w:val="20"/>
        </w:rPr>
        <w:t>Legal Defeasance</w:t>
      </w:r>
      <w:r>
        <w:rPr>
          <w:rFonts w:ascii="Times New Roman" w:hAnsi="Times New Roman"/>
          <w:sz w:val="20"/>
        </w:rPr>
        <w:t xml:space="preserve">”), such discharge to be effective on the date that the conditions set forth in clauses (i) through (iv) and (vi) of Section 10.01(d) are satisfied, and thereafter the Issuer shall be deemed to have paid and discharged the entire Debt on all the Securities of such series, and satisfied all its other obligations under such Securities and this Indenture insofar as such Securities are concerned and this Indenture shall cease to be of further effect with respect to Securities of such series (except as to (1) rights of registration of transfer, conversion and exchange of Securities of such series, (2) substitution of apparently mutilated, defaced, destroyed, lost or stolen Securities, (3) rights of Holders of Securities to receive, solely from the trust fund described in Section 10.01(d)(i), payments of principal thereof, interest thereon and any Additional Amounts, upon the original Stated Maturities therefor (but not upon acceleration) and remaining rights of the Holders to receive, solely from the trust fund described in Section 10.01(d)(i), sinking fund payments, if any, (4) the rights (including the Trustee’s rights under Section 10.05) and immunities of the Trustee hereunder and the Trustee’s obligations with respect to the Securities of such series under Sections 10.02 and 10.04 and (5) the obligations of the Issuer under Section 3.02). </w:t>
      </w:r>
    </w:p>
    <w:p>
      <w:pPr>
        <w:pStyle w:val="TextBody"/>
        <w:bidi w:val="0"/>
        <w:spacing w:before="240" w:after="0"/>
        <w:jc w:val="left"/>
        <w:rPr>
          <w:rFonts w:ascii="Times New Roman" w:hAnsi="Times New Roman"/>
          <w:sz w:val="20"/>
        </w:rPr>
      </w:pPr>
      <w:r>
        <w:rPr>
          <w:rFonts w:ascii="Times New Roman" w:hAnsi="Times New Roman"/>
          <w:sz w:val="20"/>
        </w:rPr>
        <w:t>(c) The following subsection shall apply to the Securities of each series unless specifically otherwise provided in a Board Resolution, Officer’s Certificate or indenture supplemental hereto provided pursuant to Section 2.03. In addition to the right to discharge of the Indenture pursuant to subsection (a) and to Legal Defeasance pursuant to subsection (b), above, the Issuer, at its option and at any time, by written notice executed by an officer delivered to the Trustee, may elect to have its obligations under any covenant contained in this Indenture or in the Board Resolution or supplemental indenture relating to such series pursuant to Section 2.03 discharged with respect to all Outstanding Securities of a series, this Indenture and any indentures supplemental to this Indenture with respect to such series (“</w:t>
      </w:r>
      <w:r>
        <w:rPr>
          <w:rFonts w:ascii="Times New Roman" w:hAnsi="Times New Roman"/>
          <w:b/>
          <w:sz w:val="20"/>
        </w:rPr>
        <w:t>Covenant Defeasance</w:t>
      </w:r>
      <w:r>
        <w:rPr>
          <w:rFonts w:ascii="Times New Roman" w:hAnsi="Times New Roman"/>
          <w:sz w:val="20"/>
        </w:rPr>
        <w:t xml:space="preserve">”), such discharge to be effective on the date the conditions set forth in clauses (i) through (iii) and (v) through (vi) of Section 10.01(d) are satisfied, and such Securities shall thereafter be deemed to be not “Outstanding” for the purposes of any direction, waiver, consent or declaration of Securityholders (and any consequences thereof) in connection with such covenants, but shall continue to be “Outstanding” for all other purposes under this Indenture. For this purpose, such Covenant Defeasance means that, with respect to the Outstanding Securities of a series, the Issuer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an Event of Default under Section 5.01(c) or otherwise, but except as specified in this Section 10.01(c), the remainder of the Issuer’s obligations under the Securities of such series, this Indenture, and any indentures supplemental to this Indenture with respect to such series shall be unaffected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following shall be the conditions to the application of Legal Defeasance (to the extent set forth in subsection (b)), or Covenant Defeasance (to the extent set forth in subsection (c)) to the Securities of the applicable series: </w:t>
      </w:r>
    </w:p>
    <w:p>
      <w:pPr>
        <w:pStyle w:val="TextBody"/>
        <w:bidi w:val="0"/>
        <w:spacing w:before="120" w:after="0"/>
        <w:jc w:val="left"/>
        <w:rPr>
          <w:rFonts w:ascii="Times New Roman" w:hAnsi="Times New Roman"/>
          <w:sz w:val="20"/>
        </w:rPr>
      </w:pPr>
      <w:r>
        <w:rPr>
          <w:rFonts w:ascii="Times New Roman" w:hAnsi="Times New Roman"/>
          <w:sz w:val="20"/>
        </w:rPr>
        <w:t xml:space="preserve">(i) the Issuer irrevocably deposits or causes to be deposited in trust with the Trustee or, at the option of the Trustee, with a trustee satisfactory to the Trustee and the Company under the terms of an irrevocable trust agreement in form and substance satisfactory to the Trustee, (i) in the case of any series of Securities the payments on which may only be made in Dollars, Dollars (other than moneys repaid by the Trustee or any paying agent to the Issuer in accordance with Section 10.04) and/or U.S. Government Obligations maturing as to principal and interest in such amounts and at such times as will insure the availability of cash in such currency, or (ii) in the case of any series of Securities the payments on which may only be made in a Foreign Currency, such Foreign Currency (other than moneys repaid by the Trustee or any paying agent to the Issuer in accordance with Section 10.04) and/or Foreign Government Obligations maturing as to principal and interest in such amounts and at such times as will insure the availability of cash in such currency, in each case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 2.09) not theretofore delivered to the Trustee for cancellation, including principal, interest and Additional Amounts due or to become due to such date of maturity,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(ii) the Issuer delivers to the Trustee an Officer’s Certificate stating that all conditions precedent specified herein relating to Legal Defeasance or Covenant Defeasance, as the case may be, have been complied with, and an Opinion of Counsel to the same effect; </w:t>
      </w:r>
    </w:p>
    <w:p>
      <w:pPr>
        <w:pStyle w:val="TextBody"/>
        <w:bidi w:val="0"/>
        <w:spacing w:before="120" w:after="0"/>
        <w:jc w:val="left"/>
        <w:rPr>
          <w:rFonts w:ascii="Times New Roman" w:hAnsi="Times New Roman"/>
          <w:sz w:val="20"/>
        </w:rPr>
      </w:pPr>
      <w:r>
        <w:rPr>
          <w:rFonts w:ascii="Times New Roman" w:hAnsi="Times New Roman"/>
          <w:sz w:val="20"/>
        </w:rPr>
        <w:t xml:space="preserve">(iii) no Event of Default under subsection (a), (b), (d) or (e) of Section 5.01 shall have occurred and be continuing, and no event which with notice or lapse of time or both would become such an Event of Default shall have occurred and be continuing, on the date of such deposit; </w:t>
      </w:r>
    </w:p>
    <w:p>
      <w:pPr>
        <w:pStyle w:val="TextBody"/>
        <w:bidi w:val="0"/>
        <w:spacing w:before="120" w:after="0"/>
        <w:jc w:val="left"/>
        <w:rPr>
          <w:rFonts w:ascii="Times New Roman" w:hAnsi="Times New Roman"/>
          <w:sz w:val="20"/>
        </w:rPr>
      </w:pPr>
      <w:r>
        <w:rPr>
          <w:rFonts w:ascii="Times New Roman" w:hAnsi="Times New Roman"/>
          <w:sz w:val="20"/>
        </w:rPr>
        <w:t xml:space="preserve">(iv) in the event of an election for Legal Defeasance under subsection (b), the Issuer shall have delivered to the Trustee an Opinion of Counsel stating that (A) the Issuer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amounts, in the same manner and at the same times as would be the case if such deposit, defeasance and discharge were not to occur; </w:t>
      </w:r>
    </w:p>
    <w:p>
      <w:pPr>
        <w:pStyle w:val="TextBody"/>
        <w:bidi w:val="0"/>
        <w:spacing w:before="120" w:after="0"/>
        <w:jc w:val="left"/>
        <w:rPr>
          <w:rFonts w:ascii="Times New Roman" w:hAnsi="Times New Roman"/>
          <w:sz w:val="20"/>
        </w:rPr>
      </w:pPr>
      <w:r>
        <w:rPr>
          <w:rFonts w:ascii="Times New Roman" w:hAnsi="Times New Roman"/>
          <w:sz w:val="20"/>
        </w:rPr>
        <w:t xml:space="preserve">(v) in the event of an election for Covenant Defeasance under subsection (c), the Issuer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 and </w:t>
      </w:r>
    </w:p>
    <w:p>
      <w:pPr>
        <w:pStyle w:val="TextBody"/>
        <w:bidi w:val="0"/>
        <w:spacing w:before="120" w:after="0"/>
        <w:jc w:val="left"/>
        <w:rPr>
          <w:rFonts w:ascii="Times New Roman" w:hAnsi="Times New Roman"/>
          <w:sz w:val="20"/>
        </w:rPr>
      </w:pPr>
      <w:r>
        <w:rPr>
          <w:rFonts w:ascii="Times New Roman" w:hAnsi="Times New Roman"/>
          <w:sz w:val="20"/>
        </w:rPr>
        <w:t xml:space="preserve">(vi) notwithstanding any other provisions of this subsection (d), such defeasance shall be effected in compliance with any additional or substitute terms, conditions or limitations that may be imposed on the Issuer pursuant to Section 2.03. </w:t>
      </w:r>
    </w:p>
    <w:p>
      <w:pPr>
        <w:pStyle w:val="TextBody"/>
        <w:bidi w:val="0"/>
        <w:spacing w:before="240" w:after="0"/>
        <w:jc w:val="left"/>
        <w:rPr>
          <w:rFonts w:ascii="Times New Roman" w:hAnsi="Times New Roman"/>
          <w:sz w:val="20"/>
        </w:rPr>
      </w:pPr>
      <w:r>
        <w:rPr>
          <w:rFonts w:ascii="Times New Roman" w:hAnsi="Times New Roman"/>
          <w:sz w:val="20"/>
        </w:rPr>
        <w:t xml:space="preserve">After such irrevocable deposit made pursuant to this Section 10.01(d) and satisfaction of the other applicable conditions set forth in this subsection (d), the Trustee upon request shall execute proper instruments acknowledging the discharge of the Issuer’s obligations pursuant to this Section 10.01.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i/>
          <w:sz w:val="20"/>
        </w:rPr>
        <w:t>Application by Trustee of Funds Deposited for Payment of</w:t>
      </w:r>
      <w:r>
        <w:rPr>
          <w:rFonts w:ascii="Times New Roman" w:hAnsi="Times New Roman"/>
          <w:sz w:val="20"/>
        </w:rPr>
        <w:t xml:space="preserve"> </w:t>
      </w:r>
      <w:r>
        <w:rPr>
          <w:rFonts w:ascii="Times New Roman" w:hAnsi="Times New Roman"/>
          <w:i/>
          <w:sz w:val="20"/>
        </w:rPr>
        <w:t xml:space="preserve">Securities. </w:t>
      </w:r>
      <w:r>
        <w:rPr>
          <w:rFonts w:ascii="Times New Roman" w:hAnsi="Times New Roman"/>
          <w:sz w:val="20"/>
        </w:rPr>
        <w:t xml:space="preserve">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10.03 </w:t>
      </w:r>
      <w:r>
        <w:rPr>
          <w:rFonts w:ascii="Times New Roman" w:hAnsi="Times New Roman"/>
          <w:i/>
          <w:sz w:val="20"/>
        </w:rPr>
        <w:t xml:space="preserve">Repayment of Moneys Held by Paying Agent. </w:t>
      </w:r>
      <w:r>
        <w:rPr>
          <w:rFonts w:ascii="Times New Roman" w:hAnsi="Times New Roman"/>
          <w:sz w:val="20"/>
        </w:rPr>
        <w:t xml:space="preserve">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i/>
          <w:sz w:val="20"/>
        </w:rPr>
        <w:t>Return of Moneys Held by Trustee and Paying Agent</w:t>
      </w:r>
      <w:r>
        <w:rPr>
          <w:rFonts w:ascii="Times New Roman" w:hAnsi="Times New Roman"/>
          <w:sz w:val="20"/>
        </w:rPr>
        <w:t xml:space="preserve"> </w:t>
      </w:r>
      <w:r>
        <w:rPr>
          <w:rFonts w:ascii="Times New Roman" w:hAnsi="Times New Roman"/>
          <w:i/>
          <w:sz w:val="20"/>
        </w:rPr>
        <w:t xml:space="preserve">Unclaimed for Two Years. </w:t>
      </w:r>
      <w:r>
        <w:rPr>
          <w:rFonts w:ascii="Times New Roman" w:hAnsi="Times New Roman"/>
          <w:sz w:val="20"/>
        </w:rPr>
        <w:t xml:space="preserve">Any moneys deposited with or paid to the Trustee or any paying agent for the payment of the principal of, interest on or additional amounts in respect of any Security of any series and not applied but remaining unclaimed for two years after the date upon which such principal, interest or additional amount shall have become due and payable, shall be repaid to the Issuer by the Trustee for such series or such paying agent, and the Holder of the Securities of such series shall thereafter look only to the Issuer for any payment which such Holder may be entitled to collect, and all liability of the Trustee or any paying agent with respect to such moneys shall thereupon cease.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i/>
          <w:sz w:val="20"/>
        </w:rPr>
        <w:t xml:space="preserve">Indemnity for U.S. Government Obligations and Foreign Government Obligations. </w:t>
      </w:r>
      <w:r>
        <w:rPr>
          <w:rFonts w:ascii="Times New Roman" w:hAnsi="Times New Roman"/>
          <w:sz w:val="20"/>
        </w:rPr>
        <w:t xml:space="preserve">The Issuer shall pay and indemnify the Trustee against any tax, fee or other charge imposed on or assessed against the U.S. Government Obligations or Foreign Government Obligations deposited pursuant to Section 10.01 or the principal or interest received in respect of such obligations.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11 </w:t>
      </w:r>
    </w:p>
    <w:p>
      <w:pPr>
        <w:pStyle w:val="TextBody"/>
        <w:bidi w:val="0"/>
        <w:spacing w:before="0" w:after="0"/>
        <w:jc w:val="center"/>
        <w:rPr>
          <w:rFonts w:ascii="Times New Roman" w:hAnsi="Times New Roman"/>
          <w:sz w:val="20"/>
        </w:rPr>
      </w:pPr>
      <w:r>
        <w:rPr>
          <w:rFonts w:ascii="Times New Roman" w:hAnsi="Times New Roman"/>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i/>
          <w:sz w:val="20"/>
        </w:rPr>
        <w:t xml:space="preserve">No Recourse. </w:t>
      </w:r>
      <w:r>
        <w:rPr>
          <w:rFonts w:ascii="Times New Roman" w:hAnsi="Times New Roman"/>
          <w:sz w:val="20"/>
        </w:rPr>
        <w:t xml:space="preserve">No recourse under or upon any obligation, covenant or agreement of this Indenture, or of any Security, or for any claim based thereon or otherwise in respect thereof, shall be had against any incorporator, stockholder, officer or director, past, present or future as such, of the Issuer or of any predecessor or successor corporation, either directly or through the Issuer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Issuer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i/>
          <w:sz w:val="20"/>
        </w:rPr>
        <w:t>Provisions of Indenture for the Sole Benefit of Parties and</w:t>
      </w:r>
      <w:r>
        <w:rPr>
          <w:rFonts w:ascii="Times New Roman" w:hAnsi="Times New Roman"/>
          <w:sz w:val="20"/>
        </w:rPr>
        <w:t xml:space="preserve"> </w:t>
      </w:r>
      <w:r>
        <w:rPr>
          <w:rFonts w:ascii="Times New Roman" w:hAnsi="Times New Roman"/>
          <w:i/>
          <w:sz w:val="20"/>
        </w:rPr>
        <w:t xml:space="preserve">Holders of Securities. </w:t>
      </w:r>
      <w:r>
        <w:rPr>
          <w:rFonts w:ascii="Times New Roman" w:hAnsi="Times New Roman"/>
          <w:sz w:val="20"/>
        </w:rPr>
        <w:t xml:space="preserve">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i/>
          <w:sz w:val="20"/>
        </w:rPr>
        <w:t xml:space="preserve">Successors and Assigns of Issuer Bound by Indenture. </w:t>
      </w:r>
      <w:r>
        <w:rPr>
          <w:rFonts w:ascii="Times New Roman" w:hAnsi="Times New Roman"/>
          <w:sz w:val="20"/>
        </w:rPr>
        <w:t xml:space="preserve">All the covenants, stipulations, promises and agreements contained in this Indenture by or on behalf of the Issuer shall bind its successors and assigns, whether so expressed or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11.04 </w:t>
      </w:r>
      <w:r>
        <w:rPr>
          <w:rFonts w:ascii="Times New Roman" w:hAnsi="Times New Roman"/>
          <w:i/>
          <w:sz w:val="20"/>
        </w:rPr>
        <w:t>Notices and Demands on Issuer, Trustee and Holders of</w:t>
      </w:r>
      <w:r>
        <w:rPr>
          <w:rFonts w:ascii="Times New Roman" w:hAnsi="Times New Roman"/>
          <w:sz w:val="20"/>
        </w:rPr>
        <w:t xml:space="preserve"> </w:t>
      </w:r>
      <w:r>
        <w:rPr>
          <w:rFonts w:ascii="Times New Roman" w:hAnsi="Times New Roman"/>
          <w:i/>
          <w:sz w:val="20"/>
        </w:rPr>
        <w:t xml:space="preserve">Securities. </w:t>
      </w:r>
      <w:r>
        <w:rPr>
          <w:rFonts w:ascii="Times New Roman" w:hAnsi="Times New Roman"/>
          <w:sz w:val="20"/>
        </w:rPr>
        <w:t xml:space="preserve">Any notice or demand which by any provision of this Indenture is required or permitted to be given or served by the Trustee or by the Holders of Securities to or on the Issuer may be delivered, given or served by being deposited postage prepaid, first-class mail (except as otherwise specifically provided herein) addressed (until another address of the Issuer is filed by the Issuer with the Trustee) to Solid Biosciences Inc., 500 Rutherford Avenue, Third Floor, Charlestown, MA 02129, Attn: Chief Financial Officer. Any notice, direction, request or demand by the Issuer or any Holder of Securities to or upon the Trustee shall be deemed to have been sufficiently given or made, for all purposes, if given or made at _______, ________, Attn: _______.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to Holders of Securities, such notice shall be sufficiently given (unless otherwise herein expressly provided) if in writing and mailed, first-class postage prepaid, to each Holder entitled thereto, at his, her or its last address as it appears in the Security register. 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Neither the failure to give notice, nor any defect in any notice so given, to any particular Holder of a Security shall affect the sufficiency of such notice with respect to other Holders of Securities given as provided above.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i/>
          <w:sz w:val="20"/>
        </w:rPr>
        <w:t>Officer’s Certificates and Opinions of Counsel; Statements</w:t>
      </w:r>
      <w:r>
        <w:rPr>
          <w:rFonts w:ascii="Times New Roman" w:hAnsi="Times New Roman"/>
          <w:sz w:val="20"/>
        </w:rPr>
        <w:t xml:space="preserve"> </w:t>
      </w:r>
      <w:r>
        <w:rPr>
          <w:rFonts w:ascii="Times New Roman" w:hAnsi="Times New Roman"/>
          <w:i/>
          <w:sz w:val="20"/>
        </w:rPr>
        <w:t xml:space="preserve">to Be Contained Therein. </w:t>
      </w:r>
      <w:r>
        <w:rPr>
          <w:rFonts w:ascii="Times New Roman" w:hAnsi="Times New Roman"/>
          <w:sz w:val="20"/>
        </w:rPr>
        <w:t xml:space="preserve">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or opinion of any independent firm of public accountants filed with and directed to the Trustee shall contain a statement that such firm is independent.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i/>
          <w:sz w:val="20"/>
        </w:rPr>
        <w:t xml:space="preserve">Payments Due on Saturdays, Sundays and Holidays. </w:t>
      </w:r>
      <w:r>
        <w:rPr>
          <w:rFonts w:ascii="Times New Roman" w:hAnsi="Times New Roman"/>
          <w:sz w:val="20"/>
        </w:rPr>
        <w:t xml:space="preserve">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i/>
          <w:sz w:val="20"/>
        </w:rPr>
        <w:t>Conflict of Any Provision of Indenture With Trust</w:t>
      </w:r>
      <w:r>
        <w:rPr>
          <w:rFonts w:ascii="Times New Roman" w:hAnsi="Times New Roman"/>
          <w:sz w:val="20"/>
        </w:rPr>
        <w:t xml:space="preserve"> </w:t>
      </w:r>
      <w:r>
        <w:rPr>
          <w:rFonts w:ascii="Times New Roman" w:hAnsi="Times New Roman"/>
          <w:i/>
          <w:sz w:val="20"/>
        </w:rPr>
        <w:t xml:space="preserve">Indenture Act of 1939. </w:t>
      </w:r>
      <w:r>
        <w:rPr>
          <w:rFonts w:ascii="Times New Roman" w:hAnsi="Times New Roman"/>
          <w:sz w:val="20"/>
        </w:rPr>
        <w:t xml:space="preserve">If and to the extent that any provision of this Indenture limits, qualifies or conflicts with another provision included in this Indenture by operation of Sections 310 to 317, inclusive, of the Trust Indenture Act of 1939, such incorporated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11.08 </w:t>
      </w:r>
      <w:r>
        <w:rPr>
          <w:rFonts w:ascii="Times New Roman" w:hAnsi="Times New Roman"/>
          <w:i/>
          <w:sz w:val="20"/>
        </w:rPr>
        <w:t xml:space="preserve">New York Law to Govern. </w:t>
      </w:r>
      <w:r>
        <w:rPr>
          <w:rFonts w:ascii="Times New Roman" w:hAnsi="Times New Roman"/>
          <w:sz w:val="20"/>
        </w:rPr>
        <w:t xml:space="preserve">This Indenture and each Security shall be deemed to be a contract under the laws of the State of New York, and for all purposes shall be governed by and construed in accordance with the laws of such State without regard to any principle of conflict of laws that would require or permit the application of the laws of any other jurisdiction, except as may otherwise be required by mandatory provisions of law. </w:t>
      </w:r>
    </w:p>
    <w:p>
      <w:pPr>
        <w:pStyle w:val="TextBody"/>
        <w:bidi w:val="0"/>
        <w:spacing w:before="240" w:after="0"/>
        <w:jc w:val="left"/>
        <w:rPr>
          <w:rFonts w:ascii="Times New Roman" w:hAnsi="Times New Roman"/>
          <w:sz w:val="20"/>
        </w:rPr>
      </w:pPr>
      <w:r>
        <w:rPr>
          <w:rFonts w:ascii="Times New Roman" w:hAnsi="Times New Roman"/>
          <w:sz w:val="20"/>
        </w:rPr>
        <w:t xml:space="preserve">Section 11.09 </w:t>
      </w:r>
      <w:r>
        <w:rPr>
          <w:rFonts w:ascii="Times New Roman" w:hAnsi="Times New Roman"/>
          <w:i/>
          <w:sz w:val="20"/>
        </w:rPr>
        <w:t xml:space="preserve">Counterparts. </w:t>
      </w:r>
      <w:r>
        <w:rPr>
          <w:rFonts w:ascii="Times New Roman" w:hAnsi="Times New Roman"/>
          <w:sz w:val="20"/>
        </w:rPr>
        <w:t xml:space="preserve">This Indenture may be executed in any number of counterparts, each of which shall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11.10 </w:t>
      </w:r>
      <w:r>
        <w:rPr>
          <w:rFonts w:ascii="Times New Roman" w:hAnsi="Times New Roman"/>
          <w:i/>
          <w:sz w:val="20"/>
        </w:rPr>
        <w:t xml:space="preserve">Effect of Headings. </w:t>
      </w:r>
      <w:r>
        <w:rPr>
          <w:rFonts w:ascii="Times New Roman" w:hAnsi="Times New Roman"/>
          <w:sz w:val="20"/>
        </w:rPr>
        <w:t xml:space="preserve">The Article and Section headings herein and the Table of Contents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11.11 </w:t>
      </w:r>
      <w:r>
        <w:rPr>
          <w:rFonts w:ascii="Times New Roman" w:hAnsi="Times New Roman"/>
          <w:i/>
          <w:sz w:val="20"/>
        </w:rPr>
        <w:t>Actions by Successor</w:t>
      </w:r>
      <w:r>
        <w:rPr>
          <w:rFonts w:ascii="Times New Roman" w:hAnsi="Times New Roman"/>
          <w:sz w:val="20"/>
        </w:rPr>
        <w:t xml:space="preserve">. Any act or proceeding by any provision of this Indenture authorized or required to be done or performed by any board of directors or its equivalent, committee or officer of the Issuer shall and may be done and performed with like force and effect by the corresponding board, committee or officer of any corporation that shall at the time be the lawful successor of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11.12 </w:t>
      </w:r>
      <w:r>
        <w:rPr>
          <w:rFonts w:ascii="Times New Roman" w:hAnsi="Times New Roman"/>
          <w:i/>
          <w:sz w:val="20"/>
        </w:rPr>
        <w:t>Severability</w:t>
      </w:r>
      <w:r>
        <w:rPr>
          <w:rFonts w:ascii="Times New Roman" w:hAnsi="Times New Roman"/>
          <w:sz w:val="20"/>
        </w:rPr>
        <w:t xml:space="preserve">.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12 </w:t>
      </w:r>
    </w:p>
    <w:p>
      <w:pPr>
        <w:pStyle w:val="TextBody"/>
        <w:bidi w:val="0"/>
        <w:spacing w:before="0" w:after="0"/>
        <w:jc w:val="center"/>
        <w:rPr>
          <w:rFonts w:ascii="Times New Roman" w:hAnsi="Times New Roman"/>
          <w:sz w:val="20"/>
        </w:rPr>
      </w:pPr>
      <w:r>
        <w:rPr>
          <w:rFonts w:ascii="Times New Roman" w:hAnsi="Times New Roman"/>
          <w:sz w:val="20"/>
        </w:rPr>
        <w:t xml:space="preserve">REDEMPTION OF SECURITIES AND SINKING FUNDS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i/>
          <w:sz w:val="20"/>
        </w:rPr>
        <w:t xml:space="preserve">Applicability of Article. </w:t>
      </w:r>
      <w:r>
        <w:rPr>
          <w:rFonts w:ascii="Times New Roman" w:hAnsi="Times New Roman"/>
          <w:sz w:val="20"/>
        </w:rPr>
        <w:t xml:space="preserve">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12.02 </w:t>
      </w:r>
      <w:r>
        <w:rPr>
          <w:rFonts w:ascii="Times New Roman" w:hAnsi="Times New Roman"/>
          <w:i/>
          <w:sz w:val="20"/>
        </w:rPr>
        <w:t xml:space="preserve">Notice of Redemption; Partial Redemptions. </w:t>
      </w:r>
      <w:r>
        <w:rPr>
          <w:rFonts w:ascii="Times New Roman" w:hAnsi="Times New Roman"/>
          <w:sz w:val="20"/>
        </w:rPr>
        <w:t xml:space="preserve">Notice of redemption to the Holders of Securities of any series to be redeemed as a whole or in part at the option of the Issuer shall be given by providing notice of such redemption at least 10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The notice of redemption of Securities of any series to be redeemed at the option of the Issuer shall be given by the Issuer or, at the Issuer’s request, by the Trustee in the name and at the expense of the Issuer. </w:t>
      </w:r>
    </w:p>
    <w:p>
      <w:pPr>
        <w:pStyle w:val="TextBody"/>
        <w:bidi w:val="0"/>
        <w:spacing w:before="240" w:after="0"/>
        <w:jc w:val="left"/>
        <w:rPr>
          <w:rFonts w:ascii="Times New Roman" w:hAnsi="Times New Roman"/>
          <w:sz w:val="20"/>
        </w:rPr>
      </w:pPr>
      <w:r>
        <w:rPr>
          <w:rFonts w:ascii="Times New Roman" w:hAnsi="Times New Roman"/>
          <w:sz w:val="20"/>
        </w:rPr>
        <w:t xml:space="preserve">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Securities theretofore surrendered for conversion into Common Stock in accordance with their terms) at the appropriate redemption price, together with accrued interest to the date fixed for redemption. If any Security called for redemption is converted pursuant hereto and in accordance with the terms thereof,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10 days prior to the date the notice required to be delivered to the Holders is to be sent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possible) to be the portion selected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12.03 </w:t>
      </w:r>
      <w:r>
        <w:rPr>
          <w:rFonts w:ascii="Times New Roman" w:hAnsi="Times New Roman"/>
          <w:i/>
          <w:sz w:val="20"/>
        </w:rPr>
        <w:t xml:space="preserve">Payment of Securities Called for Redemption. </w:t>
      </w:r>
      <w:r>
        <w:rPr>
          <w:rFonts w:ascii="Times New Roman" w:hAnsi="Times New Roman"/>
          <w:sz w:val="20"/>
        </w:rPr>
        <w:t xml:space="preserve">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 called for redemption shall cease to accrue, and such Securities shall cease from and after the date fixed for redemption to be convertible into Common Stock (to the extent otherwise convertible in accordance with their terms), if applicable, and cease to be entitled to any benefit or security under this Indenture, and except as provided in the paragraph below,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Times New Roman" w:hAnsi="Times New Roman"/>
          <w:i/>
          <w:sz w:val="20"/>
        </w:rPr>
        <w:t>provided</w:t>
      </w:r>
      <w:r>
        <w:rPr>
          <w:rFonts w:ascii="Times New Roman" w:hAnsi="Times New Roman"/>
          <w:sz w:val="20"/>
        </w:rPr>
        <w:t xml:space="preserve">, that payment of interest becoming due on or prior to the date fixed for redemption shall be payable to the Holders of such Securities registered as such on the relevant record date subject to the terms and provisions of Sections 2.03 and 2.07 hereof. </w:t>
      </w:r>
    </w:p>
    <w:p>
      <w:pPr>
        <w:pStyle w:val="TextBody"/>
        <w:bidi w:val="0"/>
        <w:spacing w:before="240" w:after="0"/>
        <w:jc w:val="left"/>
        <w:rPr>
          <w:rFonts w:ascii="Times New Roman" w:hAnsi="Times New Roman"/>
          <w:sz w:val="20"/>
        </w:rPr>
      </w:pPr>
      <w:r>
        <w:rPr>
          <w:rFonts w:ascii="Times New Roman" w:hAnsi="Times New Roman"/>
          <w:sz w:val="20"/>
        </w:rPr>
        <w:t xml:space="preserve">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 </w:t>
      </w:r>
    </w:p>
    <w:p>
      <w:pPr>
        <w:pStyle w:val="TextBody"/>
        <w:bidi w:val="0"/>
        <w:spacing w:before="240" w:after="0"/>
        <w:jc w:val="left"/>
        <w:rPr>
          <w:rFonts w:ascii="Times New Roman" w:hAnsi="Times New Roman"/>
          <w:sz w:val="20"/>
        </w:rPr>
      </w:pPr>
      <w:r>
        <w:rPr>
          <w:rFonts w:ascii="Times New Roman" w:hAnsi="Times New Roman"/>
          <w:sz w:val="20"/>
        </w:rPr>
        <w:t xml:space="preserve">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 </w:t>
      </w:r>
    </w:p>
    <w:p>
      <w:pPr>
        <w:pStyle w:val="TextBody"/>
        <w:bidi w:val="0"/>
        <w:spacing w:before="240" w:after="0"/>
        <w:jc w:val="left"/>
        <w:rPr>
          <w:rFonts w:ascii="Times New Roman" w:hAnsi="Times New Roman"/>
          <w:sz w:val="20"/>
        </w:rPr>
      </w:pPr>
      <w:r>
        <w:rPr>
          <w:rFonts w:ascii="Times New Roman" w:hAnsi="Times New Roman"/>
          <w:sz w:val="20"/>
        </w:rPr>
        <w:t xml:space="preserve">Section 12.04 </w:t>
      </w:r>
      <w:r>
        <w:rPr>
          <w:rFonts w:ascii="Times New Roman" w:hAnsi="Times New Roman"/>
          <w:i/>
          <w:sz w:val="20"/>
        </w:rPr>
        <w:t>Exclusion of Certain Securities from Eligibility for</w:t>
      </w:r>
      <w:r>
        <w:rPr>
          <w:rFonts w:ascii="Times New Roman" w:hAnsi="Times New Roman"/>
          <w:sz w:val="20"/>
        </w:rPr>
        <w:t xml:space="preserve"> </w:t>
      </w:r>
      <w:r>
        <w:rPr>
          <w:rFonts w:ascii="Times New Roman" w:hAnsi="Times New Roman"/>
          <w:i/>
          <w:sz w:val="20"/>
        </w:rPr>
        <w:t xml:space="preserve">Selection for Redemption. </w:t>
      </w:r>
      <w:r>
        <w:rPr>
          <w:rFonts w:ascii="Times New Roman" w:hAnsi="Times New Roman"/>
          <w:sz w:val="20"/>
        </w:rPr>
        <w:t xml:space="preserve">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12.05 </w:t>
      </w:r>
      <w:r>
        <w:rPr>
          <w:rFonts w:ascii="Times New Roman" w:hAnsi="Times New Roman"/>
          <w:i/>
          <w:sz w:val="20"/>
        </w:rPr>
        <w:t xml:space="preserve">Mandatory and Optional Sinking Funds. </w:t>
      </w:r>
      <w:r>
        <w:rPr>
          <w:rFonts w:ascii="Times New Roman" w:hAnsi="Times New Roman"/>
          <w:sz w:val="20"/>
        </w:rPr>
        <w:t>The minimum amount of any sinking fund payment provided for by the terms of the Securities of any series is herein referred to as a “</w:t>
      </w:r>
      <w:r>
        <w:rPr>
          <w:rFonts w:ascii="Times New Roman" w:hAnsi="Times New Roman"/>
          <w:b/>
          <w:sz w:val="20"/>
        </w:rPr>
        <w:t>mandatory sinking fund payment</w:t>
      </w:r>
      <w:r>
        <w:rPr>
          <w:rFonts w:ascii="Times New Roman" w:hAnsi="Times New Roman"/>
          <w:sz w:val="20"/>
        </w:rPr>
        <w:t>”, and any payment in excess of such minimum amount provided for by the terms of the Securities of any series is herein referred to as an “</w:t>
      </w:r>
      <w:r>
        <w:rPr>
          <w:rFonts w:ascii="Times New Roman" w:hAnsi="Times New Roman"/>
          <w:b/>
          <w:sz w:val="20"/>
        </w:rPr>
        <w:t>optional sinking fund</w:t>
      </w:r>
      <w:r>
        <w:rPr>
          <w:rFonts w:ascii="Times New Roman" w:hAnsi="Times New Roman"/>
          <w:sz w:val="20"/>
        </w:rPr>
        <w:t xml:space="preserve"> </w:t>
      </w:r>
      <w:r>
        <w:rPr>
          <w:rFonts w:ascii="Times New Roman" w:hAnsi="Times New Roman"/>
          <w:b/>
          <w:sz w:val="20"/>
        </w:rPr>
        <w:t>payment</w:t>
      </w:r>
      <w:r>
        <w:rPr>
          <w:rFonts w:ascii="Times New Roman" w:hAnsi="Times New Roman"/>
          <w:sz w:val="20"/>
        </w:rPr>
        <w:t>”. The date on which a sinking fund payment is to be made is herein referred to as the “</w:t>
      </w:r>
      <w:r>
        <w:rPr>
          <w:rFonts w:ascii="Times New Roman" w:hAnsi="Times New Roman"/>
          <w:b/>
          <w:sz w:val="20"/>
        </w:rPr>
        <w:t>sinking fund payment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for which credit will be taken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that the mandatory sinking fund payment for such series due on the next succeeding sinking fund payment date shall be paid entirely in cash without the option to deliver or credit Securities of such series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which delay in accordance with this paragraph shall not be a default or breach of the obligation to make such payment. The Trustee shall select, in the manner provided in Section 12.02, for redemption on such sinking fund payment date a sufficient principal amount of Securities of such series to which such cash may be applied, as nearly as may be, and shall (if requested in writing by the Issuer) inform the Issuer of the serial numbers of the Securities of such series (or portions thereof) so selected.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in accordance with the terms of such Securities;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if the Trustee is not the conversion agent for the Securities, the Issuer or such conversion agent shall give the Trustee written notice on or prior to the date fixed for redemption of the principal amount of Securities or portions thereof so converted. </w:t>
      </w:r>
    </w:p>
    <w:p>
      <w:pPr>
        <w:pStyle w:val="TextBody"/>
        <w:bidi w:val="0"/>
        <w:spacing w:before="240" w:after="0"/>
        <w:jc w:val="left"/>
        <w:rPr>
          <w:rFonts w:ascii="Times New Roman" w:hAnsi="Times New Roman"/>
          <w:sz w:val="20"/>
        </w:rPr>
      </w:pPr>
      <w:r>
        <w:rPr>
          <w:rFonts w:ascii="Times New Roman" w:hAnsi="Times New Roman"/>
          <w:sz w:val="20"/>
        </w:rPr>
        <w:t xml:space="preserve">On or before each sinking fund payment date, the Issuer shall pay to the Trustee in cash or shall otherwise provide for the payment of all interest accrued to the date fixed for redemption on Securities to be redeemed on such sinking fund payment date.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providing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such sinking fund payment date in accordance with this Section to the redemption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13 </w:t>
      </w:r>
    </w:p>
    <w:p>
      <w:pPr>
        <w:pStyle w:val="TextBody"/>
        <w:bidi w:val="0"/>
        <w:spacing w:before="0" w:after="0"/>
        <w:jc w:val="center"/>
        <w:rPr>
          <w:rFonts w:ascii="Times New Roman" w:hAnsi="Times New Roman"/>
          <w:sz w:val="20"/>
        </w:rPr>
      </w:pPr>
      <w:r>
        <w:rPr>
          <w:rFonts w:ascii="Times New Roman" w:hAnsi="Times New Roman"/>
          <w:sz w:val="20"/>
        </w:rPr>
        <w:t xml:space="preserve">SUBORDINATION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i/>
          <w:sz w:val="20"/>
        </w:rPr>
        <w:t xml:space="preserve">Agreement of Subordination. </w:t>
      </w:r>
      <w:r>
        <w:rPr>
          <w:rFonts w:ascii="Times New Roman" w:hAnsi="Times New Roman"/>
          <w:sz w:val="20"/>
        </w:rPr>
        <w:t xml:space="preserve">The Issuer covenants and agrees, and each holder of Securities issued hereunder by its acceptance thereof likewise covenants and agrees, that all Securities shall be issued subject to the provisions of this Article 13; and each Securityholder, whether upon original issue or upon transfer or assignment thereof, accepts and agrees to be bound by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payment of the principal of and interest on all Securities issued hereunder shall, to the extent and in the manner hereinafter set forth, be subordinated and subject in right of payment to the prior payment in full of all Senior Indebtedness of the Issuer, whether outstanding at the date of this Indenture or thereafter incurred.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Article 13 define the subordination of the Securities, as obligations of the Issuer, with respect to Senior Indebtedness of the Issuer. </w:t>
      </w:r>
    </w:p>
    <w:p>
      <w:pPr>
        <w:pStyle w:val="TextBody"/>
        <w:bidi w:val="0"/>
        <w:spacing w:before="240" w:after="0"/>
        <w:jc w:val="left"/>
        <w:rPr>
          <w:rFonts w:ascii="Times New Roman" w:hAnsi="Times New Roman"/>
          <w:sz w:val="20"/>
        </w:rPr>
      </w:pPr>
      <w:r>
        <w:rPr>
          <w:rFonts w:ascii="Times New Roman" w:hAnsi="Times New Roman"/>
          <w:sz w:val="20"/>
        </w:rPr>
        <w:t xml:space="preserve">No provision of this Article 13 shall prevent the occurrence of any default or Event of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i/>
          <w:sz w:val="20"/>
        </w:rPr>
        <w:t xml:space="preserve">Payments to Securityholders. </w:t>
      </w:r>
      <w:r>
        <w:rPr>
          <w:rFonts w:ascii="Times New Roman" w:hAnsi="Times New Roman"/>
          <w:sz w:val="20"/>
        </w:rPr>
        <w:t xml:space="preserve">In the event and during the continuation of any default in the payment of principal, premium, interest or any other payment due on any Senior Indebtedness of the Issuer continuing beyond the period of grace, if any, specified in the instrument or lease evidencing such Senior Indebtedness of the Issuer, then, unless and until such default shall have been cured or waived or shall have ceased to exist, no payment shall be made by the Issuer with respect to the principal of or interest on the Securities, except sinking fund obligations satisfied by credit of acquired Securities under Section 12.05 prior to the happening of such default and payments made pursuant to Article 10 hereof from monies deposited with the Trustee pursuant thereto prior to the happening of such default. </w:t>
      </w:r>
    </w:p>
    <w:p>
      <w:pPr>
        <w:pStyle w:val="TextBody"/>
        <w:bidi w:val="0"/>
        <w:spacing w:before="240" w:after="0"/>
        <w:jc w:val="left"/>
        <w:rPr>
          <w:rFonts w:ascii="Times New Roman" w:hAnsi="Times New Roman"/>
          <w:sz w:val="20"/>
        </w:rPr>
      </w:pPr>
      <w:r>
        <w:rPr>
          <w:rFonts w:ascii="Times New Roman" w:hAnsi="Times New Roman"/>
          <w:sz w:val="20"/>
        </w:rPr>
        <w:t xml:space="preserve">Upon any payment by the Issuer, or distribution of assets of the Issuer of any kind or character, whether in cash, property or securities, to creditors upon any dissolution or winding-up or liquidation or reorganization of the Issuer, whether voluntary or involuntary or in bankruptcy, insolvency, receivership or other proceedings, all amounts due or to become due upon all Senior Indebtedness of the Issuer shall first be paid in full, or payment thereof provided for in money in accordance with its terms, before any payment is made on account of the principal or interest on the Securities (except payments made pursuant to Article 10 hereof from monies deposited with the Trustee pursuant thereto prior to the happening of such dissolution, winding-up, liquidation or reorganization); and upon any such dissolution or winding-up or liquidation or reorganization any payment by the Issuer, or distribution of assets of the Issuer of any kind or character, whether in cash, property or securities, to which the holders of the Securities or the Trustee would be entitled, except for the provisions of this Article 13, shall (except as aforesaid) be paid by the Issuer or by any receiver, trustee in bankruptcy, liquidating trustee, agent or other Person making such payment or distribution, or by the holders of the Securities or by the Trustee under this Indenture if received by them or it, directly to the holders of Senior Indebtedness of the Issuer (pro rata to such holders on the basis of the respective amounts of Senior Indebtedness of the Issuer held by such holders, as calculated by the Issuer) or their representative or representatives, or to the trustee or trustees under any indenture pursuant to which any instruments evidencing any Senior Indebtedness of the Issuer may have been issued, as their respective interests may appear, to the extent necessary to pay all Senior Indebtedness of the Issuer in full, in money or money’s worth, after giving effect to any concurrent payment or distribution to or for the holders of Senior Indebtedness of the Issuer, before any payment or distribution is made to the holders of the Securities or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notwithstanding the foregoing, any payment or distribution of assets of the Issuer of any kind or character, whether in cash, property or securities, prohibited by the foregoing, shall be received by the Trustee or the holders of the Securities before all Senior Indebtedness of the Issuer is paid in full, or provision is made for such payment in money in accordance with its terms, such payment or distribution shall be held in trust for the benefit of and shall be paid over or delivered to the holders of Senior Indebtedness of the Issuer or their representative or representatives, or to the trustee or trustees under any indenture pursuant to which any instruments evidencing any Senior Indebtedness of the Issuer may have been issued, as their respective interests may appear, as calculated by the Issuer, for application to the payment of all Senior Indebtedness of the Issuer remaining unpaid to the extent necessary to pay all Senior Indebtedness of the Issuer in full in money in accordance with its terms, after giving effect to any concurrent payment or distribution to or for the holders of such Senior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Article 13, the words, “cash, property or securities” shall not be deemed to include shares of stock of the Issuer as reorganized or readjusted, or securities of the Issuer or any other corporation provided for by a plan of reorganization or readjustment, the payment of which is subordinated at least to the extent provided in this Article 13 with respect to the Securities to the payment of all Senior Indebtedness of the Issuer which may at the time be outstanding; provided that (i) the Senior Indebtedness of the Issuer is assumed by the new corporation, if any, resulting from any such reorganization or readjustment, and (ii) the rights of the holders of the Senior Indebtedness of the Issuer (other than leases) and of leases which are assumed are not, without the consent of such holders, altered by such reorganization or readjustment. </w:t>
      </w:r>
    </w:p>
    <w:p>
      <w:pPr>
        <w:pStyle w:val="TextBody"/>
        <w:bidi w:val="0"/>
        <w:spacing w:before="240" w:after="0"/>
        <w:jc w:val="left"/>
        <w:rPr>
          <w:rFonts w:ascii="Times New Roman" w:hAnsi="Times New Roman"/>
          <w:sz w:val="20"/>
        </w:rPr>
      </w:pPr>
      <w:r>
        <w:rPr>
          <w:rFonts w:ascii="Times New Roman" w:hAnsi="Times New Roman"/>
          <w:sz w:val="20"/>
        </w:rPr>
        <w:t xml:space="preserve">The consolidation of the Issuer with, or the merger of the Issuer into, another Person or the liquidation or dissolution of the Issuer following the conveyance or transfer of its property as an entirety, or substantially as an entirety, to another Person upon the terms and conditions provided for in Article 9 hereof shall not be deemed a dissolution, winding-up, liquidation or reorganization for the purposes of this Section 13.02 if such other Person shall, as a part of such consolidation, merger, conveyance or transfer, comply with the conditions stated in Article 9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13.03 </w:t>
      </w:r>
      <w:r>
        <w:rPr>
          <w:rFonts w:ascii="Times New Roman" w:hAnsi="Times New Roman"/>
          <w:i/>
          <w:sz w:val="20"/>
        </w:rPr>
        <w:t xml:space="preserve">Subrogation of Securities. </w:t>
      </w:r>
      <w:r>
        <w:rPr>
          <w:rFonts w:ascii="Times New Roman" w:hAnsi="Times New Roman"/>
          <w:sz w:val="20"/>
        </w:rPr>
        <w:t xml:space="preserve">Subject to the payment in full of all Senior Indebtedness of the Issuer, the rights of the holders of the Securities shall be subrogated to the rights of the holders of Senior Indebtedness of the Issuer to receive payments or distributions of cash, property or securities of the Issuer applicable to the Senior Indebtedness of the Issuer until the principal of and interest on the Securities shall be paid in full; and, for the purposes of such subrogation, no payments or distributions to or for the benefit of the holders of the Senior Indebtedness of the Issuer or the Trustee of any cash, property or securities to which the holders of the Securities or the Trustee would be entitled except for the provisions of this Article 13, shall, as between the Issuer, its creditors other than holders of Senior Indebtedness of the Issuer, and the holders of the Securities, be deemed to be a payment by the Issuer to or on account of the Senior Indebtedness of the Issuer. It is understood that the provisions of this Article 13 are and are intended solely for the purpose of defining the relative rights of the holders of the Securities, on the one hand, and the holders of the Senior Indebtedness of the Issuer,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Article 13 or elsewhere in this Indenture or in the Securities is intended to or shall impair, as between the Issuer, its creditors other than the holders of its Senior Indebtedness, and the holders of the Securities, the obligation of the Issuer, which is absolute and unconditional, to pay to the holders of the Securities the principal of and interest on the Securities as and when the same shall become due and payable in accordance with their terms, or is intended to or shall affect the relative rights of the holders of the Securities and creditors of the Issuer other than the holders of its Senior Indebtedness, nor shall anything herein or therein prevent the Trustee or the holder of any Security from exercising all remedies otherwise permitted by applicable law upon default under this Indenture, subject to the rights, if any, under this Article 13 of the holders of Senior Indebtedness of the Issuer in respect of cash, property or securities of the Issuer received upon the exercise of any such remedy. </w:t>
      </w:r>
    </w:p>
    <w:p>
      <w:pPr>
        <w:pStyle w:val="TextBody"/>
        <w:bidi w:val="0"/>
        <w:spacing w:before="240" w:after="0"/>
        <w:jc w:val="left"/>
        <w:rPr>
          <w:rFonts w:ascii="Times New Roman" w:hAnsi="Times New Roman"/>
          <w:sz w:val="20"/>
        </w:rPr>
      </w:pPr>
      <w:r>
        <w:rPr>
          <w:rFonts w:ascii="Times New Roman" w:hAnsi="Times New Roman"/>
          <w:sz w:val="20"/>
        </w:rPr>
        <w:t xml:space="preserve">Upon any payment or distribution of assets of the Issuer referred to in this Article 13, the Trustee, subject to the provisions of Section 6.01,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Issuer, the amount thereof or payable thereon, the amount or amounts paid or distributed thereon and all other facts pertinent thereto or to this Article 13. </w:t>
      </w:r>
    </w:p>
    <w:p>
      <w:pPr>
        <w:pStyle w:val="TextBody"/>
        <w:bidi w:val="0"/>
        <w:spacing w:before="240" w:after="0"/>
        <w:jc w:val="left"/>
        <w:rPr>
          <w:rFonts w:ascii="Times New Roman" w:hAnsi="Times New Roman"/>
          <w:sz w:val="20"/>
        </w:rPr>
      </w:pPr>
      <w:r>
        <w:rPr>
          <w:rFonts w:ascii="Times New Roman" w:hAnsi="Times New Roman"/>
          <w:sz w:val="20"/>
        </w:rPr>
        <w:t xml:space="preserve">Section 13.04 </w:t>
      </w:r>
      <w:r>
        <w:rPr>
          <w:rFonts w:ascii="Times New Roman" w:hAnsi="Times New Roman"/>
          <w:i/>
          <w:sz w:val="20"/>
        </w:rPr>
        <w:t xml:space="preserve">Authorization by Securityholders. </w:t>
      </w:r>
      <w:r>
        <w:rPr>
          <w:rFonts w:ascii="Times New Roman" w:hAnsi="Times New Roman"/>
          <w:sz w:val="20"/>
        </w:rPr>
        <w:t xml:space="preserve">Each holder of a Security by its acceptance thereof authorizes and directs the Trustee on its behalf to take such action as may be necessary or appropriate to effectuate the subordination provided in this Article 13 appoints the Trustee its attorney-in-fact for any and all such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13.05 </w:t>
      </w:r>
      <w:r>
        <w:rPr>
          <w:rFonts w:ascii="Times New Roman" w:hAnsi="Times New Roman"/>
          <w:i/>
          <w:sz w:val="20"/>
        </w:rPr>
        <w:t xml:space="preserve">Notice to Trustee. </w:t>
      </w:r>
      <w:r>
        <w:rPr>
          <w:rFonts w:ascii="Times New Roman" w:hAnsi="Times New Roman"/>
          <w:sz w:val="20"/>
        </w:rPr>
        <w:t xml:space="preserve">The Issuer shall give prompt written notice to a Responsible Officer of the Trustee of any fact known to the Issuer which would prohibit the making of any payment of monies to or by the Trustee in respect of the Securities pursuant to the provisions of this Article 13. Notwithstanding the provisions of this Article 13 or any other provision of this Indenture, the Trustee shall not be charged with knowledge of the existence of any facts which would prohibit the making of any payment of monies to or by the Trustee in respect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Securities pursuant to the provisions of this Article 13, unless and until a Responsible Officer of the Trustee shall have received written notice thereof at the Corporate Trust Office of the Trustee from the Issuer or a holder or holders of Senior Indebtedness of the Issuer or from any trustee therefor; and before the receipt of any such written notice, the Trustee, subject to the provisions of Section 6.01, shall be entitled in all respects to assume that no such facts exist; </w:t>
      </w:r>
      <w:r>
        <w:rPr>
          <w:rFonts w:ascii="Times New Roman" w:hAnsi="Times New Roman"/>
          <w:i/>
          <w:sz w:val="20"/>
        </w:rPr>
        <w:t>provided</w:t>
      </w:r>
      <w:r>
        <w:rPr>
          <w:rFonts w:ascii="Times New Roman" w:hAnsi="Times New Roman"/>
          <w:sz w:val="20"/>
        </w:rPr>
        <w:t xml:space="preserve"> that if on a date not fewer than three Business Days prior to the date upon which by the terms hereof any such monies may become payable for any purpose (including, without limitation, the payment of the principal of or interest on any Security) the Trustee shall not have received, with respect to such monies, the notice provided for in this Section 13.05,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 </w:t>
      </w:r>
    </w:p>
    <w:p>
      <w:pPr>
        <w:pStyle w:val="TextBody"/>
        <w:bidi w:val="0"/>
        <w:spacing w:before="240" w:after="0"/>
        <w:jc w:val="left"/>
        <w:rPr>
          <w:rFonts w:ascii="Times New Roman" w:hAnsi="Times New Roman"/>
          <w:sz w:val="20"/>
        </w:rPr>
      </w:pPr>
      <w:r>
        <w:rPr>
          <w:rFonts w:ascii="Times New Roman" w:hAnsi="Times New Roman"/>
          <w:sz w:val="20"/>
        </w:rPr>
        <w:t xml:space="preserve">The Trustee conclusively shall be entitled to rely on the delivery to it of a written notice by a Person representing himself to be a holder of Senior Indebtedness of the Issuer (or a trustee on behalf of such holder) to establish that such notice has been given by a holder of Senior Indebtedness of the Issuer or a trustee on behalf of any such holder or holders. In the event that the Trustee determines in good faith that further evidence is required with respect to the right of any Person as a holder of Senior Indebtedness of the Issuer to participate in any payment or distribution pursuant to this Article 13, the Trustee may request such Person to furnish evidence to the reasonable satisfaction of the Trustee as to the amount of Senior Indebtedness of the Issuer held by such Person, the extent to which such Person is entitled to participate in such payment or distribution and any other facts pertinent to the rights of such Person under this Article 13, and if such evidence is not furnished the Trustee may defer any payment to such Person pending judicial determination as to the right of such Person to receive such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13.06 </w:t>
      </w:r>
      <w:r>
        <w:rPr>
          <w:rFonts w:ascii="Times New Roman" w:hAnsi="Times New Roman"/>
          <w:i/>
          <w:sz w:val="20"/>
        </w:rPr>
        <w:t xml:space="preserve">Trustee’s Relation to Senior Indebtedness. </w:t>
      </w:r>
      <w:r>
        <w:rPr>
          <w:rFonts w:ascii="Times New Roman" w:hAnsi="Times New Roman"/>
          <w:sz w:val="20"/>
        </w:rPr>
        <w:t xml:space="preserve">The Trustee in its individual capacity shall be entitled to all the rights set forth in this Article 13 in respect of any Senior Indebtedness of the Issuer at any time held by it, to the same extent as any other holder of Senior Indebtedness of the Issuer and nothing elsewhere in this Indenture shall deprive the Trustee of any of its rights as such holder.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holders of Senior Indebtedness of the Issuer, the Trustee undertakes to perform or to observe only such of its covenants and obligations as are specifically set forth in this Article 13, and no implied covenants or obligations with respect to the holders of Senior Indebtedness of the Issuer shall be read into this Indenture against the Trustee. The Trustee shall not be deemed to owe any fiduciary duty to the holders of Senior Indebtedness of the Issuer and the Trustee shall not be liable to any holder of Senior Indebtedness of the Issuer if it shall pay over or deliver to holders of Securities, the Issuer or any other Person money or assets to which any holder of Senior Indebtedness of the Issuer shall be entitled by virtue of this Article 13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13.07 </w:t>
      </w:r>
      <w:r>
        <w:rPr>
          <w:rFonts w:ascii="Times New Roman" w:hAnsi="Times New Roman"/>
          <w:i/>
          <w:sz w:val="20"/>
        </w:rPr>
        <w:t xml:space="preserve">No Impairment of Subordination. </w:t>
      </w:r>
      <w:r>
        <w:rPr>
          <w:rFonts w:ascii="Times New Roman" w:hAnsi="Times New Roman"/>
          <w:sz w:val="20"/>
        </w:rPr>
        <w:t xml:space="preserve">No right of any present or future holder of any Senior Indebtedness of the Issuer to enforce subordination as herein provided shall at any time in any way be prejudiced or impaired by any act or failure to act on the part of the Issuer or by any act or failure to act, in good faith, by any such holder, or by any noncompliance by the Issuer with the terms, provisions and covenants of this Indenture, regardless of any knowledge thereof which any such holder may have or otherwise be charged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13.08 </w:t>
      </w:r>
      <w:r>
        <w:rPr>
          <w:rFonts w:ascii="Times New Roman" w:hAnsi="Times New Roman"/>
          <w:i/>
          <w:sz w:val="20"/>
        </w:rPr>
        <w:t xml:space="preserve">Rights of Trustee. </w:t>
      </w:r>
      <w:r>
        <w:rPr>
          <w:rFonts w:ascii="Times New Roman" w:hAnsi="Times New Roman"/>
          <w:sz w:val="20"/>
        </w:rPr>
        <w:t xml:space="preserve">Nothing in this Article 13 shall apply to claims of or payments to, the Trustee pursuant to Section 6.06.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556"/>
        <w:gridCol w:w="310"/>
        <w:gridCol w:w="1216"/>
      </w:tblGrid>
      <w:tr>
        <w:trPr/>
        <w:tc>
          <w:tcPr>
            <w:tcW w:w="2556"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SOLID BIOSCIENCES INC.</w:t>
            </w:r>
          </w:p>
        </w:tc>
      </w:tr>
      <w:tr>
        <w:trPr>
          <w:trHeight w:val="240" w:hRule="atLeast"/>
        </w:trPr>
        <w:tc>
          <w:tcPr>
            <w:tcW w:w="2556" w:type="dxa"/>
            <w:tcBorders/>
            <w:vAlign w:val="center"/>
          </w:tcPr>
          <w:p>
            <w:pPr>
              <w:pStyle w:val="TableContents"/>
              <w:bidi w:val="0"/>
              <w:spacing w:before="0" w:after="283"/>
              <w:jc w:val="left"/>
              <w:rPr>
                <w:sz w:val="4"/>
                <w:szCs w:val="4"/>
              </w:rPr>
            </w:pPr>
            <w:r>
              <w:rPr>
                <w:sz w:val="4"/>
                <w:szCs w:val="4"/>
              </w:rPr>
            </w:r>
          </w:p>
        </w:tc>
        <w:tc>
          <w:tcPr>
            <w:tcW w:w="1526"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10" w:type="dxa"/>
            <w:tcBorders>
              <w:bottom w:val="single" w:sz="2" w:space="0" w:color="000000"/>
            </w:tcBorders>
            <w:tcMar>
              <w:bottom w:w="28" w:type="dxa"/>
            </w:tcMar>
            <w:vAlign w:val="bottom"/>
          </w:tcPr>
          <w:p>
            <w:pPr>
              <w:pStyle w:val="TableContents"/>
              <w:bidi w:val="0"/>
              <w:spacing w:before="0" w:after="283"/>
              <w:jc w:val="left"/>
              <w:rPr/>
            </w:pPr>
            <w:r>
              <w:rPr/>
              <w:t> </w:t>
            </w:r>
          </w:p>
        </w:tc>
        <w:tc>
          <w:tcPr>
            <w:tcW w:w="1216" w:type="dxa"/>
            <w:tcBorders>
              <w:bottom w:val="single" w:sz="2" w:space="0" w:color="000000"/>
            </w:tcBorders>
            <w:tcMar>
              <w:bottom w:w="28" w:type="dxa"/>
            </w:tcMar>
          </w:tcPr>
          <w:p>
            <w:pPr>
              <w:pStyle w:val="TableContents"/>
              <w:bidi w:val="0"/>
              <w:spacing w:before="0" w:after="283"/>
              <w:jc w:val="left"/>
              <w:rPr/>
            </w:pPr>
            <w:r>
              <w:rPr/>
              <w:t> </w:t>
            </w:r>
          </w:p>
        </w:tc>
      </w:tr>
      <w:tr>
        <w:trPr/>
        <w:tc>
          <w:tcPr>
            <w:tcW w:w="255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31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31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Attest:</w:t>
            </w:r>
          </w:p>
        </w:tc>
      </w:tr>
      <w:tr>
        <w:trPr>
          <w:trHeight w:val="240" w:hRule="atLeast"/>
        </w:trPr>
        <w:tc>
          <w:tcPr>
            <w:tcW w:w="2556" w:type="dxa"/>
            <w:tcBorders/>
            <w:vAlign w:val="center"/>
          </w:tcPr>
          <w:p>
            <w:pPr>
              <w:pStyle w:val="TableContents"/>
              <w:bidi w:val="0"/>
              <w:spacing w:before="0" w:after="283"/>
              <w:jc w:val="left"/>
              <w:rPr>
                <w:sz w:val="4"/>
                <w:szCs w:val="4"/>
              </w:rPr>
            </w:pPr>
            <w:r>
              <w:rPr>
                <w:sz w:val="4"/>
                <w:szCs w:val="4"/>
              </w:rPr>
            </w:r>
          </w:p>
        </w:tc>
        <w:tc>
          <w:tcPr>
            <w:tcW w:w="1526"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10" w:type="dxa"/>
            <w:tcBorders>
              <w:bottom w:val="single" w:sz="2" w:space="0" w:color="000000"/>
            </w:tcBorders>
            <w:tcMar>
              <w:bottom w:w="28" w:type="dxa"/>
            </w:tcMar>
            <w:vAlign w:val="bottom"/>
          </w:tcPr>
          <w:p>
            <w:pPr>
              <w:pStyle w:val="TableContents"/>
              <w:bidi w:val="0"/>
              <w:spacing w:before="0" w:after="283"/>
              <w:jc w:val="left"/>
              <w:rPr/>
            </w:pPr>
            <w:r>
              <w:rPr/>
              <w:t> </w:t>
            </w:r>
          </w:p>
        </w:tc>
        <w:tc>
          <w:tcPr>
            <w:tcW w:w="1216" w:type="dxa"/>
            <w:tcBorders>
              <w:bottom w:val="single" w:sz="2" w:space="0" w:color="000000"/>
            </w:tcBorders>
            <w:tcMar>
              <w:bottom w:w="28" w:type="dxa"/>
            </w:tcMar>
          </w:tcPr>
          <w:p>
            <w:pPr>
              <w:pStyle w:val="TableContents"/>
              <w:bidi w:val="0"/>
              <w:spacing w:before="0" w:after="283"/>
              <w:jc w:val="left"/>
              <w:rPr/>
            </w:pPr>
            <w:r>
              <w:rPr/>
              <w:t> </w:t>
            </w:r>
          </w:p>
        </w:tc>
      </w:tr>
      <w:tr>
        <w:trPr/>
        <w:tc>
          <w:tcPr>
            <w:tcW w:w="255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31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31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u w:val="single"/>
              </w:rPr>
              <w:t>             </w:t>
            </w:r>
            <w:r>
              <w:rPr/>
              <w:t>, Trustee</w:t>
            </w:r>
          </w:p>
        </w:tc>
      </w:tr>
      <w:tr>
        <w:trPr>
          <w:trHeight w:val="240" w:hRule="atLeast"/>
        </w:trPr>
        <w:tc>
          <w:tcPr>
            <w:tcW w:w="2556" w:type="dxa"/>
            <w:tcBorders/>
            <w:vAlign w:val="center"/>
          </w:tcPr>
          <w:p>
            <w:pPr>
              <w:pStyle w:val="TableContents"/>
              <w:bidi w:val="0"/>
              <w:spacing w:before="0" w:after="283"/>
              <w:jc w:val="left"/>
              <w:rPr>
                <w:sz w:val="4"/>
                <w:szCs w:val="4"/>
              </w:rPr>
            </w:pPr>
            <w:r>
              <w:rPr>
                <w:sz w:val="4"/>
                <w:szCs w:val="4"/>
              </w:rPr>
            </w:r>
          </w:p>
        </w:tc>
        <w:tc>
          <w:tcPr>
            <w:tcW w:w="1526"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10" w:type="dxa"/>
            <w:tcBorders>
              <w:bottom w:val="single" w:sz="2" w:space="0" w:color="000000"/>
            </w:tcBorders>
            <w:tcMar>
              <w:bottom w:w="28" w:type="dxa"/>
            </w:tcMar>
            <w:vAlign w:val="bottom"/>
          </w:tcPr>
          <w:p>
            <w:pPr>
              <w:pStyle w:val="TableContents"/>
              <w:bidi w:val="0"/>
              <w:spacing w:before="0" w:after="283"/>
              <w:jc w:val="left"/>
              <w:rPr/>
            </w:pPr>
            <w:r>
              <w:rPr/>
              <w:t> </w:t>
            </w:r>
          </w:p>
        </w:tc>
        <w:tc>
          <w:tcPr>
            <w:tcW w:w="1216" w:type="dxa"/>
            <w:tcBorders>
              <w:bottom w:val="single" w:sz="2" w:space="0" w:color="000000"/>
            </w:tcBorders>
            <w:tcMar>
              <w:bottom w:w="28" w:type="dxa"/>
            </w:tcMar>
          </w:tcPr>
          <w:p>
            <w:pPr>
              <w:pStyle w:val="TableContents"/>
              <w:bidi w:val="0"/>
              <w:spacing w:before="0" w:after="283"/>
              <w:jc w:val="left"/>
              <w:rPr/>
            </w:pPr>
            <w:r>
              <w:rPr/>
              <w:t> </w:t>
            </w:r>
          </w:p>
        </w:tc>
      </w:tr>
      <w:tr>
        <w:trPr/>
        <w:tc>
          <w:tcPr>
            <w:tcW w:w="255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31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sz w:val="4"/>
                <w:szCs w:val="4"/>
              </w:rPr>
            </w:pPr>
            <w:r>
              <w:rPr>
                <w:sz w:val="4"/>
                <w:szCs w:val="4"/>
              </w:rPr>
            </w:r>
          </w:p>
        </w:tc>
      </w:tr>
      <w:tr>
        <w:trPr/>
        <w:tc>
          <w:tcPr>
            <w:tcW w:w="255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310" w:type="dxa"/>
            <w:tcBorders/>
            <w:vAlign w:val="bottom"/>
          </w:tcPr>
          <w:p>
            <w:pPr>
              <w:pStyle w:val="TableContents"/>
              <w:bidi w:val="0"/>
              <w:spacing w:before="0" w:after="283"/>
              <w:jc w:val="left"/>
              <w:rPr/>
            </w:pPr>
            <w:r>
              <w:rPr/>
              <w:t> </w:t>
            </w:r>
          </w:p>
        </w:tc>
        <w:tc>
          <w:tcPr>
            <w:tcW w:w="121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24" w:name="d274438dex46.htm"/>
      <w:bookmarkStart w:id="25" w:name="ksd274438dex46"/>
      <w:bookmarkEnd w:id="24"/>
      <w:bookmarkEnd w:id="25"/>
      <w:r>
        <w:rPr>
          <w:rFonts w:ascii="Times New Roman" w:hAnsi="Times New Roman"/>
          <w:b/>
          <w:sz w:val="20"/>
        </w:rPr>
        <w:t xml:space="preserve">Exhibit 4.6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Senior Note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(FACE OF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Each</w:t>
      </w:r>
      <w:r>
        <w:rPr>
          <w:rFonts w:ascii="Times New Roman" w:hAnsi="Times New Roman"/>
          <w:sz w:val="20"/>
        </w:rPr>
        <w:t xml:space="preserve"> </w:t>
      </w:r>
      <w:r>
        <w:rPr>
          <w:rFonts w:ascii="Times New Roman" w:hAnsi="Times New Roman"/>
          <w:i/>
          <w:sz w:val="20"/>
        </w:rPr>
        <w:t>Global Security shall bear substantially the following legend: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360" w:after="0"/>
        <w:jc w:val="left"/>
        <w:rPr>
          <w:rFonts w:ascii="Times New Roman" w:hAnsi="Times New Roman"/>
          <w:sz w:val="20"/>
        </w:rPr>
      </w:pPr>
      <w:r>
        <w:rPr>
          <w:rFonts w:ascii="Times New Roman" w:hAnsi="Times New Roman"/>
          <w:sz w:val="20"/>
        </w:rPr>
        <w:t>[</w:t>
      </w:r>
      <w:r>
        <w:rPr>
          <w:rFonts w:ascii="Times New Roman" w:hAnsi="Times New Roman"/>
          <w:i/>
          <w:sz w:val="20"/>
        </w:rPr>
        <w:t>If the Security has original issue discount for U.S. federal income tax purposes, insert tax legend: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FOR PURPOSES OF SECTIONS 1272, 1273 AND 1275 OF THE INTERNAL REVENUE CODE OF 1986, AS AMENDED, AND THE RULES AND REGULATIONS THEREUNDER, THIS NOTE IS BEING ISSUED WITH ORIGINAL ISSUE DISCOUNT; PLEASE CONTACT [NAME OF CFO OR TAX DIRECTOR], [TITLE], [ISSUER], [ISSUER ADDRESS], TELEPHONE: [###], TO OBTAIN INFORMATION REGARDING THE ISSUE PRICE, THE ISSUE DATE, THE AMOUNT OF ORIGINAL ISSUE DISCOUNT AND THE YIELD TO MATURITY.</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SOLID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 Title of Security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30"/>
        <w:gridCol w:w="122"/>
        <w:gridCol w:w="4953"/>
      </w:tblGrid>
      <w:tr>
        <w:trPr/>
        <w:tc>
          <w:tcPr>
            <w:tcW w:w="513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53" w:type="dxa"/>
            <w:tcBorders/>
            <w:vAlign w:val="center"/>
          </w:tcPr>
          <w:p>
            <w:pPr>
              <w:pStyle w:val="TableContents"/>
              <w:bidi w:val="0"/>
              <w:spacing w:before="0" w:after="283"/>
              <w:jc w:val="left"/>
              <w:rPr>
                <w:sz w:val="4"/>
                <w:szCs w:val="4"/>
              </w:rPr>
            </w:pPr>
            <w:r>
              <w:rPr>
                <w:sz w:val="4"/>
                <w:szCs w:val="4"/>
              </w:rPr>
            </w:r>
          </w:p>
        </w:tc>
      </w:tr>
      <w:tr>
        <w:trPr/>
        <w:tc>
          <w:tcPr>
            <w:tcW w:w="5130" w:type="dxa"/>
            <w:tcBorders/>
            <w:vAlign w:val="bottom"/>
          </w:tcPr>
          <w:p>
            <w:pPr>
              <w:pStyle w:val="TableContents"/>
              <w:bidi w:val="0"/>
              <w:spacing w:before="0" w:after="283"/>
              <w:jc w:val="left"/>
              <w:rPr/>
            </w:pPr>
            <w:r>
              <w:rPr/>
              <w:t>No. [ ]</w:t>
            </w:r>
          </w:p>
        </w:tc>
        <w:tc>
          <w:tcPr>
            <w:tcW w:w="122" w:type="dxa"/>
            <w:tcBorders/>
            <w:vAlign w:val="bottom"/>
          </w:tcPr>
          <w:p>
            <w:pPr>
              <w:pStyle w:val="TableContents"/>
              <w:bidi w:val="0"/>
              <w:spacing w:before="0" w:after="283"/>
              <w:jc w:val="left"/>
              <w:rPr/>
            </w:pPr>
            <w:r>
              <w:rPr/>
              <w:t>  </w:t>
            </w:r>
          </w:p>
        </w:tc>
        <w:tc>
          <w:tcPr>
            <w:tcW w:w="4953" w:type="dxa"/>
            <w:tcBorders/>
            <w:vAlign w:val="bottom"/>
          </w:tcPr>
          <w:p>
            <w:pPr>
              <w:pStyle w:val="TableContents"/>
              <w:bidi w:val="0"/>
              <w:spacing w:before="0" w:after="283"/>
              <w:jc w:val="right"/>
              <w:rPr/>
            </w:pPr>
            <w:r>
              <w:rPr/>
              <w:t>CUSIP No.: [ ]</w:t>
            </w:r>
          </w:p>
        </w:tc>
      </w:tr>
      <w:tr>
        <w:trPr/>
        <w:tc>
          <w:tcPr>
            <w:tcW w:w="513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53" w:type="dxa"/>
            <w:tcBorders/>
            <w:vAlign w:val="bottom"/>
          </w:tcPr>
          <w:p>
            <w:pPr>
              <w:pStyle w:val="TableContents"/>
              <w:bidi w:val="0"/>
              <w:spacing w:before="0" w:after="283"/>
              <w:jc w:val="right"/>
              <w:rPr/>
            </w:pPr>
            <w:r>
              <w:rPr/>
              <w:t>[Common Code][ISIN]: [ ]</w:t>
            </w:r>
          </w:p>
        </w:tc>
      </w:tr>
      <w:tr>
        <w:trPr/>
        <w:tc>
          <w:tcPr>
            <w:tcW w:w="513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53" w:type="dxa"/>
            <w:tcBorders/>
            <w:vAlign w:val="bottom"/>
          </w:tcPr>
          <w:p>
            <w:pPr>
              <w:pStyle w:val="TableContents"/>
              <w:bidi w:val="0"/>
              <w:spacing w:before="0" w:after="283"/>
              <w:jc w:val="righ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Solid Biosciences Inc., a Delaware corporation (the “Issuer”, which term includes any successor corporation), for value received promises to pay to [</w:t>
      </w:r>
      <w:r>
        <w:rPr>
          <w:rFonts w:ascii="Times New Roman" w:hAnsi="Times New Roman"/>
          <w:i/>
          <w:sz w:val="20"/>
        </w:rPr>
        <w:t xml:space="preserve">If the Security is a Global Security — </w:t>
      </w:r>
      <w:r>
        <w:rPr>
          <w:rFonts w:ascii="Times New Roman" w:hAnsi="Times New Roman"/>
          <w:sz w:val="20"/>
        </w:rPr>
        <w:t>CEDE &amp; CO.][</w:t>
      </w:r>
      <w:r>
        <w:rPr>
          <w:rFonts w:ascii="Times New Roman" w:hAnsi="Times New Roman"/>
          <w:i/>
          <w:sz w:val="20"/>
        </w:rPr>
        <w:t>If the Security is not a Global Security — __________</w:t>
      </w:r>
      <w:r>
        <w:rPr>
          <w:rFonts w:ascii="Times New Roman" w:hAnsi="Times New Roman"/>
          <w:sz w:val="20"/>
        </w:rPr>
        <w:t>] or registered assigns, the principal sum of __________ on __________,____ (the “Maturity Date”) [</w:t>
      </w:r>
      <w:r>
        <w:rPr>
          <w:rFonts w:ascii="Times New Roman" w:hAnsi="Times New Roman"/>
          <w:i/>
          <w:sz w:val="20"/>
        </w:rPr>
        <w:t>If the Security is to bear interest prior to maturity, insert—</w:t>
      </w:r>
      <w:r>
        <w:rPr>
          <w:rFonts w:ascii="Times New Roman" w:hAnsi="Times New Roman"/>
          <w:sz w:val="20"/>
        </w:rPr>
        <w:t xml:space="preserve">, and to pay interest thereon from _____________ or from the most recent interest payment date to which interest has been paid or duly provided for, </w:t>
      </w:r>
      <w:r>
        <w:rPr>
          <w:rFonts w:ascii="Times New Roman" w:hAnsi="Times New Roman"/>
          <w:i/>
          <w:sz w:val="20"/>
        </w:rPr>
        <w:t>[semiannually in arrears on ______ and ______ in each year</w:t>
      </w:r>
      <w:r>
        <w:rPr>
          <w:rFonts w:ascii="Times New Roman" w:hAnsi="Times New Roman"/>
          <w:sz w:val="20"/>
        </w:rPr>
        <w:t>], commencing _________, ____ (each, an “Interest Payment Date”) at the rate of [</w:t>
      </w:r>
      <w:r>
        <w:rPr>
          <w:rFonts w:ascii="Times New Roman" w:hAnsi="Times New Roman"/>
          <w:i/>
          <w:sz w:val="20"/>
        </w:rPr>
        <w:t>___% per annum</w:t>
      </w:r>
      <w:r>
        <w:rPr>
          <w:rFonts w:ascii="Times New Roman" w:hAnsi="Times New Roman"/>
          <w:sz w:val="20"/>
        </w:rPr>
        <w:t>], until the principal hereof is paid or made available for payment [</w:t>
      </w:r>
      <w:r>
        <w:rPr>
          <w:rFonts w:ascii="Times New Roman" w:hAnsi="Times New Roman"/>
          <w:i/>
          <w:sz w:val="20"/>
        </w:rPr>
        <w:t>If applicable insert—,</w:t>
      </w:r>
      <w:r>
        <w:rPr>
          <w:rFonts w:ascii="Times New Roman" w:hAnsi="Times New Roman"/>
          <w:sz w:val="20"/>
        </w:rPr>
        <w:t xml:space="preserve"> and (to the extent that the payment of such interest shall be legally enforceable) at the rate of ___% per annum on any overdue principal and on any overdue installment of interest]. The interest so payable, and punctually paid or duly provided for, on any Interest Payment Date will, as provided in the Indenture (as defined below), be paid to the Holder in whose name this Security (or one or more predecessor Securities) is registered at the close of business on the record date for such interest, which shall be the _______ or ________ (whether or not a Business Day), as the case may be, next preceding such Interest Payment Date (each, an “Interest Record Date”). Interest will be computed on the basis of [</w:t>
      </w:r>
      <w:r>
        <w:rPr>
          <w:rFonts w:ascii="Times New Roman" w:hAnsi="Times New Roman"/>
          <w:i/>
          <w:sz w:val="20"/>
        </w:rPr>
        <w:t>a 360-day year of twelve 30-day months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If the Security is not to bear interest prior to maturity, insert—</w:t>
      </w:r>
      <w:r>
        <w:rPr>
          <w:rFonts w:ascii="Times New Roman" w:hAnsi="Times New Roman"/>
          <w:sz w:val="20"/>
        </w:rPr>
        <w:t xml:space="preserve">The principal of this Security shall not bear interest except in the case of a default in payment of principal upon acceleration, upon redemption or at maturity and, in each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set forth on the reverse of this Security contained herein, which will for all purposes have the same effect as if set forth at this place.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Security to be signed manually or by facsimile by its duly authorized officer under its corporate seal.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674"/>
        <w:gridCol w:w="60"/>
        <w:gridCol w:w="2891"/>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Solid Biosciences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4"/>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gridSpan w:val="3"/>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91"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91"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76"/>
        <w:gridCol w:w="60"/>
        <w:gridCol w:w="3346"/>
      </w:tblGrid>
      <w:tr>
        <w:trPr/>
        <w:tc>
          <w:tcPr>
            <w:tcW w:w="6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Attest:</w:t>
            </w:r>
          </w:p>
        </w:tc>
      </w:tr>
      <w:tr>
        <w:trPr>
          <w:trHeight w:val="240" w:hRule="atLeast"/>
        </w:trPr>
        <w:tc>
          <w:tcPr>
            <w:tcW w:w="676" w:type="dxa"/>
            <w:tcBorders/>
            <w:vAlign w:val="center"/>
          </w:tcPr>
          <w:p>
            <w:pPr>
              <w:pStyle w:val="TableContents"/>
              <w:bidi w:val="0"/>
              <w:spacing w:before="0" w:after="283"/>
              <w:jc w:val="left"/>
              <w:rPr>
                <w:sz w:val="4"/>
                <w:szCs w:val="4"/>
              </w:rPr>
            </w:pPr>
            <w:r>
              <w:rPr>
                <w:sz w:val="4"/>
                <w:szCs w:val="4"/>
              </w:rPr>
            </w:r>
          </w:p>
        </w:tc>
        <w:tc>
          <w:tcPr>
            <w:tcW w:w="3406" w:type="dxa"/>
            <w:gridSpan w:val="2"/>
            <w:tcBorders/>
            <w:vAlign w:val="center"/>
          </w:tcPr>
          <w:p>
            <w:pPr>
              <w:pStyle w:val="TableContents"/>
              <w:bidi w:val="0"/>
              <w:spacing w:before="0" w:after="283"/>
              <w:jc w:val="left"/>
              <w:rPr>
                <w:sz w:val="4"/>
                <w:szCs w:val="4"/>
              </w:rPr>
            </w:pPr>
            <w:r>
              <w:rPr>
                <w:sz w:val="4"/>
                <w:szCs w:val="4"/>
              </w:rPr>
            </w:r>
          </w:p>
        </w:tc>
      </w:tr>
      <w:tr>
        <w:trPr/>
        <w:tc>
          <w:tcPr>
            <w:tcW w:w="67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346" w:type="dxa"/>
            <w:tcBorders/>
          </w:tcPr>
          <w:p>
            <w:pPr>
              <w:pStyle w:val="TableContents"/>
              <w:pBdr>
                <w:bottom w:val="single" w:sz="2" w:space="1" w:color="000000"/>
              </w:pBdr>
              <w:bidi w:val="0"/>
              <w:spacing w:before="0" w:after="20"/>
              <w:jc w:val="left"/>
              <w:rPr/>
            </w:pPr>
            <w:r>
              <w:rPr/>
              <w:t> </w:t>
            </w:r>
          </w:p>
        </w:tc>
      </w:tr>
      <w:tr>
        <w:trPr/>
        <w:tc>
          <w:tcPr>
            <w:tcW w:w="67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46" w:type="dxa"/>
            <w:tcBorders/>
          </w:tcPr>
          <w:p>
            <w:pPr>
              <w:pStyle w:val="TableContents"/>
              <w:pBdr>
                <w:bottom w:val="single" w:sz="2" w:space="1" w:color="000000"/>
              </w:pBdr>
              <w:bidi w:val="0"/>
              <w:spacing w:before="0" w:after="20"/>
              <w:jc w:val="left"/>
              <w:rPr/>
            </w:pPr>
            <w:r>
              <w:rPr/>
              <w:t> </w:t>
            </w:r>
          </w:p>
        </w:tc>
      </w:tr>
      <w:tr>
        <w:trPr/>
        <w:tc>
          <w:tcPr>
            <w:tcW w:w="67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46"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is one of the Securities of the series designated herein and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32"/>
        <w:gridCol w:w="114"/>
        <w:gridCol w:w="933"/>
        <w:gridCol w:w="114"/>
        <w:gridCol w:w="2289"/>
      </w:tblGrid>
      <w:tr>
        <w:trPr/>
        <w:tc>
          <w:tcPr>
            <w:tcW w:w="632"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____________, as Trustee</w:t>
            </w:r>
          </w:p>
        </w:tc>
      </w:tr>
      <w:tr>
        <w:trPr>
          <w:trHeight w:val="240" w:hRule="atLeast"/>
        </w:trPr>
        <w:tc>
          <w:tcPr>
            <w:tcW w:w="632" w:type="dxa"/>
            <w:tcBorders/>
            <w:vAlign w:val="center"/>
          </w:tcPr>
          <w:p>
            <w:pPr>
              <w:pStyle w:val="TableContents"/>
              <w:bidi w:val="0"/>
              <w:spacing w:before="0" w:after="283"/>
              <w:jc w:val="left"/>
              <w:rPr>
                <w:sz w:val="4"/>
                <w:szCs w:val="4"/>
              </w:rPr>
            </w:pPr>
            <w:r>
              <w:rPr>
                <w:sz w:val="4"/>
                <w:szCs w:val="4"/>
              </w:rPr>
            </w:r>
          </w:p>
        </w:tc>
        <w:tc>
          <w:tcPr>
            <w:tcW w:w="3450"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tcPr>
          <w:p>
            <w:pPr>
              <w:pStyle w:val="TableContents"/>
              <w:bidi w:val="0"/>
              <w:spacing w:before="0" w:after="283"/>
              <w:jc w:val="left"/>
              <w:rPr/>
            </w:pPr>
            <w:r>
              <w:rPr/>
              <w:t>By:</w:t>
            </w:r>
          </w:p>
        </w:tc>
        <w:tc>
          <w:tcPr>
            <w:tcW w:w="114" w:type="dxa"/>
            <w:tcBorders/>
            <w:vAlign w:val="bottom"/>
          </w:tcPr>
          <w:p>
            <w:pPr>
              <w:pStyle w:val="TableContents"/>
              <w:bidi w:val="0"/>
              <w:spacing w:before="0" w:after="283"/>
              <w:jc w:val="left"/>
              <w:rPr/>
            </w:pPr>
            <w:r>
              <w:rPr/>
              <w:t> </w:t>
            </w:r>
          </w:p>
        </w:tc>
        <w:tc>
          <w:tcPr>
            <w:tcW w:w="3336" w:type="dxa"/>
            <w:gridSpan w:val="3"/>
            <w:tcBorders/>
          </w:tcPr>
          <w:p>
            <w:pPr>
              <w:pStyle w:val="TableContents"/>
              <w:pBdr>
                <w:bottom w:val="single" w:sz="2" w:space="1" w:color="000000"/>
              </w:pBdr>
              <w:bidi w:val="0"/>
              <w:spacing w:before="0" w:after="20"/>
              <w:jc w:val="left"/>
              <w:rPr/>
            </w:pPr>
            <w:r>
              <w:rPr/>
              <w:t> </w:t>
            </w:r>
          </w:p>
        </w:tc>
      </w:tr>
      <w:tr>
        <w:trPr/>
        <w:tc>
          <w:tcPr>
            <w:tcW w:w="632"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933" w:type="dxa"/>
            <w:tcBorders/>
          </w:tcPr>
          <w:p>
            <w:pPr>
              <w:pStyle w:val="TableContents"/>
              <w:bidi w:val="0"/>
              <w:spacing w:before="0" w:after="283"/>
              <w:jc w:val="left"/>
              <w:rPr/>
            </w:pPr>
            <w:r>
              <w:rPr/>
              <w:t>Title:</w:t>
            </w:r>
          </w:p>
        </w:tc>
        <w:tc>
          <w:tcPr>
            <w:tcW w:w="114" w:type="dxa"/>
            <w:tcBorders/>
            <w:vAlign w:val="bottom"/>
          </w:tcPr>
          <w:p>
            <w:pPr>
              <w:pStyle w:val="TableContents"/>
              <w:bidi w:val="0"/>
              <w:spacing w:before="0" w:after="283"/>
              <w:jc w:val="left"/>
              <w:rPr/>
            </w:pPr>
            <w:r>
              <w:rPr/>
              <w:t> </w:t>
            </w:r>
          </w:p>
        </w:tc>
        <w:tc>
          <w:tcPr>
            <w:tcW w:w="2289"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(REVERSE OF SECURITY) </w:t>
      </w:r>
    </w:p>
    <w:p>
      <w:pPr>
        <w:pStyle w:val="TextBody"/>
        <w:bidi w:val="0"/>
        <w:spacing w:before="120" w:after="0"/>
        <w:jc w:val="center"/>
        <w:rPr>
          <w:rFonts w:ascii="Times New Roman" w:hAnsi="Times New Roman"/>
          <w:b/>
          <w:sz w:val="20"/>
        </w:rPr>
      </w:pPr>
      <w:r>
        <w:rPr>
          <w:rFonts w:ascii="Times New Roman" w:hAnsi="Times New Roman"/>
          <w:b/>
          <w:sz w:val="20"/>
        </w:rPr>
        <w:t xml:space="preserve">SOLID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 Title of Security ] </w:t>
      </w:r>
    </w:p>
    <w:p>
      <w:pPr>
        <w:pStyle w:val="TextBody"/>
        <w:bidi w:val="0"/>
        <w:spacing w:before="240" w:after="0"/>
        <w:jc w:val="left"/>
        <w:rPr>
          <w:rFonts w:ascii="Times New Roman" w:hAnsi="Times New Roman"/>
          <w:sz w:val="20"/>
        </w:rPr>
      </w:pPr>
      <w:r>
        <w:rPr>
          <w:rFonts w:ascii="Times New Roman" w:hAnsi="Times New Roman"/>
          <w:sz w:val="20"/>
        </w:rPr>
        <w:t xml:space="preserve">1. Indenture </w:t>
      </w:r>
    </w:p>
    <w:p>
      <w:pPr>
        <w:pStyle w:val="TextBody"/>
        <w:bidi w:val="0"/>
        <w:spacing w:before="240" w:after="0"/>
        <w:jc w:val="left"/>
        <w:rPr>
          <w:rFonts w:ascii="Times New Roman" w:hAnsi="Times New Roman"/>
          <w:sz w:val="20"/>
        </w:rPr>
      </w:pPr>
      <w:r>
        <w:rPr>
          <w:rFonts w:ascii="Times New Roman" w:hAnsi="Times New Roman"/>
          <w:sz w:val="20"/>
        </w:rPr>
        <w:t>This Security is one of a duly authorized issue of debentures, notes or other evidence of indebtedness (hereinafter called the “Securities”) of the Issuer of the series hereinafter specified, which series is initially limited in aggregate principal amount to [</w:t>
      </w:r>
      <w:r>
        <w:rPr>
          <w:rFonts w:ascii="Times New Roman" w:hAnsi="Times New Roman"/>
          <w:i/>
          <w:sz w:val="20"/>
        </w:rPr>
        <w:t>$</w:t>
      </w:r>
      <w:r>
        <w:rPr>
          <w:rFonts w:ascii="Times New Roman" w:hAnsi="Times New Roman"/>
          <w:sz w:val="20"/>
        </w:rPr>
        <w:t xml:space="preserve">]____________, all of such Securities issued and to be issued under an Indenture dated as of ________, _____ (the “Indenture”) between the Issuer and __________________________ as trustee (the “Trustee”). Capitalized terms herein are used as defined 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 </w:t>
      </w:r>
    </w:p>
    <w:p>
      <w:pPr>
        <w:pStyle w:val="TextBody"/>
        <w:bidi w:val="0"/>
        <w:spacing w:before="240" w:after="0"/>
        <w:jc w:val="left"/>
        <w:rPr>
          <w:rFonts w:ascii="Times New Roman" w:hAnsi="Times New Roman"/>
          <w:sz w:val="20"/>
        </w:rPr>
      </w:pPr>
      <w:r>
        <w:rPr>
          <w:rFonts w:ascii="Times New Roman" w:hAnsi="Times New Roman"/>
          <w:sz w:val="20"/>
        </w:rPr>
        <w:t>This Security is one of a series of Securities designated pursuant to the Indenture [and a [</w:t>
      </w:r>
      <w:r>
        <w:rPr>
          <w:rFonts w:ascii="Times New Roman" w:hAnsi="Times New Roman"/>
          <w:i/>
          <w:sz w:val="20"/>
        </w:rPr>
        <w:t>Supplemental Indenture</w:t>
      </w:r>
      <w:r>
        <w:rPr>
          <w:rFonts w:ascii="Times New Roman" w:hAnsi="Times New Roman"/>
          <w:sz w:val="20"/>
        </w:rPr>
        <w:t xml:space="preserve">] dated _____, _____, issued pursuant to Section 2.01 and Section 2.03 thereof (the “Supplemental Indenture”)] as ________________. The Securities are general unsecured obligations of the Issuer. The Issuer may, subject to the provisions of the Indenture and applicable law, issue additional Securities of any series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2. Method of Payment. </w:t>
      </w:r>
    </w:p>
    <w:p>
      <w:pPr>
        <w:pStyle w:val="TextBody"/>
        <w:bidi w:val="0"/>
        <w:spacing w:before="240" w:after="0"/>
        <w:jc w:val="left"/>
        <w:rPr>
          <w:rFonts w:ascii="Times New Roman" w:hAnsi="Times New Roman"/>
          <w:sz w:val="20"/>
        </w:rPr>
      </w:pPr>
      <w:r>
        <w:rPr>
          <w:rFonts w:ascii="Times New Roman" w:hAnsi="Times New Roman"/>
          <w:sz w:val="20"/>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Times New Roman" w:hAnsi="Times New Roman"/>
          <w:i/>
          <w:sz w:val="20"/>
        </w:rPr>
        <w:t>the United States</w:t>
      </w:r>
      <w:r>
        <w:rPr>
          <w:rFonts w:ascii="Times New Roman" w:hAnsi="Times New Roman"/>
          <w:sz w:val="20"/>
        </w:rPr>
        <w:t>] that at the time of payment is legal tender for payment of public and private debts. [However, the payments of interest, and any portion of the Principal (other than interest payable at maturity or on any redemption or repayment date or the final payment of Principal) shall be made by the Paying Agent, upon receipt from the Issuer of immediately available funds by __________ [</w:t>
      </w:r>
      <w:r>
        <w:rPr>
          <w:rFonts w:ascii="Times New Roman" w:hAnsi="Times New Roman"/>
          <w:i/>
          <w:sz w:val="20"/>
        </w:rPr>
        <w:t>a./p.m.</w:t>
      </w:r>
      <w:r>
        <w:rPr>
          <w:rFonts w:ascii="Times New Roman" w:hAnsi="Times New Roman"/>
          <w:sz w:val="20"/>
        </w:rPr>
        <w:t xml:space="preserve">],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w:t>
      </w:r>
    </w:p>
    <w:p>
      <w:pPr>
        <w:pStyle w:val="TextBody"/>
        <w:bidi w:val="0"/>
        <w:spacing w:before="240" w:after="0"/>
        <w:jc w:val="left"/>
        <w:rPr>
          <w:rFonts w:ascii="Times New Roman" w:hAnsi="Times New Roman"/>
          <w:sz w:val="20"/>
        </w:rPr>
      </w:pPr>
      <w:r>
        <w:rPr>
          <w:rFonts w:ascii="Times New Roman" w:hAnsi="Times New Roman"/>
          <w:sz w:val="20"/>
        </w:rPr>
        <w:t xml:space="preserve">3. Redemption.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 xml:space="preserve">The Securities of this series may be redeemed at any time </w:t>
      </w:r>
      <w:r>
        <w:rPr>
          <w:rFonts w:ascii="Times New Roman" w:hAnsi="Times New Roman"/>
          <w:sz w:val="20"/>
        </w:rPr>
        <w:t>[</w:t>
      </w:r>
      <w:r>
        <w:rPr>
          <w:rFonts w:ascii="Times New Roman" w:hAnsi="Times New Roman"/>
          <w:i/>
          <w:sz w:val="20"/>
        </w:rPr>
        <w:t>on or after ______, ______</w:t>
      </w:r>
      <w:r>
        <w:rPr>
          <w:rFonts w:ascii="Times New Roman" w:hAnsi="Times New Roman"/>
          <w:sz w:val="20"/>
        </w:rPr>
        <w:t>]</w:t>
      </w:r>
      <w:r>
        <w:rPr>
          <w:rFonts w:ascii="Times New Roman" w:hAnsi="Times New Roman"/>
          <w:i/>
          <w:sz w:val="20"/>
        </w:rPr>
        <w:t>, as a whole or in part, at the option of the Issuer, upon mailing notice of such redemption not less than 10 and not more than 60 days to the Holders of such Securities, at a redemption price equal to ___________</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Paying Agent and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Initially, the Trustee will act as Paying Agent and Security Registrar. The Issuer may change any Paying Agent or Security Registrar without notice to the 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Denominations; Transfer; Exchange. </w:t>
      </w:r>
    </w:p>
    <w:p>
      <w:pPr>
        <w:pStyle w:val="TextBody"/>
        <w:bidi w:val="0"/>
        <w:spacing w:before="240" w:after="0"/>
        <w:jc w:val="left"/>
        <w:rPr>
          <w:rFonts w:ascii="Times New Roman" w:hAnsi="Times New Roman"/>
          <w:sz w:val="20"/>
        </w:rPr>
      </w:pPr>
      <w:r>
        <w:rPr>
          <w:rFonts w:ascii="Times New Roman" w:hAnsi="Times New Roman"/>
          <w:sz w:val="20"/>
        </w:rPr>
        <w:t>The Securities are in registered form, without coupons, in denominations of [</w:t>
      </w:r>
      <w:r>
        <w:rPr>
          <w:rFonts w:ascii="Times New Roman" w:hAnsi="Times New Roman"/>
          <w:i/>
          <w:sz w:val="20"/>
        </w:rPr>
        <w:t>$1,000</w:t>
      </w:r>
      <w:r>
        <w:rPr>
          <w:rFonts w:ascii="Times New Roman" w:hAnsi="Times New Roman"/>
          <w:sz w:val="20"/>
        </w:rPr>
        <w:t>] and multiples of [</w:t>
      </w:r>
      <w:r>
        <w:rPr>
          <w:rFonts w:ascii="Times New Roman" w:hAnsi="Times New Roman"/>
          <w:i/>
          <w:sz w:val="20"/>
        </w:rPr>
        <w:t>$1,000</w:t>
      </w:r>
      <w:r>
        <w:rPr>
          <w:rFonts w:ascii="Times New Roman" w:hAnsi="Times New Roman"/>
          <w:sz w:val="20"/>
        </w:rPr>
        <w:t>].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w:t>
      </w:r>
      <w:r>
        <w:rPr>
          <w:rFonts w:ascii="Times New Roman" w:hAnsi="Times New Roman"/>
          <w:i/>
          <w:sz w:val="20"/>
        </w:rPr>
        <w:t>The Issuer need not register the transfer of or exchange (a)</w:t>
      </w:r>
      <w:r>
        <w:rPr>
          <w:rFonts w:ascii="Times New Roman" w:hAnsi="Times New Roman"/>
          <w:sz w:val="20"/>
        </w:rPr>
        <w:t> </w:t>
      </w:r>
      <w:r>
        <w:rPr>
          <w:rFonts w:ascii="Times New Roman" w:hAnsi="Times New Roman"/>
          <w:i/>
          <w:sz w:val="20"/>
        </w:rPr>
        <w:t>any Securities for a period of fifteen (15)</w:t>
      </w:r>
      <w:r>
        <w:rPr>
          <w:rFonts w:ascii="Times New Roman" w:hAnsi="Times New Roman"/>
          <w:sz w:val="20"/>
        </w:rPr>
        <w:t> </w:t>
      </w:r>
      <w:r>
        <w:rPr>
          <w:rFonts w:ascii="Times New Roman" w:hAnsi="Times New Roman"/>
          <w:i/>
          <w:sz w:val="20"/>
        </w:rPr>
        <w:t>days preceding the first notice that such Securities are to be redeemed, or (b)</w:t>
      </w:r>
      <w:r>
        <w:rPr>
          <w:rFonts w:ascii="Times New Roman" w:hAnsi="Times New Roman"/>
          <w:sz w:val="20"/>
        </w:rPr>
        <w:t> </w:t>
      </w:r>
      <w:r>
        <w:rPr>
          <w:rFonts w:ascii="Times New Roman" w:hAnsi="Times New Roman"/>
          <w:i/>
          <w:sz w:val="20"/>
        </w:rPr>
        <w:t>any Securities selected, called or being called for redemption in whole or in part, except, in the case of any Security to be redeemed in part, the portion thereof not to be so redeemed.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 Persons Deemed Owners.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Holder of a Security shall be treated as the owner of it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7. Unclaimed Funds. </w:t>
      </w:r>
    </w:p>
    <w:p>
      <w:pPr>
        <w:pStyle w:val="TextBody"/>
        <w:bidi w:val="0"/>
        <w:spacing w:before="240" w:after="0"/>
        <w:jc w:val="left"/>
        <w:rPr>
          <w:rFonts w:ascii="Times New Roman" w:hAnsi="Times New Roman"/>
          <w:sz w:val="20"/>
        </w:rPr>
      </w:pPr>
      <w:r>
        <w:rPr>
          <w:rFonts w:ascii="Times New Roman" w:hAnsi="Times New Roman"/>
          <w:sz w:val="20"/>
        </w:rPr>
        <w:t xml:space="preserve">If funds for the payment of principal or interest remain unclaimed for two years, the Trustee and the Paying Agent will repay the funds to the Issuer. After that, all liability of the Trustee and such Paying Agent with respect to such funds shall cease. </w:t>
      </w:r>
    </w:p>
    <w:p>
      <w:pPr>
        <w:pStyle w:val="TextBody"/>
        <w:bidi w:val="0"/>
        <w:spacing w:before="240" w:after="0"/>
        <w:jc w:val="left"/>
        <w:rPr>
          <w:rFonts w:ascii="Times New Roman" w:hAnsi="Times New Roman"/>
          <w:sz w:val="20"/>
        </w:rPr>
      </w:pPr>
      <w:r>
        <w:rPr>
          <w:rFonts w:ascii="Times New Roman" w:hAnsi="Times New Roman"/>
          <w:sz w:val="20"/>
        </w:rPr>
        <w:t xml:space="preserve">8. Defeasance. </w:t>
      </w:r>
    </w:p>
    <w:p>
      <w:pPr>
        <w:pStyle w:val="TextBody"/>
        <w:bidi w:val="0"/>
        <w:spacing w:before="240" w:after="0"/>
        <w:jc w:val="left"/>
        <w:rPr>
          <w:rFonts w:ascii="Times New Roman" w:hAnsi="Times New Roman"/>
          <w:sz w:val="20"/>
        </w:rPr>
      </w:pPr>
      <w:r>
        <w:rPr>
          <w:rFonts w:ascii="Times New Roman" w:hAnsi="Times New Roman"/>
          <w:sz w:val="20"/>
        </w:rPr>
        <w:t>The Indenture [</w:t>
      </w:r>
      <w:r>
        <w:rPr>
          <w:rFonts w:ascii="Times New Roman" w:hAnsi="Times New Roman"/>
          <w:i/>
          <w:sz w:val="20"/>
        </w:rPr>
        <w:t>as amended by the Supplemental Indenture</w:t>
      </w:r>
      <w:r>
        <w:rPr>
          <w:rFonts w:ascii="Times New Roman" w:hAnsi="Times New Roman"/>
          <w:sz w:val="20"/>
        </w:rPr>
        <w:t>] contains provisions for defeasance at any time of (a) the entire indebtedness of the Issuer on this Security and (b) certain restrictive covenants and the related Events of Default, upon compliance by the Issuer with certain conditions set forth therein, which provisions [</w:t>
      </w:r>
      <w:r>
        <w:rPr>
          <w:rFonts w:ascii="Times New Roman" w:hAnsi="Times New Roman"/>
          <w:i/>
          <w:sz w:val="20"/>
        </w:rPr>
        <w:t>apply</w:t>
      </w:r>
      <w:r>
        <w:rPr>
          <w:rFonts w:ascii="Times New Roman" w:hAnsi="Times New Roman"/>
          <w:sz w:val="20"/>
        </w:rPr>
        <w:t xml:space="preserve">] to this Security. </w:t>
      </w:r>
    </w:p>
    <w:p>
      <w:pPr>
        <w:pStyle w:val="TextBody"/>
        <w:bidi w:val="0"/>
        <w:spacing w:before="240" w:after="0"/>
        <w:jc w:val="left"/>
        <w:rPr>
          <w:rFonts w:ascii="Times New Roman" w:hAnsi="Times New Roman"/>
          <w:sz w:val="20"/>
        </w:rPr>
      </w:pPr>
      <w:r>
        <w:rPr>
          <w:rFonts w:ascii="Times New Roman" w:hAnsi="Times New Roman"/>
          <w:sz w:val="20"/>
        </w:rPr>
        <w:t xml:space="preserve">9. Amendment; Supplement; Waiver.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Securities of this series, [the Supplemental Indenture] and the provisions of the Indenture relating to the Securities of this series may be amended or supplemented with the written consent of the Holders of at least a majority in aggregate principal amount of the Securities of this series then outstanding, and any existing Default or Event of Default, other than the non-payment of the principal amount of or interest on the Securities of 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 </w:t>
      </w:r>
    </w:p>
    <w:p>
      <w:pPr>
        <w:pStyle w:val="TextBody"/>
        <w:bidi w:val="0"/>
        <w:spacing w:before="240" w:after="0"/>
        <w:jc w:val="left"/>
        <w:rPr>
          <w:rFonts w:ascii="Times New Roman" w:hAnsi="Times New Roman"/>
          <w:sz w:val="20"/>
        </w:rPr>
      </w:pPr>
      <w:r>
        <w:rPr>
          <w:rFonts w:ascii="Times New Roman" w:hAnsi="Times New Roman"/>
          <w:sz w:val="20"/>
        </w:rPr>
        <w:t xml:space="preserve">10. Defaults and Remedies. </w:t>
      </w:r>
    </w:p>
    <w:p>
      <w:pPr>
        <w:pStyle w:val="TextBody"/>
        <w:bidi w:val="0"/>
        <w:spacing w:before="240" w:after="0"/>
        <w:jc w:val="left"/>
        <w:rPr>
          <w:rFonts w:ascii="Times New Roman" w:hAnsi="Times New Roman"/>
          <w:sz w:val="20"/>
        </w:rPr>
      </w:pPr>
      <w:r>
        <w:rPr>
          <w:rFonts w:ascii="Times New Roman" w:hAnsi="Times New Roman"/>
          <w:sz w:val="20"/>
        </w:rPr>
        <w:t>If an Event of Default (other than certain bankruptcy Events of Default with respect to the Issuer) occurs 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Times New Roman" w:hAnsi="Times New Roman"/>
          <w:i/>
          <w:sz w:val="20"/>
        </w:rPr>
        <w:t>the entire principal</w:t>
      </w:r>
      <w:r>
        <w:rPr>
          <w:rFonts w:ascii="Times New Roman" w:hAnsi="Times New Roman"/>
          <w:sz w:val="20"/>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Times New Roman" w:hAnsi="Times New Roman"/>
          <w:i/>
          <w:sz w:val="20"/>
        </w:rPr>
        <w:t>the entire principal</w:t>
      </w:r>
      <w:r>
        <w:rPr>
          <w:rFonts w:ascii="Times New Roman" w:hAnsi="Times New Roman"/>
          <w:sz w:val="20"/>
        </w:rPr>
        <w:t xml:space="preserve">] of the Securities then outstanding and interest accrued thereon, if any, shall become automatically due and payable immediately in the manner and with 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Trustee Dealings with Issuer. </w:t>
      </w:r>
    </w:p>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become the owner or pledgee of Securities and may otherwise deal with the Issuer as if it were not the Trustee. </w:t>
      </w:r>
    </w:p>
    <w:p>
      <w:pPr>
        <w:pStyle w:val="TextBody"/>
        <w:bidi w:val="0"/>
        <w:spacing w:before="240" w:after="0"/>
        <w:jc w:val="left"/>
        <w:rPr>
          <w:rFonts w:ascii="Times New Roman" w:hAnsi="Times New Roman"/>
          <w:sz w:val="20"/>
        </w:rPr>
      </w:pPr>
      <w:r>
        <w:rPr>
          <w:rFonts w:ascii="Times New Roman" w:hAnsi="Times New Roman"/>
          <w:sz w:val="20"/>
        </w:rPr>
        <w:t xml:space="preserve">12. No Recourse Against Others. </w:t>
      </w:r>
    </w:p>
    <w:p>
      <w:pPr>
        <w:pStyle w:val="TextBody"/>
        <w:bidi w:val="0"/>
        <w:spacing w:before="240" w:after="0"/>
        <w:jc w:val="left"/>
        <w:rPr>
          <w:rFonts w:ascii="Times New Roman" w:hAnsi="Times New Roman"/>
          <w:sz w:val="20"/>
        </w:rPr>
      </w:pPr>
      <w:r>
        <w:rPr>
          <w:rFonts w:ascii="Times New Roman" w:hAnsi="Times New Roman"/>
          <w:sz w:val="20"/>
        </w:rPr>
        <w:t xml:space="preserve">No stockholder, director, officer, employee or incorporator, past, present or future as such, of the Issuer or 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13.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Security shall not be valid until the Trustee manually signs the certificate of authentication on this Security.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Abbreviations and Defined Terms. </w:t>
      </w:r>
    </w:p>
    <w:p>
      <w:pPr>
        <w:pStyle w:val="TextBody"/>
        <w:bidi w:val="0"/>
        <w:spacing w:before="240" w:after="0"/>
        <w:jc w:val="left"/>
        <w:rPr>
          <w:rFonts w:ascii="Times New Roman" w:hAnsi="Times New Roman"/>
          <w:sz w:val="20"/>
        </w:rPr>
      </w:pPr>
      <w:r>
        <w:rPr>
          <w:rFonts w:ascii="Times New Roman" w:hAnsi="Times New Roman"/>
          <w:sz w:val="20"/>
        </w:rPr>
        <w:t xml:space="preserve">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15. CUSIP Numbers.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 </w:t>
      </w:r>
    </w:p>
    <w:p>
      <w:pPr>
        <w:pStyle w:val="TextBody"/>
        <w:bidi w:val="0"/>
        <w:spacing w:before="240" w:after="0"/>
        <w:jc w:val="left"/>
        <w:rPr>
          <w:rFonts w:ascii="Times New Roman" w:hAnsi="Times New Roman"/>
          <w:sz w:val="20"/>
        </w:rPr>
      </w:pPr>
      <w:r>
        <w:rPr>
          <w:rFonts w:ascii="Times New Roman" w:hAnsi="Times New Roman"/>
          <w:sz w:val="20"/>
        </w:rPr>
        <w:t xml:space="preserve">16. Governing Law. </w:t>
      </w:r>
    </w:p>
    <w:p>
      <w:pPr>
        <w:pStyle w:val="TextBody"/>
        <w:bidi w:val="0"/>
        <w:spacing w:before="240" w:after="0"/>
        <w:jc w:val="left"/>
        <w:rPr>
          <w:rFonts w:ascii="Times New Roman" w:hAnsi="Times New Roman"/>
          <w:sz w:val="20"/>
        </w:rPr>
      </w:pPr>
      <w:r>
        <w:rPr>
          <w:rFonts w:ascii="Times New Roman" w:hAnsi="Times New Roman"/>
          <w:sz w:val="20"/>
        </w:rPr>
        <w:t xml:space="preserve">The laws of the State of New York shall govern the Indenture and this Security thereof, and for all purposes 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 </w:t>
      </w:r>
    </w:p>
    <w:p>
      <w:pPr>
        <w:pStyle w:val="TextBody"/>
        <w:bidi w:val="0"/>
        <w:spacing w:before="48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I or we assign and transfer this Security to </w:t>
      </w:r>
    </w:p>
    <w:p>
      <w:pPr>
        <w:pStyle w:val="TextBody"/>
        <w:bidi w:val="0"/>
        <w:spacing w:before="240" w:after="0"/>
        <w:jc w:val="center"/>
        <w:rPr>
          <w:rFonts w:ascii="Times New Roman" w:hAnsi="Times New Roman"/>
          <w:sz w:val="20"/>
        </w:rPr>
      </w:pPr>
      <w:r>
        <w:rPr>
          <w:rFonts w:ascii="Times New Roman" w:hAnsi="Times New Roman"/>
          <w:sz w:val="20"/>
        </w:rPr>
        <w:t xml:space="preserve">(Print or type name, address and zip code of assignee or transferee) </w:t>
      </w:r>
    </w:p>
    <w:p>
      <w:pPr>
        <w:pStyle w:val="TextBody"/>
        <w:bidi w:val="0"/>
        <w:spacing w:before="240" w:after="0"/>
        <w:jc w:val="center"/>
        <w:rPr>
          <w:rFonts w:ascii="Times New Roman" w:hAnsi="Times New Roman"/>
          <w:sz w:val="20"/>
        </w:rPr>
      </w:pPr>
      <w:r>
        <w:rPr>
          <w:rFonts w:ascii="Times New Roman" w:hAnsi="Times New Roman"/>
          <w:sz w:val="20"/>
        </w:rPr>
        <w:t xml:space="preserve">(Insert Social Security or other identifying number of assignee or transferee)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______________________________________________ agent to transfer this Security on the books of the Issuer. The agent may substitute another to act for him.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92"/>
        <w:gridCol w:w="120"/>
        <w:gridCol w:w="710"/>
        <w:gridCol w:w="120"/>
        <w:gridCol w:w="3863"/>
      </w:tblGrid>
      <w:tr>
        <w:trPr/>
        <w:tc>
          <w:tcPr>
            <w:tcW w:w="539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63" w:type="dxa"/>
            <w:tcBorders/>
            <w:vAlign w:val="center"/>
          </w:tcPr>
          <w:p>
            <w:pPr>
              <w:pStyle w:val="TableContents"/>
              <w:bidi w:val="0"/>
              <w:spacing w:before="0" w:after="283"/>
              <w:jc w:val="left"/>
              <w:rPr>
                <w:sz w:val="4"/>
                <w:szCs w:val="4"/>
              </w:rPr>
            </w:pPr>
            <w:r>
              <w:rPr>
                <w:sz w:val="4"/>
                <w:szCs w:val="4"/>
              </w:rPr>
            </w:r>
          </w:p>
        </w:tc>
      </w:tr>
      <w:tr>
        <w:trPr/>
        <w:tc>
          <w:tcPr>
            <w:tcW w:w="5392" w:type="dxa"/>
            <w:tcBorders/>
            <w:vAlign w:val="bottom"/>
          </w:tcPr>
          <w:p>
            <w:pPr>
              <w:pStyle w:val="TableContents"/>
              <w:bidi w:val="0"/>
              <w:spacing w:before="0" w:after="283"/>
              <w:jc w:val="left"/>
              <w:rPr/>
            </w:pPr>
            <w:r>
              <w:rPr/>
              <w:t xml:space="preserve">Dated: </w:t>
            </w:r>
            <w:r>
              <w:rPr>
                <w:u w:val="single"/>
              </w:rPr>
              <w:t>                    </w:t>
            </w:r>
          </w:p>
        </w:tc>
        <w:tc>
          <w:tcPr>
            <w:tcW w:w="12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pPr>
            <w:r>
              <w:rPr/>
              <w:t>Signed:</w:t>
            </w:r>
          </w:p>
        </w:tc>
        <w:tc>
          <w:tcPr>
            <w:tcW w:w="120" w:type="dxa"/>
            <w:tcBorders/>
            <w:vAlign w:val="bottom"/>
          </w:tcPr>
          <w:p>
            <w:pPr>
              <w:pStyle w:val="TableContents"/>
              <w:bidi w:val="0"/>
              <w:spacing w:before="0" w:after="283"/>
              <w:jc w:val="left"/>
              <w:rPr/>
            </w:pPr>
            <w:r>
              <w:rPr/>
              <w:t>  </w:t>
            </w:r>
          </w:p>
        </w:tc>
        <w:tc>
          <w:tcPr>
            <w:tcW w:w="3863" w:type="dxa"/>
            <w:tcBorders/>
            <w:vAlign w:val="bottom"/>
          </w:tcPr>
          <w:p>
            <w:pPr>
              <w:pStyle w:val="TableContents"/>
              <w:pBdr>
                <w:bottom w:val="single" w:sz="2" w:space="1" w:color="000000"/>
              </w:pBdr>
              <w:bidi w:val="0"/>
              <w:spacing w:before="0" w:after="20"/>
              <w:jc w:val="left"/>
              <w:rPr/>
            </w:pPr>
            <w:r>
              <w:rPr/>
              <w:t> </w:t>
            </w:r>
          </w:p>
        </w:tc>
      </w:tr>
      <w:tr>
        <w:trPr/>
        <w:tc>
          <w:tcPr>
            <w:tcW w:w="539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863" w:type="dxa"/>
            <w:tcBorders/>
            <w:vAlign w:val="bottom"/>
          </w:tcPr>
          <w:p>
            <w:pPr>
              <w:pStyle w:val="TableContents"/>
              <w:bidi w:val="0"/>
              <w:spacing w:before="0" w:after="283"/>
              <w:jc w:val="left"/>
              <w:rPr/>
            </w:pPr>
            <w:r>
              <w:rPr/>
              <w:t>(Signed exactly as name appears on the other side of this Security)</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00"/>
        <w:gridCol w:w="137"/>
        <w:gridCol w:w="9068"/>
      </w:tblGrid>
      <w:tr>
        <w:trPr/>
        <w:tc>
          <w:tcPr>
            <w:tcW w:w="100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9068" w:type="dxa"/>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Guarantee:</w:t>
            </w:r>
          </w:p>
        </w:tc>
        <w:tc>
          <w:tcPr>
            <w:tcW w:w="137" w:type="dxa"/>
            <w:tcBorders/>
            <w:vAlign w:val="bottom"/>
          </w:tcPr>
          <w:p>
            <w:pPr>
              <w:pStyle w:val="TableContents"/>
              <w:bidi w:val="0"/>
              <w:spacing w:before="0" w:after="283"/>
              <w:jc w:val="left"/>
              <w:rPr/>
            </w:pPr>
            <w:r>
              <w:rPr/>
              <w:t>  </w:t>
            </w:r>
          </w:p>
        </w:tc>
        <w:tc>
          <w:tcPr>
            <w:tcW w:w="9068" w:type="dxa"/>
            <w:tcBorders/>
            <w:vAlign w:val="bottom"/>
          </w:tcPr>
          <w:p>
            <w:pPr>
              <w:pStyle w:val="TableContents"/>
              <w:bidi w:val="0"/>
              <w:spacing w:before="0" w:after="283"/>
              <w:jc w:val="left"/>
              <w:rPr>
                <w:u w:val="single"/>
              </w:rPr>
            </w:pPr>
            <w:r>
              <w:rPr>
                <w:u w:val="single"/>
              </w:rPr>
              <w:t>                      </w:t>
            </w:r>
          </w:p>
        </w:tc>
      </w:tr>
      <w:tr>
        <w:trPr/>
        <w:tc>
          <w:tcPr>
            <w:tcW w:w="100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9068" w:type="dxa"/>
            <w:tcBorders/>
            <w:vAlign w:val="bottom"/>
          </w:tcPr>
          <w:p>
            <w:pPr>
              <w:pStyle w:val="TableContents"/>
              <w:bidi w:val="0"/>
              <w:spacing w:before="0" w:after="283"/>
              <w:jc w:val="left"/>
              <w:rPr/>
            </w:pPr>
            <w:r>
              <w:rPr/>
              <w:t>Participant in a recognized Signature Guarantee Medallion Program (or other signature guarantor program reasonably acceptable to the Trustee)</w:t>
            </w:r>
          </w:p>
        </w:tc>
      </w:tr>
    </w:tbl>
    <w:p>
      <w:pPr>
        <w:pStyle w:val="TextBody"/>
        <w:bidi w:val="0"/>
        <w:spacing w:before="0" w:after="0"/>
        <w:jc w:val="right"/>
        <w:rPr>
          <w:rFonts w:ascii="Times New Roman" w:hAnsi="Times New Roman"/>
          <w:b/>
          <w:sz w:val="20"/>
        </w:rPr>
      </w:pPr>
      <w:bookmarkStart w:id="26" w:name="d274438dex47.htm"/>
      <w:bookmarkStart w:id="27" w:name="ksd274438dex47"/>
      <w:bookmarkEnd w:id="26"/>
      <w:bookmarkEnd w:id="27"/>
      <w:r>
        <w:rPr>
          <w:rFonts w:ascii="Times New Roman" w:hAnsi="Times New Roman"/>
          <w:b/>
          <w:sz w:val="20"/>
        </w:rPr>
        <w:t xml:space="preserve">Exhibit 4.7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Subordinated Note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(FACE OF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Each</w:t>
      </w:r>
      <w:r>
        <w:rPr>
          <w:rFonts w:ascii="Times New Roman" w:hAnsi="Times New Roman"/>
          <w:sz w:val="20"/>
        </w:rPr>
        <w:t xml:space="preserve"> </w:t>
      </w:r>
      <w:r>
        <w:rPr>
          <w:rFonts w:ascii="Times New Roman" w:hAnsi="Times New Roman"/>
          <w:i/>
          <w:sz w:val="20"/>
        </w:rPr>
        <w:t>Global Security shall bear substantially the following legend: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(“DTC”),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360" w:after="0"/>
        <w:jc w:val="left"/>
        <w:rPr>
          <w:rFonts w:ascii="Times New Roman" w:hAnsi="Times New Roman"/>
          <w:sz w:val="20"/>
        </w:rPr>
      </w:pPr>
      <w:r>
        <w:rPr>
          <w:rFonts w:ascii="Times New Roman" w:hAnsi="Times New Roman"/>
          <w:sz w:val="20"/>
        </w:rPr>
        <w:t>[</w:t>
      </w:r>
      <w:r>
        <w:rPr>
          <w:rFonts w:ascii="Times New Roman" w:hAnsi="Times New Roman"/>
          <w:i/>
          <w:sz w:val="20"/>
        </w:rPr>
        <w:t>If the Security has original issue discount for U.S. federal income tax purposes, insert tax legend: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FOR PURPOSES OF SECTIONS 1272, 1273 AND 1275 OF THE INTERNAL REVENUE CODE OF 1986, AS AMENDED, AND THE RULES AND REGULATIONS THEREUNDER, THIS NOTE IS BEING ISSUED WITH ORIGINAL ISSUE DISCOUNT; PLEASE CONTACT [NAME OF CFO OR TAX DIRECTOR], [TITLE], [ISSUER], [ISSUER ADDRESS], TELEPHONE: [###], TO OBTAIN INFORMATION REGARDING THE ISSUE PRICE, THE ISSUE DATE, THE AMOUNT OF ORIGINAL ISSUE DISCOUNT AND THE YIELD TO MATURITY.</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SOLID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 Title of Security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41"/>
        <w:gridCol w:w="123"/>
        <w:gridCol w:w="5041"/>
      </w:tblGrid>
      <w:tr>
        <w:trPr/>
        <w:tc>
          <w:tcPr>
            <w:tcW w:w="504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5041" w:type="dxa"/>
            <w:tcBorders/>
            <w:vAlign w:val="center"/>
          </w:tcPr>
          <w:p>
            <w:pPr>
              <w:pStyle w:val="TableContents"/>
              <w:bidi w:val="0"/>
              <w:spacing w:before="0" w:after="283"/>
              <w:jc w:val="left"/>
              <w:rPr>
                <w:sz w:val="4"/>
                <w:szCs w:val="4"/>
              </w:rPr>
            </w:pPr>
            <w:r>
              <w:rPr>
                <w:sz w:val="4"/>
                <w:szCs w:val="4"/>
              </w:rPr>
            </w:r>
          </w:p>
        </w:tc>
      </w:tr>
      <w:tr>
        <w:trPr/>
        <w:tc>
          <w:tcPr>
            <w:tcW w:w="5041" w:type="dxa"/>
            <w:tcBorders/>
          </w:tcPr>
          <w:p>
            <w:pPr>
              <w:pStyle w:val="TableContents"/>
              <w:bidi w:val="0"/>
              <w:spacing w:before="0" w:after="283"/>
              <w:jc w:val="left"/>
              <w:rPr/>
            </w:pPr>
            <w:r>
              <w:rPr/>
              <w:t>No. [ ]</w:t>
            </w:r>
          </w:p>
        </w:tc>
        <w:tc>
          <w:tcPr>
            <w:tcW w:w="123" w:type="dxa"/>
            <w:tcBorders/>
            <w:vAlign w:val="bottom"/>
          </w:tcPr>
          <w:p>
            <w:pPr>
              <w:pStyle w:val="TableContents"/>
              <w:bidi w:val="0"/>
              <w:spacing w:before="0" w:after="283"/>
              <w:jc w:val="left"/>
              <w:rPr/>
            </w:pPr>
            <w:r>
              <w:rPr/>
              <w:t>  </w:t>
            </w:r>
          </w:p>
        </w:tc>
        <w:tc>
          <w:tcPr>
            <w:tcW w:w="5041" w:type="dxa"/>
            <w:tcBorders/>
            <w:vAlign w:val="bottom"/>
          </w:tcPr>
          <w:p>
            <w:pPr>
              <w:pStyle w:val="TableContents"/>
              <w:bidi w:val="0"/>
              <w:spacing w:before="0" w:after="283"/>
              <w:jc w:val="right"/>
              <w:rPr/>
            </w:pPr>
            <w:r>
              <w:rPr/>
              <w:t>CUSIP No.: [ ]</w:t>
            </w:r>
          </w:p>
        </w:tc>
      </w:tr>
      <w:tr>
        <w:trPr/>
        <w:tc>
          <w:tcPr>
            <w:tcW w:w="504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041" w:type="dxa"/>
            <w:tcBorders/>
            <w:vAlign w:val="bottom"/>
          </w:tcPr>
          <w:p>
            <w:pPr>
              <w:pStyle w:val="TableContents"/>
              <w:bidi w:val="0"/>
              <w:spacing w:before="0" w:after="283"/>
              <w:jc w:val="right"/>
              <w:rPr/>
            </w:pPr>
            <w:r>
              <w:rPr/>
              <w:t>[Common Code][ISIN]: [ ]</w:t>
            </w:r>
          </w:p>
        </w:tc>
      </w:tr>
      <w:tr>
        <w:trPr/>
        <w:tc>
          <w:tcPr>
            <w:tcW w:w="504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041" w:type="dxa"/>
            <w:tcBorders/>
            <w:vAlign w:val="bottom"/>
          </w:tcPr>
          <w:p>
            <w:pPr>
              <w:pStyle w:val="TableContents"/>
              <w:bidi w:val="0"/>
              <w:spacing w:before="0" w:after="283"/>
              <w:jc w:val="righ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Solid Biosciences Inc., a Delaware corporation (the “Issuer”, which term includes any successor corporation), for value received promises to pay to [</w:t>
      </w:r>
      <w:r>
        <w:rPr>
          <w:rFonts w:ascii="Times New Roman" w:hAnsi="Times New Roman"/>
          <w:i/>
          <w:sz w:val="20"/>
        </w:rPr>
        <w:t xml:space="preserve">If the Security is a Global Security — </w:t>
      </w:r>
      <w:r>
        <w:rPr>
          <w:rFonts w:ascii="Times New Roman" w:hAnsi="Times New Roman"/>
          <w:sz w:val="20"/>
        </w:rPr>
        <w:t>CEDE &amp; CO.][</w:t>
      </w:r>
      <w:r>
        <w:rPr>
          <w:rFonts w:ascii="Times New Roman" w:hAnsi="Times New Roman"/>
          <w:i/>
          <w:sz w:val="20"/>
        </w:rPr>
        <w:t>If the Security is not a Global Security — __________</w:t>
      </w:r>
      <w:r>
        <w:rPr>
          <w:rFonts w:ascii="Times New Roman" w:hAnsi="Times New Roman"/>
          <w:sz w:val="20"/>
        </w:rPr>
        <w:t>] or registered assigns, the principal sum of __________ on __________,____ (the “Maturity Date”) [</w:t>
      </w:r>
      <w:r>
        <w:rPr>
          <w:rFonts w:ascii="Times New Roman" w:hAnsi="Times New Roman"/>
          <w:i/>
          <w:sz w:val="20"/>
        </w:rPr>
        <w:t>If the Security is to bear interest prior to maturity, insert—</w:t>
      </w:r>
      <w:r>
        <w:rPr>
          <w:rFonts w:ascii="Times New Roman" w:hAnsi="Times New Roman"/>
          <w:sz w:val="20"/>
        </w:rPr>
        <w:t xml:space="preserve">, and to pay interest thereon from _____________ or from the most recent interest payment date to which interest has been paid or duly provided for, </w:t>
      </w:r>
      <w:r>
        <w:rPr>
          <w:rFonts w:ascii="Times New Roman" w:hAnsi="Times New Roman"/>
          <w:i/>
          <w:sz w:val="20"/>
        </w:rPr>
        <w:t>[semiannually in arrears on ______ and ______ in each year</w:t>
      </w:r>
      <w:r>
        <w:rPr>
          <w:rFonts w:ascii="Times New Roman" w:hAnsi="Times New Roman"/>
          <w:sz w:val="20"/>
        </w:rPr>
        <w:t>], commencing _________, ____ (each, an “Interest Payment Date”) at the rate of [</w:t>
      </w:r>
      <w:r>
        <w:rPr>
          <w:rFonts w:ascii="Times New Roman" w:hAnsi="Times New Roman"/>
          <w:i/>
          <w:sz w:val="20"/>
        </w:rPr>
        <w:t>___% per annum</w:t>
      </w:r>
      <w:r>
        <w:rPr>
          <w:rFonts w:ascii="Times New Roman" w:hAnsi="Times New Roman"/>
          <w:sz w:val="20"/>
        </w:rPr>
        <w:t>], until the principal hereof is paid or made available for payment [</w:t>
      </w:r>
      <w:r>
        <w:rPr>
          <w:rFonts w:ascii="Times New Roman" w:hAnsi="Times New Roman"/>
          <w:i/>
          <w:sz w:val="20"/>
        </w:rPr>
        <w:t>If applicable insert—,</w:t>
      </w:r>
      <w:r>
        <w:rPr>
          <w:rFonts w:ascii="Times New Roman" w:hAnsi="Times New Roman"/>
          <w:sz w:val="20"/>
        </w:rPr>
        <w:t xml:space="preserve"> and (to the extent that the payment of such interest shall be legally enforceable) at the rate of ___% per annum on any overdue principal and on any overdue installment of interest]. The interest so payable, and punctually paid or duly provided for, on any Interest Payment Date will, as provided in the Indenture (as defined below), be paid to the Holder in whose name this Security (or one or more predecessor Securities) is registered at the close of business on the record date for such interest, which shall be the _______ or ________ (whether or not a Business Day), as the case may be, next preceding such Interest Payment Date (each, an “Interest Record Date”). Interest will be computed on the basis of [</w:t>
      </w:r>
      <w:r>
        <w:rPr>
          <w:rFonts w:ascii="Times New Roman" w:hAnsi="Times New Roman"/>
          <w:i/>
          <w:sz w:val="20"/>
        </w:rPr>
        <w:t>a 360-day year of twelve 30-day months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If the Security is not to bear interest prior to maturity, insert—</w:t>
      </w:r>
      <w:r>
        <w:rPr>
          <w:rFonts w:ascii="Times New Roman" w:hAnsi="Times New Roman"/>
          <w:sz w:val="20"/>
        </w:rPr>
        <w:t xml:space="preserve">The principal of this Security shall not bear interest except in the case of a default in payment of principal upon acceleration, upon redemption or at maturity and, in each such case, the overdue principal of this Security shall bear interest at the rate of ___%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set forth on the reverse of this Security contained herein, which will for all purposes have the same effect as if set forth at this place.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Security to be signed manually or by facsimile by its duly authorized officer under its corporate seal.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674"/>
        <w:gridCol w:w="60"/>
        <w:gridCol w:w="2891"/>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Solid Biosciences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4"/>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gridSpan w:val="3"/>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91" w:type="dxa"/>
            <w:tcBorders/>
          </w:tcPr>
          <w:p>
            <w:pPr>
              <w:pStyle w:val="TableContents"/>
              <w:pBdr>
                <w:bottom w:val="single" w:sz="2" w:space="1" w:color="000000"/>
              </w:pBdr>
              <w:bidi w:val="0"/>
              <w:spacing w:before="0" w:after="20"/>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91"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76"/>
        <w:gridCol w:w="60"/>
        <w:gridCol w:w="3346"/>
      </w:tblGrid>
      <w:tr>
        <w:trPr/>
        <w:tc>
          <w:tcPr>
            <w:tcW w:w="6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Attest:</w:t>
            </w:r>
          </w:p>
        </w:tc>
      </w:tr>
      <w:tr>
        <w:trPr>
          <w:trHeight w:val="240" w:hRule="atLeast"/>
        </w:trPr>
        <w:tc>
          <w:tcPr>
            <w:tcW w:w="676" w:type="dxa"/>
            <w:tcBorders/>
            <w:vAlign w:val="center"/>
          </w:tcPr>
          <w:p>
            <w:pPr>
              <w:pStyle w:val="TableContents"/>
              <w:bidi w:val="0"/>
              <w:spacing w:before="0" w:after="283"/>
              <w:jc w:val="left"/>
              <w:rPr>
                <w:sz w:val="4"/>
                <w:szCs w:val="4"/>
              </w:rPr>
            </w:pPr>
            <w:r>
              <w:rPr>
                <w:sz w:val="4"/>
                <w:szCs w:val="4"/>
              </w:rPr>
            </w:r>
          </w:p>
        </w:tc>
        <w:tc>
          <w:tcPr>
            <w:tcW w:w="3406" w:type="dxa"/>
            <w:gridSpan w:val="2"/>
            <w:tcBorders/>
            <w:vAlign w:val="center"/>
          </w:tcPr>
          <w:p>
            <w:pPr>
              <w:pStyle w:val="TableContents"/>
              <w:bidi w:val="0"/>
              <w:spacing w:before="0" w:after="283"/>
              <w:jc w:val="left"/>
              <w:rPr>
                <w:sz w:val="4"/>
                <w:szCs w:val="4"/>
              </w:rPr>
            </w:pPr>
            <w:r>
              <w:rPr>
                <w:sz w:val="4"/>
                <w:szCs w:val="4"/>
              </w:rPr>
            </w:r>
          </w:p>
        </w:tc>
      </w:tr>
      <w:tr>
        <w:trPr/>
        <w:tc>
          <w:tcPr>
            <w:tcW w:w="67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346" w:type="dxa"/>
            <w:tcBorders/>
          </w:tcPr>
          <w:p>
            <w:pPr>
              <w:pStyle w:val="TableContents"/>
              <w:pBdr>
                <w:bottom w:val="single" w:sz="2" w:space="1" w:color="000000"/>
              </w:pBdr>
              <w:bidi w:val="0"/>
              <w:spacing w:before="0" w:after="20"/>
              <w:jc w:val="left"/>
              <w:rPr/>
            </w:pPr>
            <w:r>
              <w:rPr/>
              <w:t> </w:t>
            </w:r>
          </w:p>
        </w:tc>
      </w:tr>
      <w:tr>
        <w:trPr/>
        <w:tc>
          <w:tcPr>
            <w:tcW w:w="67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46" w:type="dxa"/>
            <w:tcBorders/>
          </w:tcPr>
          <w:p>
            <w:pPr>
              <w:pStyle w:val="TableContents"/>
              <w:pBdr>
                <w:bottom w:val="single" w:sz="2" w:space="1" w:color="000000"/>
              </w:pBdr>
              <w:bidi w:val="0"/>
              <w:spacing w:before="0" w:after="20"/>
              <w:jc w:val="left"/>
              <w:rPr/>
            </w:pPr>
            <w:r>
              <w:rPr/>
              <w:t> </w:t>
            </w:r>
          </w:p>
        </w:tc>
      </w:tr>
      <w:tr>
        <w:trPr/>
        <w:tc>
          <w:tcPr>
            <w:tcW w:w="67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46"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is one of the Securities of the series designated herein and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32"/>
        <w:gridCol w:w="114"/>
        <w:gridCol w:w="933"/>
        <w:gridCol w:w="114"/>
        <w:gridCol w:w="2289"/>
      </w:tblGrid>
      <w:tr>
        <w:trPr/>
        <w:tc>
          <w:tcPr>
            <w:tcW w:w="632"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____________, as Trustee</w:t>
            </w:r>
          </w:p>
        </w:tc>
      </w:tr>
      <w:tr>
        <w:trPr>
          <w:trHeight w:val="240" w:hRule="atLeast"/>
        </w:trPr>
        <w:tc>
          <w:tcPr>
            <w:tcW w:w="632" w:type="dxa"/>
            <w:tcBorders/>
            <w:vAlign w:val="center"/>
          </w:tcPr>
          <w:p>
            <w:pPr>
              <w:pStyle w:val="TableContents"/>
              <w:bidi w:val="0"/>
              <w:spacing w:before="0" w:after="283"/>
              <w:jc w:val="left"/>
              <w:rPr>
                <w:sz w:val="4"/>
                <w:szCs w:val="4"/>
              </w:rPr>
            </w:pPr>
            <w:r>
              <w:rPr>
                <w:sz w:val="4"/>
                <w:szCs w:val="4"/>
              </w:rPr>
            </w:r>
          </w:p>
        </w:tc>
        <w:tc>
          <w:tcPr>
            <w:tcW w:w="3450" w:type="dxa"/>
            <w:gridSpan w:val="4"/>
            <w:tcBorders/>
            <w:vAlign w:val="center"/>
          </w:tcPr>
          <w:p>
            <w:pPr>
              <w:pStyle w:val="TableContents"/>
              <w:bidi w:val="0"/>
              <w:spacing w:before="0" w:after="283"/>
              <w:jc w:val="left"/>
              <w:rPr>
                <w:sz w:val="4"/>
                <w:szCs w:val="4"/>
              </w:rPr>
            </w:pPr>
            <w:r>
              <w:rPr>
                <w:sz w:val="4"/>
                <w:szCs w:val="4"/>
              </w:rPr>
            </w:r>
          </w:p>
        </w:tc>
      </w:tr>
      <w:tr>
        <w:trPr/>
        <w:tc>
          <w:tcPr>
            <w:tcW w:w="632" w:type="dxa"/>
            <w:tcBorders/>
          </w:tcPr>
          <w:p>
            <w:pPr>
              <w:pStyle w:val="TableContents"/>
              <w:bidi w:val="0"/>
              <w:spacing w:before="0" w:after="283"/>
              <w:jc w:val="left"/>
              <w:rPr/>
            </w:pPr>
            <w:r>
              <w:rPr/>
              <w:t>By:</w:t>
            </w:r>
          </w:p>
        </w:tc>
        <w:tc>
          <w:tcPr>
            <w:tcW w:w="114" w:type="dxa"/>
            <w:tcBorders/>
            <w:vAlign w:val="bottom"/>
          </w:tcPr>
          <w:p>
            <w:pPr>
              <w:pStyle w:val="TableContents"/>
              <w:bidi w:val="0"/>
              <w:spacing w:before="0" w:after="283"/>
              <w:jc w:val="left"/>
              <w:rPr/>
            </w:pPr>
            <w:r>
              <w:rPr/>
              <w:t> </w:t>
            </w:r>
          </w:p>
        </w:tc>
        <w:tc>
          <w:tcPr>
            <w:tcW w:w="3336" w:type="dxa"/>
            <w:gridSpan w:val="3"/>
            <w:tcBorders/>
          </w:tcPr>
          <w:p>
            <w:pPr>
              <w:pStyle w:val="TableContents"/>
              <w:pBdr>
                <w:bottom w:val="single" w:sz="2" w:space="1" w:color="000000"/>
              </w:pBdr>
              <w:bidi w:val="0"/>
              <w:spacing w:before="0" w:after="20"/>
              <w:jc w:val="left"/>
              <w:rPr/>
            </w:pPr>
            <w:r>
              <w:rPr/>
              <w:t> </w:t>
            </w:r>
          </w:p>
        </w:tc>
      </w:tr>
      <w:tr>
        <w:trPr/>
        <w:tc>
          <w:tcPr>
            <w:tcW w:w="632"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933" w:type="dxa"/>
            <w:tcBorders/>
          </w:tcPr>
          <w:p>
            <w:pPr>
              <w:pStyle w:val="TableContents"/>
              <w:bidi w:val="0"/>
              <w:spacing w:before="0" w:after="283"/>
              <w:jc w:val="left"/>
              <w:rPr/>
            </w:pPr>
            <w:r>
              <w:rPr/>
              <w:t>Title:</w:t>
            </w:r>
          </w:p>
        </w:tc>
        <w:tc>
          <w:tcPr>
            <w:tcW w:w="114" w:type="dxa"/>
            <w:tcBorders/>
            <w:vAlign w:val="bottom"/>
          </w:tcPr>
          <w:p>
            <w:pPr>
              <w:pStyle w:val="TableContents"/>
              <w:bidi w:val="0"/>
              <w:spacing w:before="0" w:after="283"/>
              <w:jc w:val="left"/>
              <w:rPr/>
            </w:pPr>
            <w:r>
              <w:rPr/>
              <w:t> </w:t>
            </w:r>
          </w:p>
        </w:tc>
        <w:tc>
          <w:tcPr>
            <w:tcW w:w="2289"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(REVERSE OF SECURITY) </w:t>
      </w:r>
    </w:p>
    <w:p>
      <w:pPr>
        <w:pStyle w:val="TextBody"/>
        <w:bidi w:val="0"/>
        <w:spacing w:before="120" w:after="0"/>
        <w:jc w:val="center"/>
        <w:rPr>
          <w:rFonts w:ascii="Times New Roman" w:hAnsi="Times New Roman"/>
          <w:b/>
          <w:sz w:val="20"/>
        </w:rPr>
      </w:pPr>
      <w:r>
        <w:rPr>
          <w:rFonts w:ascii="Times New Roman" w:hAnsi="Times New Roman"/>
          <w:b/>
          <w:sz w:val="20"/>
        </w:rPr>
        <w:t xml:space="preserve">SOLID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 Title of Security ] </w:t>
      </w:r>
    </w:p>
    <w:p>
      <w:pPr>
        <w:pStyle w:val="TextBody"/>
        <w:bidi w:val="0"/>
        <w:spacing w:before="240" w:after="0"/>
        <w:jc w:val="left"/>
        <w:rPr>
          <w:rFonts w:ascii="Times New Roman" w:hAnsi="Times New Roman"/>
          <w:sz w:val="20"/>
        </w:rPr>
      </w:pPr>
      <w:r>
        <w:rPr>
          <w:rFonts w:ascii="Times New Roman" w:hAnsi="Times New Roman"/>
          <w:sz w:val="20"/>
        </w:rPr>
        <w:t xml:space="preserve">1. Indenture </w:t>
      </w:r>
    </w:p>
    <w:p>
      <w:pPr>
        <w:pStyle w:val="TextBody"/>
        <w:bidi w:val="0"/>
        <w:spacing w:before="240" w:after="0"/>
        <w:jc w:val="left"/>
        <w:rPr>
          <w:rFonts w:ascii="Times New Roman" w:hAnsi="Times New Roman"/>
          <w:sz w:val="20"/>
        </w:rPr>
      </w:pPr>
      <w:r>
        <w:rPr>
          <w:rFonts w:ascii="Times New Roman" w:hAnsi="Times New Roman"/>
          <w:sz w:val="20"/>
        </w:rPr>
        <w:t>This Security is one of a duly authorized issue of debentures, notes or other evidence of indebtedness (hereinafter called the “Securities”) of the Issuer of the series hereinafter specified, which series is initially limited in aggregate principal amount to [</w:t>
      </w:r>
      <w:r>
        <w:rPr>
          <w:rFonts w:ascii="Times New Roman" w:hAnsi="Times New Roman"/>
          <w:i/>
          <w:sz w:val="20"/>
        </w:rPr>
        <w:t>$</w:t>
      </w:r>
      <w:r>
        <w:rPr>
          <w:rFonts w:ascii="Times New Roman" w:hAnsi="Times New Roman"/>
          <w:sz w:val="20"/>
        </w:rPr>
        <w:t xml:space="preserve">]____________, all of such Securities issued and to be issued under an Indenture dated as of ________, _____ (the “Indenture”) between the Issuer and __________________________ as trustee (the “Trustee”). Capitalized terms herein are used as defined in the Indenture unless otherwise indicated. The terms of the Securities include those stated in the Indenture and those made part of the Indenture by reference to the Trust Indenture Act of 1939, as in effect on the date of the Indenture. The Securities are subject to all such terms, and Holders are referred to the Indenture and the Trust Indenture Act for a statement of all such terms. To the extent permitted by applicable law, in the event of any inconsistency between the terms of this Security and the terms of the Indenture, the terms of the Indenture shall control. </w:t>
      </w:r>
    </w:p>
    <w:p>
      <w:pPr>
        <w:pStyle w:val="TextBody"/>
        <w:bidi w:val="0"/>
        <w:spacing w:before="240" w:after="0"/>
        <w:jc w:val="left"/>
        <w:rPr>
          <w:rFonts w:ascii="Times New Roman" w:hAnsi="Times New Roman"/>
          <w:sz w:val="20"/>
        </w:rPr>
      </w:pPr>
      <w:r>
        <w:rPr>
          <w:rFonts w:ascii="Times New Roman" w:hAnsi="Times New Roman"/>
          <w:sz w:val="20"/>
        </w:rPr>
        <w:t>This Security is one of a series of Securities designated pursuant to the Indenture [and a [</w:t>
      </w:r>
      <w:r>
        <w:rPr>
          <w:rFonts w:ascii="Times New Roman" w:hAnsi="Times New Roman"/>
          <w:i/>
          <w:sz w:val="20"/>
        </w:rPr>
        <w:t>Supplemental Indenture</w:t>
      </w:r>
      <w:r>
        <w:rPr>
          <w:rFonts w:ascii="Times New Roman" w:hAnsi="Times New Roman"/>
          <w:sz w:val="20"/>
        </w:rPr>
        <w:t xml:space="preserve">] dated _____, _____, issued pursuant to Section 2.01 and Section 2.03 thereof (the “Supplemental Indenture”)] as ________________. The Securities are general unsecured obligations of the Issuer. The Issuer may, subject to the provisions of the Indenture and applicable law, issue additional Securities of any series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2. Method of Payment. </w:t>
      </w:r>
    </w:p>
    <w:p>
      <w:pPr>
        <w:pStyle w:val="TextBody"/>
        <w:bidi w:val="0"/>
        <w:spacing w:before="240" w:after="0"/>
        <w:jc w:val="left"/>
        <w:rPr>
          <w:rFonts w:ascii="Times New Roman" w:hAnsi="Times New Roman"/>
          <w:sz w:val="20"/>
        </w:rPr>
      </w:pPr>
      <w:r>
        <w:rPr>
          <w:rFonts w:ascii="Times New Roman" w:hAnsi="Times New Roman"/>
          <w:sz w:val="20"/>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Trustee to collect principal payments. The Issuer shall pay Principal and interest in money of [</w:t>
      </w:r>
      <w:r>
        <w:rPr>
          <w:rFonts w:ascii="Times New Roman" w:hAnsi="Times New Roman"/>
          <w:i/>
          <w:sz w:val="20"/>
        </w:rPr>
        <w:t>the United States</w:t>
      </w:r>
      <w:r>
        <w:rPr>
          <w:rFonts w:ascii="Times New Roman" w:hAnsi="Times New Roman"/>
          <w:sz w:val="20"/>
        </w:rPr>
        <w:t>] that at the time of payment is legal tender for payment of public and private debts. [However, the payments of interest, and any portion of the Principal (other than interest payable at maturity or on any redemption or repayment date or the final payment of Principal) shall be made by the Paying Agent, upon receipt from the Issuer of immediately available funds by __________ [</w:t>
      </w:r>
      <w:r>
        <w:rPr>
          <w:rFonts w:ascii="Times New Roman" w:hAnsi="Times New Roman"/>
          <w:i/>
          <w:sz w:val="20"/>
        </w:rPr>
        <w:t>a./p.m.</w:t>
      </w:r>
      <w:r>
        <w:rPr>
          <w:rFonts w:ascii="Times New Roman" w:hAnsi="Times New Roman"/>
          <w:sz w:val="20"/>
        </w:rPr>
        <w:t xml:space="preserve">],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w:t>
      </w:r>
    </w:p>
    <w:p>
      <w:pPr>
        <w:pStyle w:val="TextBody"/>
        <w:bidi w:val="0"/>
        <w:spacing w:before="240" w:after="0"/>
        <w:jc w:val="left"/>
        <w:rPr>
          <w:rFonts w:ascii="Times New Roman" w:hAnsi="Times New Roman"/>
          <w:sz w:val="20"/>
        </w:rPr>
      </w:pPr>
      <w:r>
        <w:rPr>
          <w:rFonts w:ascii="Times New Roman" w:hAnsi="Times New Roman"/>
          <w:sz w:val="20"/>
        </w:rPr>
        <w:t xml:space="preserve">3. Redemption.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 xml:space="preserve">The Securities of this series may be redeemed at any time </w:t>
      </w:r>
      <w:r>
        <w:rPr>
          <w:rFonts w:ascii="Times New Roman" w:hAnsi="Times New Roman"/>
          <w:sz w:val="20"/>
        </w:rPr>
        <w:t>[</w:t>
      </w:r>
      <w:r>
        <w:rPr>
          <w:rFonts w:ascii="Times New Roman" w:hAnsi="Times New Roman"/>
          <w:i/>
          <w:sz w:val="20"/>
        </w:rPr>
        <w:t>on or after ______, ______</w:t>
      </w:r>
      <w:r>
        <w:rPr>
          <w:rFonts w:ascii="Times New Roman" w:hAnsi="Times New Roman"/>
          <w:sz w:val="20"/>
        </w:rPr>
        <w:t>]</w:t>
      </w:r>
      <w:r>
        <w:rPr>
          <w:rFonts w:ascii="Times New Roman" w:hAnsi="Times New Roman"/>
          <w:i/>
          <w:sz w:val="20"/>
        </w:rPr>
        <w:t>, as a whole or in part, at the option of the Issuer, upon mailing notice of such redemption not less than 10 and not more than 60 days to the Holders of such Securities, at a redemption price equal to ___________</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Paying Agent and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Initially, the Trustee will act as Paying Agent and Security Registrar. The Issuer may change any Paying Agent or Security Registrar without notice to the Holders. </w:t>
      </w:r>
    </w:p>
    <w:p>
      <w:pPr>
        <w:pStyle w:val="TextBody"/>
        <w:bidi w:val="0"/>
        <w:spacing w:before="240" w:after="0"/>
        <w:jc w:val="left"/>
        <w:rPr>
          <w:rFonts w:ascii="Times New Roman" w:hAnsi="Times New Roman"/>
          <w:sz w:val="20"/>
        </w:rPr>
      </w:pPr>
      <w:r>
        <w:rPr>
          <w:rFonts w:ascii="Times New Roman" w:hAnsi="Times New Roman"/>
          <w:sz w:val="20"/>
        </w:rPr>
        <w:t xml:space="preserve">5. Denominations; Transfer; Exchange. </w:t>
      </w:r>
    </w:p>
    <w:p>
      <w:pPr>
        <w:pStyle w:val="TextBody"/>
        <w:bidi w:val="0"/>
        <w:spacing w:before="240" w:after="0"/>
        <w:jc w:val="left"/>
        <w:rPr>
          <w:rFonts w:ascii="Times New Roman" w:hAnsi="Times New Roman"/>
          <w:sz w:val="20"/>
        </w:rPr>
      </w:pPr>
      <w:r>
        <w:rPr>
          <w:rFonts w:ascii="Times New Roman" w:hAnsi="Times New Roman"/>
          <w:sz w:val="20"/>
        </w:rPr>
        <w:t>The Securities are in registered form, without coupons, in denominations of [</w:t>
      </w:r>
      <w:r>
        <w:rPr>
          <w:rFonts w:ascii="Times New Roman" w:hAnsi="Times New Roman"/>
          <w:i/>
          <w:sz w:val="20"/>
        </w:rPr>
        <w:t>$1,000</w:t>
      </w:r>
      <w:r>
        <w:rPr>
          <w:rFonts w:ascii="Times New Roman" w:hAnsi="Times New Roman"/>
          <w:sz w:val="20"/>
        </w:rPr>
        <w:t>] and multiples of [</w:t>
      </w:r>
      <w:r>
        <w:rPr>
          <w:rFonts w:ascii="Times New Roman" w:hAnsi="Times New Roman"/>
          <w:i/>
          <w:sz w:val="20"/>
        </w:rPr>
        <w:t>$1,000</w:t>
      </w:r>
      <w:r>
        <w:rPr>
          <w:rFonts w:ascii="Times New Roman" w:hAnsi="Times New Roman"/>
          <w:sz w:val="20"/>
        </w:rPr>
        <w:t>].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w:t>
      </w:r>
      <w:r>
        <w:rPr>
          <w:rFonts w:ascii="Times New Roman" w:hAnsi="Times New Roman"/>
          <w:i/>
          <w:sz w:val="20"/>
        </w:rPr>
        <w:t>The Issuer need not register the transfer of or exchange (a)</w:t>
      </w:r>
      <w:r>
        <w:rPr>
          <w:rFonts w:ascii="Times New Roman" w:hAnsi="Times New Roman"/>
          <w:sz w:val="20"/>
        </w:rPr>
        <w:t> </w:t>
      </w:r>
      <w:r>
        <w:rPr>
          <w:rFonts w:ascii="Times New Roman" w:hAnsi="Times New Roman"/>
          <w:i/>
          <w:sz w:val="20"/>
        </w:rPr>
        <w:t>any Securities for a period of fifteen (15)</w:t>
      </w:r>
      <w:r>
        <w:rPr>
          <w:rFonts w:ascii="Times New Roman" w:hAnsi="Times New Roman"/>
          <w:sz w:val="20"/>
        </w:rPr>
        <w:t> </w:t>
      </w:r>
      <w:r>
        <w:rPr>
          <w:rFonts w:ascii="Times New Roman" w:hAnsi="Times New Roman"/>
          <w:i/>
          <w:sz w:val="20"/>
        </w:rPr>
        <w:t>days preceding the first notice that such Securities are to be redeemed, or (b)</w:t>
      </w:r>
      <w:r>
        <w:rPr>
          <w:rFonts w:ascii="Times New Roman" w:hAnsi="Times New Roman"/>
          <w:sz w:val="20"/>
        </w:rPr>
        <w:t> </w:t>
      </w:r>
      <w:r>
        <w:rPr>
          <w:rFonts w:ascii="Times New Roman" w:hAnsi="Times New Roman"/>
          <w:i/>
          <w:sz w:val="20"/>
        </w:rPr>
        <w:t>any Securities selected, called or being called for redemption in whole or in part, except, in the case of any Security to be redeemed in part, the portion thereof not to be so redeemed.</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Persons Deemed Owners.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Holder of a Security shall be treated as the owner of it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7. Unclaimed Funds. </w:t>
      </w:r>
    </w:p>
    <w:p>
      <w:pPr>
        <w:pStyle w:val="TextBody"/>
        <w:bidi w:val="0"/>
        <w:spacing w:before="240" w:after="0"/>
        <w:jc w:val="left"/>
        <w:rPr>
          <w:rFonts w:ascii="Times New Roman" w:hAnsi="Times New Roman"/>
          <w:sz w:val="20"/>
        </w:rPr>
      </w:pPr>
      <w:r>
        <w:rPr>
          <w:rFonts w:ascii="Times New Roman" w:hAnsi="Times New Roman"/>
          <w:sz w:val="20"/>
        </w:rPr>
        <w:t xml:space="preserve">If funds for the payment of principal or interest remain unclaimed for two years, the Trustee and the Paying Agent will repay the funds to the Issuer. After that, all liability of the Trustee and such Paying Agent with respect to such funds shall cease. </w:t>
      </w:r>
    </w:p>
    <w:p>
      <w:pPr>
        <w:pStyle w:val="TextBody"/>
        <w:bidi w:val="0"/>
        <w:spacing w:before="240" w:after="0"/>
        <w:jc w:val="left"/>
        <w:rPr>
          <w:rFonts w:ascii="Times New Roman" w:hAnsi="Times New Roman"/>
          <w:sz w:val="20"/>
        </w:rPr>
      </w:pPr>
      <w:r>
        <w:rPr>
          <w:rFonts w:ascii="Times New Roman" w:hAnsi="Times New Roman"/>
          <w:sz w:val="20"/>
        </w:rPr>
        <w:t xml:space="preserve">8. Defeasance. </w:t>
      </w:r>
    </w:p>
    <w:p>
      <w:pPr>
        <w:pStyle w:val="TextBody"/>
        <w:bidi w:val="0"/>
        <w:spacing w:before="240" w:after="0"/>
        <w:jc w:val="left"/>
        <w:rPr>
          <w:rFonts w:ascii="Times New Roman" w:hAnsi="Times New Roman"/>
          <w:sz w:val="20"/>
        </w:rPr>
      </w:pPr>
      <w:r>
        <w:rPr>
          <w:rFonts w:ascii="Times New Roman" w:hAnsi="Times New Roman"/>
          <w:sz w:val="20"/>
        </w:rPr>
        <w:t>The Indenture [</w:t>
      </w:r>
      <w:r>
        <w:rPr>
          <w:rFonts w:ascii="Times New Roman" w:hAnsi="Times New Roman"/>
          <w:i/>
          <w:sz w:val="20"/>
        </w:rPr>
        <w:t>as amended by the Supplemental Indenture</w:t>
      </w:r>
      <w:r>
        <w:rPr>
          <w:rFonts w:ascii="Times New Roman" w:hAnsi="Times New Roman"/>
          <w:sz w:val="20"/>
        </w:rPr>
        <w:t>] contains provisions for defeasance at any time of (a) the entire indebtedness of the Issuer on this Security and (b) certain restrictive covenants and the related Events of Default, upon compliance by the Issuer with certain conditions set forth therein, which provisions [</w:t>
      </w:r>
      <w:r>
        <w:rPr>
          <w:rFonts w:ascii="Times New Roman" w:hAnsi="Times New Roman"/>
          <w:i/>
          <w:sz w:val="20"/>
        </w:rPr>
        <w:t>apply</w:t>
      </w:r>
      <w:r>
        <w:rPr>
          <w:rFonts w:ascii="Times New Roman" w:hAnsi="Times New Roman"/>
          <w:sz w:val="20"/>
        </w:rPr>
        <w:t xml:space="preserve">] to this Security. </w:t>
      </w:r>
    </w:p>
    <w:p>
      <w:pPr>
        <w:pStyle w:val="TextBody"/>
        <w:bidi w:val="0"/>
        <w:spacing w:before="240" w:after="0"/>
        <w:jc w:val="left"/>
        <w:rPr>
          <w:rFonts w:ascii="Times New Roman" w:hAnsi="Times New Roman"/>
          <w:sz w:val="20"/>
        </w:rPr>
      </w:pPr>
      <w:r>
        <w:rPr>
          <w:rFonts w:ascii="Times New Roman" w:hAnsi="Times New Roman"/>
          <w:sz w:val="20"/>
        </w:rPr>
        <w:t xml:space="preserve">9. Amendment; Supplement; Waiver.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Securities of this series, [the Supplemental Indenture] and the provisions of the Indenture relating to the Securities of this series may be amended or supplemented with the written consent of the Holders of at least a majority in aggregate principal amount of the Securities of this series then outstanding, and any existing Default or Event of Default, other than the non-payment of the principal amount of or interest on the Securities of this series, or compliance with certain provisions may be waived with the consent of the Holders of a majority in aggregate principal amount of all the Securities of this series,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make any other change that does not adversely affect the rights of any Holder of a Security. </w:t>
      </w:r>
    </w:p>
    <w:p>
      <w:pPr>
        <w:pStyle w:val="TextBody"/>
        <w:bidi w:val="0"/>
        <w:spacing w:before="240" w:after="0"/>
        <w:jc w:val="left"/>
        <w:rPr>
          <w:rFonts w:ascii="Times New Roman" w:hAnsi="Times New Roman"/>
          <w:sz w:val="20"/>
        </w:rPr>
      </w:pPr>
      <w:r>
        <w:rPr>
          <w:rFonts w:ascii="Times New Roman" w:hAnsi="Times New Roman"/>
          <w:sz w:val="20"/>
        </w:rPr>
        <w:t xml:space="preserve">10. Defaults and Remedies. </w:t>
      </w:r>
    </w:p>
    <w:p>
      <w:pPr>
        <w:pStyle w:val="TextBody"/>
        <w:bidi w:val="0"/>
        <w:spacing w:before="240" w:after="0"/>
        <w:jc w:val="left"/>
        <w:rPr>
          <w:rFonts w:ascii="Times New Roman" w:hAnsi="Times New Roman"/>
          <w:sz w:val="20"/>
        </w:rPr>
      </w:pPr>
      <w:r>
        <w:rPr>
          <w:rFonts w:ascii="Times New Roman" w:hAnsi="Times New Roman"/>
          <w:sz w:val="20"/>
        </w:rPr>
        <w:t>If an Event of Default (other than certain bankruptcy Events of Default with respect to the Issuer) occurs and is continuing, the Trustee or the Holders of at least 25% in aggregate principal amount of Securities of this series then outstanding (voting as a separate class) by notice in writing to the Issuer (and also to the Trustee if such notice is given by the Holders) may declare [</w:t>
      </w:r>
      <w:r>
        <w:rPr>
          <w:rFonts w:ascii="Times New Roman" w:hAnsi="Times New Roman"/>
          <w:i/>
          <w:sz w:val="20"/>
        </w:rPr>
        <w:t>the entire principal</w:t>
      </w:r>
      <w:r>
        <w:rPr>
          <w:rFonts w:ascii="Times New Roman" w:hAnsi="Times New Roman"/>
          <w:sz w:val="20"/>
        </w:rPr>
        <w:t>] of the Securities of this series and the interest accrued thereon, if any, to be due and payable immediately in the manner and with the effect provided in the Indenture. If a bankruptcy Event of Default with respect to the Issuer occurs and is continuing, then [</w:t>
      </w:r>
      <w:r>
        <w:rPr>
          <w:rFonts w:ascii="Times New Roman" w:hAnsi="Times New Roman"/>
          <w:i/>
          <w:sz w:val="20"/>
        </w:rPr>
        <w:t>the entire principal</w:t>
      </w:r>
      <w:r>
        <w:rPr>
          <w:rFonts w:ascii="Times New Roman" w:hAnsi="Times New Roman"/>
          <w:sz w:val="20"/>
        </w:rPr>
        <w:t xml:space="preserve">] of the Securities then outstanding and interest accrued thereon, if any, shall become automatically due and payable immediately in the manner and with the effect provided in the Indenture. Holders of Securities may not enforce the Indenture or the Securities except as provided in the Indenture. The Trustee is not obligated to enforce the Indenture or the Securities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 </w:t>
      </w:r>
    </w:p>
    <w:p>
      <w:pPr>
        <w:pStyle w:val="TextBody"/>
        <w:bidi w:val="0"/>
        <w:spacing w:before="240" w:after="0"/>
        <w:jc w:val="left"/>
        <w:rPr>
          <w:rFonts w:ascii="Times New Roman" w:hAnsi="Times New Roman"/>
          <w:sz w:val="20"/>
        </w:rPr>
      </w:pPr>
      <w:r>
        <w:rPr>
          <w:rFonts w:ascii="Times New Roman" w:hAnsi="Times New Roman"/>
          <w:sz w:val="20"/>
        </w:rPr>
        <w:t xml:space="preserve">11. Subordination.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Indenture, including, without limitation, provisions subordinating the payment of principal of and premium, if any, and interest on the Securities to the prior payment in full of all Senior Indebtedness as defined in the Indenture. Such further provisions shall for all purposes have the same effect as though fully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12. Trustee Dealings with Issuer. </w:t>
      </w:r>
    </w:p>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become the owner or pledgee of Securities and may otherwise deal with the Issuer as if it were not the Trustee. </w:t>
      </w:r>
    </w:p>
    <w:p>
      <w:pPr>
        <w:pStyle w:val="TextBody"/>
        <w:bidi w:val="0"/>
        <w:spacing w:before="240" w:after="0"/>
        <w:jc w:val="left"/>
        <w:rPr>
          <w:rFonts w:ascii="Times New Roman" w:hAnsi="Times New Roman"/>
          <w:sz w:val="20"/>
        </w:rPr>
      </w:pPr>
      <w:r>
        <w:rPr>
          <w:rFonts w:ascii="Times New Roman" w:hAnsi="Times New Roman"/>
          <w:sz w:val="20"/>
        </w:rPr>
        <w:t xml:space="preserve">13. No Recourse Against Others. </w:t>
      </w:r>
    </w:p>
    <w:p>
      <w:pPr>
        <w:pStyle w:val="TextBody"/>
        <w:bidi w:val="0"/>
        <w:spacing w:before="240" w:after="0"/>
        <w:jc w:val="left"/>
        <w:rPr>
          <w:rFonts w:ascii="Times New Roman" w:hAnsi="Times New Roman"/>
          <w:sz w:val="20"/>
        </w:rPr>
      </w:pPr>
      <w:r>
        <w:rPr>
          <w:rFonts w:ascii="Times New Roman" w:hAnsi="Times New Roman"/>
          <w:sz w:val="20"/>
        </w:rPr>
        <w:t xml:space="preserve">No stockholder, director, officer, employee or incorporator, past, present or future as such, of the Issuer or any predecessor or successor corporation thereof shall have any liability for any obligation under the Securities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Security shall not be valid until the Trustee manually signs the certificate of authentication 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15. Abbreviations and Defined Terms. </w:t>
      </w:r>
    </w:p>
    <w:p>
      <w:pPr>
        <w:pStyle w:val="TextBody"/>
        <w:bidi w:val="0"/>
        <w:spacing w:before="240" w:after="0"/>
        <w:jc w:val="left"/>
        <w:rPr>
          <w:rFonts w:ascii="Times New Roman" w:hAnsi="Times New Roman"/>
          <w:sz w:val="20"/>
        </w:rPr>
      </w:pPr>
      <w:r>
        <w:rPr>
          <w:rFonts w:ascii="Times New Roman" w:hAnsi="Times New Roman"/>
          <w:sz w:val="20"/>
        </w:rPr>
        <w:t xml:space="preserve">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16. CUSIP Numbers.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 </w:t>
      </w:r>
    </w:p>
    <w:p>
      <w:pPr>
        <w:pStyle w:val="TextBody"/>
        <w:bidi w:val="0"/>
        <w:spacing w:before="240" w:after="0"/>
        <w:jc w:val="left"/>
        <w:rPr>
          <w:rFonts w:ascii="Times New Roman" w:hAnsi="Times New Roman"/>
          <w:sz w:val="20"/>
        </w:rPr>
      </w:pPr>
      <w:r>
        <w:rPr>
          <w:rFonts w:ascii="Times New Roman" w:hAnsi="Times New Roman"/>
          <w:sz w:val="20"/>
        </w:rPr>
        <w:t xml:space="preserve">17. Governing Law. </w:t>
      </w:r>
    </w:p>
    <w:p>
      <w:pPr>
        <w:pStyle w:val="TextBody"/>
        <w:bidi w:val="0"/>
        <w:spacing w:before="240" w:after="0"/>
        <w:jc w:val="left"/>
        <w:rPr>
          <w:rFonts w:ascii="Times New Roman" w:hAnsi="Times New Roman"/>
          <w:sz w:val="20"/>
        </w:rPr>
      </w:pPr>
      <w:r>
        <w:rPr>
          <w:rFonts w:ascii="Times New Roman" w:hAnsi="Times New Roman"/>
          <w:sz w:val="20"/>
        </w:rPr>
        <w:t xml:space="preserve">The laws of the State of New York shall govern the Indenture and this Security thereof, and for all purposes this Security shall be governed by and construed in accordance with the laws of such State without regard to any principle of conflict of laws that would require or permit the application of the laws of any other jurisdiction, except as may otherwise be required by mandatory provisions of law. </w:t>
      </w:r>
    </w:p>
    <w:p>
      <w:pPr>
        <w:pStyle w:val="TextBody"/>
        <w:bidi w:val="0"/>
        <w:spacing w:before="48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I or we assign and transfer this Security to </w:t>
      </w:r>
    </w:p>
    <w:p>
      <w:pPr>
        <w:pStyle w:val="TextBody"/>
        <w:bidi w:val="0"/>
        <w:spacing w:before="240" w:after="0"/>
        <w:jc w:val="center"/>
        <w:rPr>
          <w:rFonts w:ascii="Times New Roman" w:hAnsi="Times New Roman"/>
          <w:sz w:val="20"/>
        </w:rPr>
      </w:pPr>
      <w:r>
        <w:rPr>
          <w:rFonts w:ascii="Times New Roman" w:hAnsi="Times New Roman"/>
          <w:sz w:val="20"/>
        </w:rPr>
        <w:t xml:space="preserve">(Print or type name, address and zip code of assignee or transferee) </w:t>
      </w:r>
    </w:p>
    <w:p>
      <w:pPr>
        <w:pStyle w:val="TextBody"/>
        <w:bidi w:val="0"/>
        <w:spacing w:before="480" w:after="0"/>
        <w:jc w:val="center"/>
        <w:rPr>
          <w:rFonts w:ascii="Times New Roman" w:hAnsi="Times New Roman"/>
          <w:sz w:val="20"/>
        </w:rPr>
      </w:pPr>
      <w:r>
        <w:rPr>
          <w:rFonts w:ascii="Times New Roman" w:hAnsi="Times New Roman"/>
          <w:sz w:val="20"/>
        </w:rPr>
        <w:t xml:space="preserve">(Insert Social Security or other identifying number of assignee or transferee)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______________________________________________ agent to transfer this Security on the books of the Issuer. The agent may substitute another to act for him.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66"/>
        <w:gridCol w:w="120"/>
        <w:gridCol w:w="712"/>
        <w:gridCol w:w="120"/>
        <w:gridCol w:w="3987"/>
      </w:tblGrid>
      <w:tr>
        <w:trPr/>
        <w:tc>
          <w:tcPr>
            <w:tcW w:w="52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87" w:type="dxa"/>
            <w:tcBorders/>
            <w:vAlign w:val="center"/>
          </w:tcPr>
          <w:p>
            <w:pPr>
              <w:pStyle w:val="TableContents"/>
              <w:bidi w:val="0"/>
              <w:spacing w:before="0" w:after="283"/>
              <w:jc w:val="left"/>
              <w:rPr>
                <w:sz w:val="4"/>
                <w:szCs w:val="4"/>
              </w:rPr>
            </w:pPr>
            <w:r>
              <w:rPr>
                <w:sz w:val="4"/>
                <w:szCs w:val="4"/>
              </w:rPr>
            </w:r>
          </w:p>
        </w:tc>
      </w:tr>
      <w:tr>
        <w:trPr/>
        <w:tc>
          <w:tcPr>
            <w:tcW w:w="5266" w:type="dxa"/>
            <w:tcBorders/>
            <w:vAlign w:val="bottom"/>
          </w:tcPr>
          <w:p>
            <w:pPr>
              <w:pStyle w:val="TableContents"/>
              <w:bidi w:val="0"/>
              <w:spacing w:before="0" w:after="283"/>
              <w:jc w:val="left"/>
              <w:rPr/>
            </w:pPr>
            <w:r>
              <w:rPr/>
              <w:t xml:space="preserve">Dated: </w:t>
            </w:r>
            <w:r>
              <w:rPr>
                <w:u w:val="single"/>
              </w:rPr>
              <w:t>                  </w:t>
            </w:r>
          </w:p>
        </w:tc>
        <w:tc>
          <w:tcPr>
            <w:tcW w:w="12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left"/>
              <w:rPr/>
            </w:pPr>
            <w:r>
              <w:rPr/>
              <w:t>Signed:</w:t>
            </w:r>
          </w:p>
        </w:tc>
        <w:tc>
          <w:tcPr>
            <w:tcW w:w="120" w:type="dxa"/>
            <w:tcBorders/>
            <w:vAlign w:val="bottom"/>
          </w:tcPr>
          <w:p>
            <w:pPr>
              <w:pStyle w:val="TableContents"/>
              <w:bidi w:val="0"/>
              <w:spacing w:before="0" w:after="283"/>
              <w:jc w:val="left"/>
              <w:rPr/>
            </w:pPr>
            <w:r>
              <w:rPr/>
              <w:t>  </w:t>
            </w:r>
          </w:p>
        </w:tc>
        <w:tc>
          <w:tcPr>
            <w:tcW w:w="3987" w:type="dxa"/>
            <w:tcBorders/>
            <w:vAlign w:val="bottom"/>
          </w:tcPr>
          <w:p>
            <w:pPr>
              <w:pStyle w:val="TableContents"/>
              <w:pBdr>
                <w:bottom w:val="single" w:sz="2" w:space="1" w:color="000000"/>
              </w:pBdr>
              <w:bidi w:val="0"/>
              <w:spacing w:before="0" w:after="20"/>
              <w:jc w:val="left"/>
              <w:rPr/>
            </w:pPr>
            <w:r>
              <w:rPr/>
              <w:t> </w:t>
            </w:r>
          </w:p>
        </w:tc>
      </w:tr>
      <w:tr>
        <w:trPr/>
        <w:tc>
          <w:tcPr>
            <w:tcW w:w="526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87" w:type="dxa"/>
            <w:tcBorders/>
            <w:vAlign w:val="bottom"/>
          </w:tcPr>
          <w:p>
            <w:pPr>
              <w:pStyle w:val="TableContents"/>
              <w:bidi w:val="0"/>
              <w:spacing w:before="0" w:after="283"/>
              <w:jc w:val="left"/>
              <w:rPr/>
            </w:pPr>
            <w:r>
              <w:rPr/>
              <w:t>(Signed exactly as name appears on the other side of this Security)</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w:t>
      </w:r>
    </w:p>
    <w:tbl>
      <w:tblPr>
        <w:tblW w:w="5000" w:type="pct"/>
        <w:jc w:val="center"/>
        <w:tblInd w:w="0" w:type="dxa"/>
        <w:tblLayout w:type="fixed"/>
        <w:tblCellMar>
          <w:top w:w="0" w:type="dxa"/>
          <w:left w:w="0" w:type="dxa"/>
          <w:bottom w:w="0" w:type="dxa"/>
          <w:right w:w="0" w:type="dxa"/>
        </w:tblCellMar>
      </w:tblPr>
      <w:tblGrid>
        <w:gridCol w:w="996"/>
        <w:gridCol w:w="137"/>
        <w:gridCol w:w="9072"/>
      </w:tblGrid>
      <w:tr>
        <w:trPr/>
        <w:tc>
          <w:tcPr>
            <w:tcW w:w="996"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9072" w:type="dxa"/>
            <w:tcBorders/>
            <w:vAlign w:val="center"/>
          </w:tcPr>
          <w:p>
            <w:pPr>
              <w:pStyle w:val="TableContents"/>
              <w:bidi w:val="0"/>
              <w:spacing w:before="0" w:after="283"/>
              <w:jc w:val="left"/>
              <w:rPr>
                <w:sz w:val="4"/>
                <w:szCs w:val="4"/>
              </w:rPr>
            </w:pPr>
            <w:r>
              <w:rPr>
                <w:sz w:val="4"/>
                <w:szCs w:val="4"/>
              </w:rPr>
            </w:r>
          </w:p>
        </w:tc>
      </w:tr>
      <w:tr>
        <w:trPr/>
        <w:tc>
          <w:tcPr>
            <w:tcW w:w="996" w:type="dxa"/>
            <w:tcBorders/>
          </w:tcPr>
          <w:p>
            <w:pPr>
              <w:pStyle w:val="TableContents"/>
              <w:bidi w:val="0"/>
              <w:spacing w:before="0" w:after="283"/>
              <w:jc w:val="left"/>
              <w:rPr/>
            </w:pPr>
            <w:r>
              <w:rPr/>
              <w:t>Guarantee:</w:t>
            </w:r>
          </w:p>
        </w:tc>
        <w:tc>
          <w:tcPr>
            <w:tcW w:w="137" w:type="dxa"/>
            <w:tcBorders/>
            <w:vAlign w:val="bottom"/>
          </w:tcPr>
          <w:p>
            <w:pPr>
              <w:pStyle w:val="TableContents"/>
              <w:bidi w:val="0"/>
              <w:spacing w:before="0" w:after="283"/>
              <w:jc w:val="left"/>
              <w:rPr/>
            </w:pPr>
            <w:r>
              <w:rPr/>
              <w:t>  </w:t>
            </w:r>
          </w:p>
        </w:tc>
        <w:tc>
          <w:tcPr>
            <w:tcW w:w="9072" w:type="dxa"/>
            <w:tcBorders/>
            <w:vAlign w:val="bottom"/>
          </w:tcPr>
          <w:p>
            <w:pPr>
              <w:pStyle w:val="TableContents"/>
              <w:bidi w:val="0"/>
              <w:spacing w:before="0" w:after="283"/>
              <w:jc w:val="left"/>
              <w:rPr>
                <w:u w:val="single"/>
              </w:rPr>
            </w:pPr>
            <w:r>
              <w:rPr>
                <w:u w:val="single"/>
              </w:rPr>
              <w:t>                     </w:t>
            </w:r>
          </w:p>
        </w:tc>
      </w:tr>
      <w:tr>
        <w:trPr/>
        <w:tc>
          <w:tcPr>
            <w:tcW w:w="996"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9072" w:type="dxa"/>
            <w:tcBorders/>
            <w:vAlign w:val="bottom"/>
          </w:tcPr>
          <w:p>
            <w:pPr>
              <w:pStyle w:val="TableContents"/>
              <w:bidi w:val="0"/>
              <w:spacing w:before="0" w:after="283"/>
              <w:jc w:val="left"/>
              <w:rPr/>
            </w:pPr>
            <w:r>
              <w:rPr/>
              <w:t>Participant in a recognized Signature Guarantee Medallion Program (or other signature guarantor program reasonably acceptable to the Trustee)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b/>
          <w:sz w:val="20"/>
        </w:rPr>
      </w:pPr>
      <w:bookmarkStart w:id="28" w:name="d274438dex51.htm"/>
      <w:bookmarkStart w:id="29" w:name="ksd274438dex51"/>
      <w:bookmarkEnd w:id="28"/>
      <w:bookmarkEnd w:id="29"/>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228725" cy="200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1228725"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August 6, 2026 </w:t>
      </w:r>
    </w:p>
    <w:p>
      <w:pPr>
        <w:pStyle w:val="TextBody"/>
        <w:bidi w:val="0"/>
        <w:spacing w:before="240" w:after="0"/>
        <w:jc w:val="left"/>
        <w:rPr>
          <w:rFonts w:ascii="Times New Roman" w:hAnsi="Times New Roman"/>
          <w:sz w:val="20"/>
        </w:rPr>
      </w:pPr>
      <w:r>
        <w:rPr>
          <w:rFonts w:ascii="Times New Roman" w:hAnsi="Times New Roman"/>
          <w:sz w:val="20"/>
        </w:rPr>
        <w:t xml:space="preserve">Solid Biosciences Inc. </w:t>
      </w:r>
    </w:p>
    <w:p>
      <w:pPr>
        <w:pStyle w:val="TextBody"/>
        <w:bidi w:val="0"/>
        <w:spacing w:before="0" w:after="0"/>
        <w:jc w:val="left"/>
        <w:rPr>
          <w:rFonts w:ascii="Times New Roman" w:hAnsi="Times New Roman"/>
          <w:sz w:val="20"/>
        </w:rPr>
      </w:pPr>
      <w:r>
        <w:rPr>
          <w:rFonts w:ascii="Times New Roman" w:hAnsi="Times New Roman"/>
          <w:sz w:val="20"/>
        </w:rPr>
        <w:t xml:space="preserve">500 Rutherford Avenue, Third Floor </w:t>
      </w:r>
    </w:p>
    <w:p>
      <w:pPr>
        <w:pStyle w:val="TextBody"/>
        <w:bidi w:val="0"/>
        <w:spacing w:before="0" w:after="0"/>
        <w:jc w:val="left"/>
        <w:rPr>
          <w:rFonts w:ascii="Times New Roman" w:hAnsi="Times New Roman"/>
          <w:sz w:val="20"/>
        </w:rPr>
      </w:pPr>
      <w:r>
        <w:rPr>
          <w:rFonts w:ascii="Times New Roman" w:hAnsi="Times New Roman"/>
          <w:sz w:val="20"/>
        </w:rPr>
        <w:t xml:space="preserve">Charlestown, MA 02129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Statement on Form S-3</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This opinion is furnished to you in connection with a Registration Statement on Form S-3 (the “Registration Statement”) to be filed by Solid Biosciences Inc., a Delaware corporation (the “Company”), with the Securities and Exchange Commission (the “Commission”) under the Securities Act of 1933, as amended (the “Securities Act”), for the registration of the following securities of the Company (the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debt securities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subordinated debt securities (“Subordinated Debt Securities” and, together with the Senior Debt Securities,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stock, par value $0.001 per share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preferred stock, par value $0.001 per share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depositary shares representing fractional interests in a share or multiple shares of Preferred Stock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consisting of one or more securities, including Common Stock, Preferred Stock, Debt Securities, Depositary Shares, Warrants or any other securities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Debt Securities, Common Stock, Preferred Stock or Depositary Shares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of which may be issued from time to time on a delayed or continuous basis pursuant to Rule 415 under the Securities Act at an indeterminate aggregate offering price, as set forth in the Registration Statement, the base prospectus contained therein (the “Prospectus”) and any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We are acting as counsel for the Company in connection with the filing of the Registration Statement. The Senior Debt Securities may be issued pursuant to a senior indenture (together with any supplemental indentures relating to the Senior Debt Securities, the “Senior Indenture”) to be entered into between the Company and a trustee to be named in the Senior Indenture, as trustee (the “Senior Trustee”) and duly qualified under the Trust Indenture Act of 1939, as amended (the “Trust Indenture Act”). The Subordinated Debt Securities may be issued pursuant to a subordinated indenture (together with any supplemental indentures relating to the Subordinated Debt Securities, the “Subordinated Indenture,” and together with the Senior Indenture, the “Indentures,” and each individually, an “Indenture”) to be entered into between the Company and a trustee to be named in the Subordinated Indenture, as trustee (the “Subordinated Trustee” and together with the Senior Trustee, the “Trustees,” and each individually, a “Trustee”) and duly qualified under the Trust Indenture Act. The preferences, limitations and relative rights of shares of any series of Preferred Stock will be set forth in a Certificate of Designation (a “Certificate of Designation”). The shares of Preferred Stock represented by Depositary Shares will be deposited pursuant to a Depositary Agreement (the “Depositary Agreement”) to be entered into between the Company and a bank or trust company to be named, as depositary. The Units may be issued pursuant to a Unit Agreement (the “Unit Agreement”) to be entered into between the Company and a bank or trust company to be named, as unit agent. The Warrants may be issued pursuant to a warrant agreement (the “Warrant Agreement”) to be entered into between the Company and a bank or trust company to be named, as warrant agent.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19140" cy="2616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8"/>
                    <a:stretch>
                      <a:fillRect/>
                    </a:stretch>
                  </pic:blipFill>
                  <pic:spPr bwMode="auto">
                    <a:xfrm>
                      <a:off x="0" y="0"/>
                      <a:ext cx="5819140" cy="26162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Solid Biosciences Inc. </w:t>
      </w:r>
    </w:p>
    <w:p>
      <w:pPr>
        <w:pStyle w:val="TextBody"/>
        <w:bidi w:val="0"/>
        <w:spacing w:before="0" w:after="0"/>
        <w:jc w:val="left"/>
        <w:rPr>
          <w:rFonts w:ascii="Times New Roman" w:hAnsi="Times New Roman"/>
          <w:sz w:val="20"/>
        </w:rPr>
      </w:pPr>
      <w:r>
        <w:rPr>
          <w:rFonts w:ascii="Times New Roman" w:hAnsi="Times New Roman"/>
          <w:sz w:val="20"/>
        </w:rPr>
        <w:t xml:space="preserve">August 6,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have examined and relied upon signed copies of the Registration Statement to be filed with the Commission, including the exhibits thereto. We have also examined and relied upon the Certificate of Incorporation of the Company (as amended or restated from time to time, the “Certificate of Incorporation”), the Bylaws of the Company (as amended or restated from time to time, the “Bylaws”) and minutes of meetings of the stockholders and the Board of Directors of the Company including duly authorized committees thereof as provided to us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our examination of the foregoing documents, we have assumed the genuineness of all signatures, the legal capacity of all signatories, the authenticity of all documents submitted to us as originals, the conformity to original documents of all documents submitted to us as copies, the authenticity of such original documents and the completeness and accuracy of the corporate minute books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have relied as to certain matters on information obtained from public officials and officers of the Company, and we have assumed (i) the Registration Statement will be effective and will comply with all applicable laws at the time Securities are offered or issued as contemplated by the Registration Statement; (ii) one or more prospectus supplements and term sheets, as applicable, will have been prepared and filed with the Commission describing the Securities offered thereby; (iii) all Securities will be issued and sold in compliance with applicable federal and state securities laws and in the manner stated in the Registration Statement, the Prospectus and any applicable prospectus supplement; (iv) in the case of Debt Securities, (a) the applicable Indenture will be duly authorized, executed and delivered by the applicable Trustee in substantially the form filed as Exhibit 4.4 or Exhibit 4.5 to the Registration Statement, (b) the applicable Trustee will be duly eligible to serve as trustee, and (c) the Debt Securities will be duly authenticated by the Trustee named in the applicable Indenture; (v) any Depositary Agreement, Unit Agreement or Warrant Agreement, as applicable, will be duly authorized, executed and delivered by all parties thereto other than the Company; (vi) a definitive purchase, underwriting or similar agreement with respect to any Securities offered will be duly authorized, executed and delivered by all parties thereto other than the Company; (vii) any Securities issuable upon conversion, exchange or exercise of any Security being offered will be duly authorized, created and, if appropriate, reserved for issuance upon such conversion, exchange or exercise; (viii) with respect to shares of Common Stock or Preferred Stock offered, there will be sufficient shares of Common Stock or Preferred Stock authorized under the Certificate of Incorporation and not otherwise reserved for issuance; (ix) if issued in uncertificated form, valid book-entry notations for the issuance of the Common Stock or the Preferred Stock will have been duly made in the share register of the Company; (x) at the time of the issuance and sale of the Securities, the Company will be validly existing as a corporation and in good standing under the laws of the State of Delaware; and (xi) any Depositary Agreement, Unit Agreement or Warrant Agreement will be governed by the laws of the State of New York or Delaware. </w:t>
      </w:r>
    </w:p>
    <w:p>
      <w:pPr>
        <w:pStyle w:val="TextBody"/>
        <w:bidi w:val="0"/>
        <w:spacing w:before="240" w:after="0"/>
        <w:jc w:val="left"/>
        <w:rPr>
          <w:rFonts w:ascii="Times New Roman" w:hAnsi="Times New Roman"/>
          <w:sz w:val="20"/>
        </w:rPr>
      </w:pPr>
      <w:r>
        <w:rPr>
          <w:rFonts w:ascii="Times New Roman" w:hAnsi="Times New Roman"/>
          <w:sz w:val="20"/>
        </w:rPr>
        <w:t xml:space="preserve">We are expressing no opinion herein as to the application of any federal or state law or regulation to the power, authority or competence of any party to any agreement with respect to any of the Securities other than the Company. We have assumed that such agreements are, or will be, the valid and binding obligations of each party thereto other than the Company, and enforceable against each such other party in accordance with their respective terms.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for purposes of our opinions below that no authorization, approval or other action by, and no notice to or filing with, any governmental authority or regulatory body or any other third party is required for the due execution, delivery or performance by the Company, or, if any such authorization, approval, consent, action, notice or filing is required, it will have been duly obtained, taken, given or made and will be in full force and effect. We have also assumed that there will not have occurred, prior to the date of issuance of the Securities, any change in law affecting the validity or enforceability of such Securities and that at the time of the issuance and sale of such Securities, the Board of Directors of the Company (or any committee of such Board of Directors or any person acting pursuant to authority properly delegated to such person by the Board of Directors of the Company or any committee of such Board of Directors) shall not have taken any action to rescind or otherwise reduce its prior authorization of the issuance of such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Solid Biosciences Inc. </w:t>
      </w:r>
    </w:p>
    <w:p>
      <w:pPr>
        <w:pStyle w:val="TextBody"/>
        <w:bidi w:val="0"/>
        <w:spacing w:before="0" w:after="0"/>
        <w:jc w:val="left"/>
        <w:rPr>
          <w:rFonts w:ascii="Times New Roman" w:hAnsi="Times New Roman"/>
          <w:sz w:val="20"/>
        </w:rPr>
      </w:pPr>
      <w:r>
        <w:rPr>
          <w:rFonts w:ascii="Times New Roman" w:hAnsi="Times New Roman"/>
          <w:sz w:val="20"/>
        </w:rPr>
        <w:t xml:space="preserve">August 6,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opinions below are qualified to the extent that they may be subject to or affected by (i) applicable bankruptcy, insolvency, reorganization, receivership, moratorium, usury, fraudulent conveyance, fraudulent transfer or similar laws relating to or affecting the rights or remedies of creditors generally, (ii) duties and standards imposed on creditors and parties to contracts, including, without limitation, requirements of materiality, good faith, reasonableness and fair dealing, (iii) general equitable principles, and (iv) acceleration of the Debt Securities which may affect the collectability of that portion of the stated principal amount thereof that might be determined to constitute unearned interest thereon. Furthermore, we express no opinion as to the availability of any equitable or specific remedy upon any breach of any of the agreements as to which we are opining herein, or any of the agreements, documents or obligations referred to therein, or to the successful assertion of any equitable defenses, inasmuch as the availability of such remedies or the success of any equitable defenses may be subject to the discretion of a court. We also express no opinion herein as to the laws of any state or jurisdiction other than the state laws of the State of New York and the General Corporation Law of the State of Delaware. We also express no opinion herein with respect to compliance by the Company with the securities or “blue sky” laws of any state or other jurisdiction of the United States or of any foreign jurisdiction. We express no opinion and make no statement herein with respect to the antifraud laws of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We also express no opinion herein as to any provision of any agreement (i) that may be deemed to or construed to waive any right, defense or counterclaim of the Company, (ii) to the effect that rights and remedies are not exclusive, that every right or remedy is cumulative and may be exercised in addition to or with any other right or remedy and does not preclude recourse to one or more other rights or remedies, (iii) relating to the effect of invalidity or unenforceability of any provision of any agreement on the validity or enforceability of any other provision thereof, (iv) that is in violation of public policy, (v) relating to indemnification and contribution with respect to securities law matters, (vi) that provides that the terms of any agreement may not be waived or modified except in writing, (vii) purporting to indemnify any person against his, her or its own negligence or intentional misconduct, (viii) requiring the payment of penalties, consequential damages or liquidated damages or limiting a party’s recovery of certain damages or losses, (ix) purporting to establish evidentiary standards or regarding standards for exercising rights and remedies or (x) relating to choice of law or consent to jurisdiction.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With respect to the Debt Securities, when (i) specifically authorized for issuance by proper action of the Board of Directors of the Company or an authorized committee thereof (“Authorizing Resolutions”), (ii) the applicable Indenture has been duly authorized, executed and delivered by the Company, (iii) the terms of the Debt Securities and of their issuance and sale have been duly established in conformity with the applicable Indenture and the Authorizing Resolutions and assuming such terms and sale do not violate any applicable law or result in a default under or breach of any agreement or instrument binding upon the Company and comply with any requirement or restriction imposed by any court or governmental body having jurisdiction over the Company, (iv) such Debt Securities have been duly executed by the Company and authenticated by the applicable Trustee in accordance with the applicable Indenture and delivered and sold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Debt Securities will constitute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2. With respect to shares of Common Stock, when (i) specifically authorized for issuance by Authorizing Resolutions, (ii) the terms of the issuance and sale of the Common Stock have been duly established in conformity with the Certificate of Incorporation, Bylaws and Authorizing Resolutions, (iii) the shares of Common Stock have been issued and delivered as contemplated by the Registration Statement, the Prospectus and any applicable prospectus supplement in accordance with the applicable underwriting or other purchase agreement or upon conversion or exercise of any Security offered under the Registration Statement against payment therefor, and (iv) the Company has received the consideration provided for in the Authorizing Resolutions and the applicable underwriting agreement or other purchase agreement and such consideration per share is not less than the par value per share of the Common Stock, the Common Stock will be validly issued, fully paid and non-assessable.</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Solid Biosciences Inc. </w:t>
      </w:r>
    </w:p>
    <w:p>
      <w:pPr>
        <w:pStyle w:val="TextBody"/>
        <w:bidi w:val="0"/>
        <w:spacing w:before="0" w:after="0"/>
        <w:jc w:val="left"/>
        <w:rPr>
          <w:rFonts w:ascii="Times New Roman" w:hAnsi="Times New Roman"/>
          <w:sz w:val="20"/>
        </w:rPr>
      </w:pPr>
      <w:r>
        <w:rPr>
          <w:rFonts w:ascii="Times New Roman" w:hAnsi="Times New Roman"/>
          <w:sz w:val="20"/>
        </w:rPr>
        <w:t xml:space="preserve">August 6,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3. With respect to shares of any series of Preferred Stock, when (i) Authorizing Resolutions have specifically authorized the issuance and terms of the shares of the series, the terms of the offering thereof and related matters, including resolutions establishing and designating the series and fixing and determining the preferences, limitations and relative rights thereof and the filing of a Certificate of Designation with respect to the series with the Secretary of State of the State of Delaware, (ii) such Certificate of Designation has been duly filed with the Secretary of State of the State of Delaware, (iii) the terms of the issuance and sale of the series of Preferred Stock have been duly established in conformity with the Certificate of Incorporation, Bylaws and Authorizing Resolutions, (iv) the shares of the series of Preferred Stock have been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and such consideration per share is not less than the par value per share of the Preferred Stock, the shares of such series of Preferred Stock will be validly issued, fully paid and non-assessable.</w:t>
      </w:r>
    </w:p>
    <w:p>
      <w:pPr>
        <w:pStyle w:val="TextBody"/>
        <w:bidi w:val="0"/>
        <w:spacing w:before="240" w:after="0"/>
        <w:jc w:val="left"/>
        <w:rPr>
          <w:rFonts w:ascii="Times New Roman" w:hAnsi="Times New Roman"/>
          <w:sz w:val="20"/>
        </w:rPr>
      </w:pPr>
      <w:r>
        <w:rPr>
          <w:rFonts w:ascii="Times New Roman" w:hAnsi="Times New Roman"/>
          <w:sz w:val="20"/>
        </w:rPr>
        <w:t xml:space="preserve">4. With respect to the Depositary Shares, when (i) Authorizing Resolutions have specifically authorized the issuance and terms of the Depositary Shares, the terms of the offering thereof and related matters, including the adoption of a Certificate of Designation relating to the Preferred Stock underlying the Depositary Shares and the filing of the Certificate of Designation with the Secretary of State of the State of Delaware, (ii) such Certificate of Designation has been duly filed with the Secretary of State of the State of Delaware, (iii) the applicable Depositary Agreement relating to the Depositary Shares has been duly authorized, executed and delivered; any depositary receipts evidencing rights in the Depositary Shares have been executed; and the depositary appointed by the Company, (iv) the terms of the issuance and sale of the Depositary Shares have been duly established in conformity with the Certificate of Incorporation, Bylaws and Authorizing Resolutions, (v) the Depositary Shares have been issued and delivered as contemplated by the Registration Statement, the Prospectus and any applicable prospectus supplement in accordance with the applicable underwriting or other purchase agreement against payment therefor, (vi) the shares of Preferred Stock underlying the Depositary Shares have been deposited with a bank or trust company (which meets the requirements for the depositary set forth in the Registration Statement), and (vii) the Company has received the consideration provided for in the Authorizing Resolutions and the applicable underwriting agreement or other purchase agreement, the Depositary Shares will be legally issued and will entitle the holders of such Depositary Shares to the rights specified in the applicable Depositary Agreement and the applicable depositary receipts. </w:t>
      </w:r>
    </w:p>
    <w:p>
      <w:pPr>
        <w:pStyle w:val="TextBody"/>
        <w:bidi w:val="0"/>
        <w:spacing w:before="240" w:after="0"/>
        <w:jc w:val="left"/>
        <w:rPr>
          <w:rFonts w:ascii="Times New Roman" w:hAnsi="Times New Roman"/>
          <w:sz w:val="20"/>
        </w:rPr>
      </w:pPr>
      <w:r>
        <w:rPr>
          <w:rFonts w:ascii="Times New Roman" w:hAnsi="Times New Roman"/>
          <w:sz w:val="20"/>
        </w:rPr>
        <w:t xml:space="preserve">5. With respect to the Units, when (i) specifically authorized for issuance by Authorizing Resolutions, (ii) any applicable Unit Agreement has been duly authorized, executed and delivered, (iii) the terms of the Units and of their issuance and sale have been duly established in conformity with any applicable Unit Agreement and the Authorizing Resolutions, (iv) the Units have been duly executed and delivered in accordance with any applicable Unit Agreement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Units will constitute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6. With respect to the Warrants, when (i) specifically authorized for issuance by Authorizing Resolutions, (ii) any applicable Warrant Agreement relating to the Warrants has been duly authorized, executed and delivered by the Company, (iii) the terms of the Warrants and of their issuance and sale have been duly established in conformity with any applicable Warrant Agreement and the Authorizing Resolutions, (iv) the Warrants have been duly executed by the Company and countersigned in accordance with any Warrant Agreement and Authorizing Resolutions and issued and delivered as contemplated by the Registration Statement, the Prospectus and any applicable prospectus supplement in accordance with the applicable underwriting or other purchase agreement against payment therefor, and (v) the Company has received the consideration provided for in the Authorizing Resolutions and the applicable underwriting agreement or other purchase agreement, such Warrants will constitute valid and binding obligations of the Company enforceable against the Company in accordance with their terms.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Solid Biosciences Inc. </w:t>
      </w:r>
    </w:p>
    <w:p>
      <w:pPr>
        <w:pStyle w:val="TextBody"/>
        <w:bidi w:val="0"/>
        <w:spacing w:before="0" w:after="0"/>
        <w:jc w:val="left"/>
        <w:rPr>
          <w:rFonts w:ascii="Times New Roman" w:hAnsi="Times New Roman"/>
          <w:sz w:val="20"/>
        </w:rPr>
      </w:pPr>
      <w:r>
        <w:rPr>
          <w:rFonts w:ascii="Times New Roman" w:hAnsi="Times New Roman"/>
          <w:sz w:val="20"/>
        </w:rPr>
        <w:t xml:space="preserve">August 6, 2026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with the Commission as an exhibit to the Registration Statement in accordance with the requirements of Item 601(b)(5) of Regulation S-K under the Securities Act and to the use of our name therein and in the related Prospectus and in any prospectus supplement under the caption “Legal Matters.” In giving such consent, we do not hereby admit that we are in the category of persons whose consent is required under Section 7 of the Securities Act or the rules and regulations of the Commission.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Wilmer Cutler Pickering Hale and Dorr LLP</w:t>
            </w:r>
          </w:p>
        </w:tc>
      </w:tr>
      <w:tr>
        <w:trPr/>
        <w:tc>
          <w:tcPr>
            <w:tcW w:w="4082" w:type="dxa"/>
            <w:tcBorders/>
          </w:tcPr>
          <w:p>
            <w:pPr>
              <w:pStyle w:val="TableContents"/>
              <w:bidi w:val="0"/>
              <w:spacing w:before="0" w:after="283"/>
              <w:jc w:val="left"/>
              <w:rPr/>
            </w:pPr>
            <w:r>
              <w:rPr/>
              <w:t>WILMER CUTLER PICKERING HALE AND DORR LLP</w:t>
            </w:r>
          </w:p>
        </w:tc>
      </w:tr>
    </w:tbl>
    <w:p>
      <w:pPr>
        <w:pStyle w:val="TextBody"/>
        <w:bidi w:val="0"/>
        <w:spacing w:before="0" w:after="0"/>
        <w:jc w:val="right"/>
        <w:rPr>
          <w:rFonts w:ascii="Times New Roman" w:hAnsi="Times New Roman"/>
          <w:b/>
          <w:sz w:val="20"/>
        </w:rPr>
      </w:pPr>
      <w:bookmarkStart w:id="30" w:name="d274438dex231.htm"/>
      <w:bookmarkStart w:id="31" w:name="ksd274438dex231"/>
      <w:bookmarkEnd w:id="30"/>
      <w:bookmarkEnd w:id="31"/>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Solid Biosciences Inc. of our report dated March 19, 2026 relating to the financial statements, which appears in Solid Biosciences Inc.’s Annual Report on Form 10-K for the year ended December 31, 2025.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PricewaterhouseCoopers LLP</w:t>
            </w:r>
          </w:p>
        </w:tc>
      </w:tr>
      <w:tr>
        <w:trPr/>
        <w:tc>
          <w:tcPr>
            <w:tcW w:w="4082" w:type="dxa"/>
            <w:tcBorders/>
          </w:tcPr>
          <w:p>
            <w:pPr>
              <w:pStyle w:val="TableContents"/>
              <w:bidi w:val="0"/>
              <w:spacing w:before="0" w:after="283"/>
              <w:jc w:val="left"/>
              <w:rPr/>
            </w:pPr>
            <w:r>
              <w:rPr/>
              <w:t>Boston, Massachusetts</w:t>
            </w:r>
          </w:p>
        </w:tc>
      </w:tr>
      <w:tr>
        <w:trPr/>
        <w:tc>
          <w:tcPr>
            <w:tcW w:w="4082" w:type="dxa"/>
            <w:tcBorders/>
            <w:vAlign w:val="bottom"/>
          </w:tcPr>
          <w:p>
            <w:pPr>
              <w:pStyle w:val="TableContents"/>
              <w:bidi w:val="0"/>
              <w:spacing w:before="0" w:after="283"/>
              <w:jc w:val="left"/>
              <w:rPr/>
            </w:pPr>
            <w:r>
              <w:rPr/>
              <w:t>August 6,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Normal"/>
        <w:bidi w:val="0"/>
        <w:spacing w:before="0" w:after="0"/>
        <w:jc w:val="left"/>
        <w:rPr>
          <w:sz w:val="4"/>
          <w:szCs w:val="4"/>
        </w:rPr>
      </w:pPr>
      <w:r>
        <w:rPr>
          <w:sz w:val="4"/>
          <w:szCs w:val="4"/>
        </w:rPr>
      </w:r>
      <w:bookmarkStart w:id="32" w:name="d274438dexfilingfees.htm"/>
      <w:bookmarkStart w:id="33" w:name="ksd274438dexfilingfees"/>
      <w:bookmarkStart w:id="34" w:name="d274438dexfilingfees.htm"/>
      <w:bookmarkStart w:id="35" w:name="ksd274438dexfilingfees"/>
      <w:bookmarkEnd w:id="34"/>
      <w:bookmarkEnd w:id="35"/>
      <w:r>
        <w:br w:type="page"/>
      </w:r>
    </w:p>
    <w:tbl>
      <w:tblPr>
        <w:tblW w:w="3571" w:type="dxa"/>
        <w:jc w:val="left"/>
        <w:tblInd w:w="0" w:type="dxa"/>
        <w:tblLayout w:type="fixed"/>
        <w:tblCellMar>
          <w:top w:w="28" w:type="dxa"/>
          <w:left w:w="28" w:type="dxa"/>
          <w:bottom w:w="28" w:type="dxa"/>
          <w:right w:w="28" w:type="dxa"/>
        </w:tblCellMar>
      </w:tblPr>
      <w:tblGrid>
        <w:gridCol w:w="3417"/>
        <w:gridCol w:w="154"/>
      </w:tblGrid>
      <w:tr>
        <w:trPr/>
        <w:tc>
          <w:tcPr>
            <w:tcW w:w="357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7" w:type="dxa"/>
            <w:tcBorders/>
            <w:vAlign w:val="center"/>
          </w:tcPr>
          <w:p>
            <w:pPr>
              <w:pStyle w:val="TableContents"/>
              <w:bidi w:val="0"/>
              <w:spacing w:before="0" w:after="283"/>
              <w:jc w:val="left"/>
              <w:rPr>
                <w:b/>
              </w:rPr>
            </w:pPr>
            <w:r>
              <w:rPr>
                <w:b/>
              </w:rPr>
              <w:t xml:space="preserve">Solid Biosciences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074" w:type="dxa"/>
        <w:jc w:val="left"/>
        <w:tblInd w:w="0" w:type="dxa"/>
        <w:tblLayout w:type="fixed"/>
        <w:tblCellMar>
          <w:top w:w="28" w:type="dxa"/>
          <w:left w:w="28" w:type="dxa"/>
          <w:bottom w:w="28" w:type="dxa"/>
          <w:right w:w="28" w:type="dxa"/>
        </w:tblCellMar>
      </w:tblPr>
      <w:tblGrid>
        <w:gridCol w:w="1126"/>
        <w:gridCol w:w="226"/>
        <w:gridCol w:w="946"/>
        <w:gridCol w:w="114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4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07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14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Common Stock, $0.001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Preferred Stock, $0.001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07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36" w:name="MaxAggtOfferingPrice"/>
            <w:bookmarkEnd w:id="36"/>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7" w:name="TotalFee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PreviouslyPaid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TotalOffset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NetFee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7"/>
        <w:gridCol w:w="8709"/>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Pursuant to Instruction 2.A(iii)(c)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accordance with Rules 456(b) and 457(r) under the Securities Act, the registrant is deferring payment of all registration fees and will pay the registration fees subsequently on a "pay as you go" basis.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Pursuant to Instruction 2.A(iii)(c)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accordance with Rules 456(b) and 457(r) under the Securities Act, the registrant is deferring payment of all registration fees and will pay the registration fees subsequently on a "pay as you go" basis.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6" w:type="dxa"/>
            <w:gridSpan w:val="2"/>
            <w:tcBorders/>
            <w:vAlign w:val="center"/>
          </w:tcPr>
          <w:p>
            <w:pPr>
              <w:pStyle w:val="TableContents"/>
              <w:bidi w:val="0"/>
              <w:spacing w:before="0" w:after="283"/>
              <w:jc w:val="left"/>
              <w:rPr/>
            </w:pPr>
            <w:r>
              <w:rPr/>
              <w:t xml:space="preserve">Pursuant to Instruction 2.A(iii)(c)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accordance with Rules 456(b) and 457(r) under the Securities Act, the registrant is deferring payment of all registration fees and will pay the registration fees subsequently on a "pay as you go" basis.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6" w:type="dxa"/>
            <w:gridSpan w:val="2"/>
            <w:tcBorders/>
            <w:vAlign w:val="center"/>
          </w:tcPr>
          <w:p>
            <w:pPr>
              <w:pStyle w:val="TableContents"/>
              <w:bidi w:val="0"/>
              <w:spacing w:before="0" w:after="283"/>
              <w:jc w:val="left"/>
              <w:rPr/>
            </w:pPr>
            <w:r>
              <w:rPr/>
              <w:t xml:space="preserve">(a) Pursuant to Instruction 2.A(iii)(c)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accordance with Rules 456(b) and 457(r) under the Securities Act, the registrant is deferring payment of all registration fees and will pay the registration fees subsequently on a "pay as you go" basis. (b) Each depositary share will be issued under a deposit agreement, will represent an interest in a fractional share or multiple shares of preferred stock and will be evidenced by a depositary receipt.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6" w:type="dxa"/>
            <w:gridSpan w:val="2"/>
            <w:tcBorders/>
            <w:vAlign w:val="center"/>
          </w:tcPr>
          <w:p>
            <w:pPr>
              <w:pStyle w:val="TableContents"/>
              <w:bidi w:val="0"/>
              <w:spacing w:before="0" w:after="283"/>
              <w:jc w:val="left"/>
              <w:rPr/>
            </w:pPr>
            <w:r>
              <w:rPr/>
              <w:t xml:space="preserve">(a) Pursuant to Instruction 2.A(iii)(c)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accordance with Rules 456(b) and 457(r) under the Securities Act, the registrant is deferring payment of all registration fees and will pay the registration fees subsequently on a "pay as you go" basis. (b) Units may be issued under a unit agreement and will represent an interest in one or more securities registered under this registration statement including shares of common stock or preferred stock, debt securities or warrants, in any combination, which may or may not be separable from one another.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6" w:type="dxa"/>
            <w:gridSpan w:val="2"/>
            <w:tcBorders/>
            <w:vAlign w:val="center"/>
          </w:tcPr>
          <w:p>
            <w:pPr>
              <w:pStyle w:val="TableContents"/>
              <w:bidi w:val="0"/>
              <w:spacing w:before="0" w:after="283"/>
              <w:jc w:val="left"/>
              <w:rPr/>
            </w:pPr>
            <w:r>
              <w:rPr/>
              <w:t xml:space="preserve">Pursuant to Instruction 2.A(iii)(c)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accordance with Rules 456(b) and 457(r) under the Securities Act, the registrant is deferring payment of all registration fees and will pay the registration fees subsequently on a "pay as you go" basis.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707502/000119312526115928/sldb-20251231.htm" TargetMode="External"/><Relationship Id="rId4" Type="http://schemas.openxmlformats.org/officeDocument/2006/relationships/hyperlink" Target="http://www.sec.gov/Archives/edgar/data/../../../ix?doc=/Archives/edgar/data/0001707502/000119312526173642/sldb-20260422.htm" TargetMode="External"/><Relationship Id="rId5" Type="http://schemas.openxmlformats.org/officeDocument/2006/relationships/hyperlink" Target="http://www.sec.gov/Archives/edgar/data/../../../ix?doc=/Archives/edgar/data/0001707502/000119312526219337/sldb-20260331.htm" TargetMode="External"/><Relationship Id="rId6" Type="http://schemas.openxmlformats.org/officeDocument/2006/relationships/hyperlink" Target="http://www.sec.gov/Archives/edgar/data/../../../ix?doc=/Archives/edgar/data/0001707502/000119312526337935/sldb-20260630.htm" TargetMode="External"/><Relationship Id="rId7" Type="http://schemas.openxmlformats.org/officeDocument/2006/relationships/hyperlink" Target="http://www.sec.gov/Archives/edgar/data/../../../ix?doc=/Archives/edgar/data/0001707502/000119312526096709/d81855d8k.htm" TargetMode="External"/><Relationship Id="rId8" Type="http://schemas.openxmlformats.org/officeDocument/2006/relationships/hyperlink" Target="http://www.sec.gov/Archives/edgar/data/../../../ix?doc=/Archives/edgar/data/0001707502/000119312526102489/sldb-20260311.htm" TargetMode="External"/><Relationship Id="rId9" Type="http://schemas.openxmlformats.org/officeDocument/2006/relationships/hyperlink" Target="http://www.sec.gov/Archives/edgar/data/../../../ix?doc=/Archives/edgar/data/0001707502/000119312526151259/sldb-20260410.htm" TargetMode="External"/><Relationship Id="rId10" Type="http://schemas.openxmlformats.org/officeDocument/2006/relationships/hyperlink" Target="http://www.sec.gov/Archives/edgar/data/../../../ix?doc=/Archives/edgar/data/0001707502/000119312526265804/sldb-20260610.htm" TargetMode="External"/><Relationship Id="rId11" Type="http://schemas.openxmlformats.org/officeDocument/2006/relationships/hyperlink" Target="http://www.sec.gov/Archives/edgar/data/1707502/000119312518015776/d520894d8a12b.htm" TargetMode="External"/><Relationship Id="rId12" Type="http://schemas.openxmlformats.org/officeDocument/2006/relationships/hyperlink" Target="http://www.sec.gov/Archives/edgar/data/1707502/000119312526115928/sldb-ex4_2.htm" TargetMode="External"/><Relationship Id="rId13" Type="http://schemas.openxmlformats.org/officeDocument/2006/relationships/image" Target="media/image1.jpeg"/><Relationship Id="rId14" Type="http://schemas.openxmlformats.org/officeDocument/2006/relationships/hyperlink" Target="http://www.sec.gov/Archives/edgar/data/1707502/000119312526337935/sldb-ex3_1.htm" TargetMode="External"/><Relationship Id="rId15" Type="http://schemas.openxmlformats.org/officeDocument/2006/relationships/hyperlink" Target="http://www.sec.gov/Archives/edgar/data/1707502/000119312518023680/d538639dex42.htm" TargetMode="External"/><Relationship Id="rId16" Type="http://schemas.openxmlformats.org/officeDocument/2006/relationships/hyperlink" Target="http://www.sec.gov/Archives/edgar/data/1707502/000119312517383428/d404258dex41.htm" TargetMode="External"/><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150</Pages>
  <Words>95753</Words>
  <Characters>487911</Characters>
  <CharactersWithSpaces>584854</CharactersWithSpaces>
  <Paragraphs>4871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