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SOLID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Kolchinsky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 Capital Management, L.P., 200 Berkeley Street,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617.778.2500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12,036,126.00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12,036,126.00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12,036,126.00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12,036,126.00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12,036,126.00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12,036,126.00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12,036,126.00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12,036,126.00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12,036,126.00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11,897,896.00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11,897,896.00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11,897,896.00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500 Rutherford Avenue, Third Floor, Charlestown, MASSACHUSETTS , 02129.</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13 (this "Amendment No. 13" or this "Schedule 13D/A") amends and supplements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statement on Schedule 13D originally filed with the Securities and Exchange Commission (the "SEC") on February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9, 2018, and amended on July 30, 2019, December 16, 2020, March 23, 2021, September 6, 2022, October 4, 2022, December 5, 2022, January 11, 2024, June 12, 2024, February 21, 2025, August 14, 2025, March 9, 2026 and March 17, 2026 (as amended, the "Statement") by the Reporting Persons. Unless otherwise defined herein, capitalized terms used in this Amendment No. 13 shall have the meanings ascribed to them in the Statement. Unless amended or</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supplemented below, the information in the Statement remains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This Schedule 13D/A is being filed on behalf of RA Capital Management, L.P. ("RA Capital"), Peter Kolchinsky, Rajeev Shah, and RA Capital Healthcare Fund, L.P. (the "Fund"). RA Capital, Dr. Kolchinsky, Mr. Shah and the Fund are collectively referred to herein as the "Reporting Persons." The agreement among the Reporting Persons to file this Schedule 13D/A jointly in accordance with Rule 13d-1(k) of the Securities Exchange Act of 1934, as amended, (the "Act") is attached hereto as Exhibit 99.1. The Reporting Persons' beneficial ownership of the Issuer's common stock consists of (i) 11,897,896 shares of common stock directly held by the Fund; (ii) 109,661 shares of common stock directly held by the RA Capital Nexus Fund, L.P. (the "Nexus Fund"); (iii) 28,569 shares of common stock directly held by a separately managed account (the "Account"); and (iv) pre-funded warrants ("Pre-Funded Warrants") exercisable for up to 8,178,412 shares of common stock directly held by the Fund. The Pre-Funded Warrants contain a provision (the "Beneficial Ownership Blocker"), which precludes the exercise of the Pre-Funded Warrants to the extent that, following exercise, the Fund, together with its affiliates and other attribution parties, would own more than 9.99% of the common stock outstanding. The Fund is currently prohibited from exercising the Pre-Funded Warrants by virtue of the Beneficial Ownership Blocker. RA Capital Healthcare Fund GP, LLC is the general partner of the Fund and RA Capital Nexus Fund GP, LLC is the general partner of the Nexus Fund. The general partner of</w:t>
      </w:r>
    </w:p>
    <w:p>
      <w:pPr>
        <w:spacing w:after="0" w:line="3" w:lineRule="exact"/>
        <w:rPr>
          <w:sz w:val="20"/>
          <w:szCs w:val="20"/>
          <w:color w:val="auto"/>
        </w:rPr>
      </w:pPr>
    </w:p>
    <w:p>
      <w:pPr>
        <w:ind w:left="920" w:right="80" w:hanging="912"/>
        <w:spacing w:after="0" w:line="231"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 Capital is RA Capital Management GP, LLC, of which Dr. Kolchinsky and Mr. Shah are the controlling persons. RA Capital serves as investment adviser for each of the Fund, the Nexus Fund and the Account and may be deemed a beneficial owner, for purposes of Section 13(d) of the Act, of any securities of the Issuer held by the Fund, the Nexus Fund or the Account. Each of the Fund and the Nexus Fund has delegated to RA Capital the sole power to vote and the sole power to dispose of all securities held in its portfolio, including the shares of the Issuer's common stock reported herein. Because each of the Fund and the Nexus Fund has divested itself of voting and investment power over the reported securities it holds and may not revoke that delegation on less than 61 days' notice, each of the Fund and the Nexus Fund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this Schedule 13D/A shall not be deemed an admission that either RA Capital, Dr. Kolchinsky, or Mr. Shah is the beneficial owner of such securities for any other purpose.</w:t>
      </w:r>
    </w:p>
    <w:p>
      <w:pPr>
        <w:spacing w:after="0" w:line="22"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200 Berkeley Street, 18th Floor, Boston, MA 02116.</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Fund is a private investment vehicle. RA Capital provides investment management services to the Fund, the</w:t>
      </w:r>
    </w:p>
    <w:p>
      <w:pPr>
        <w:spacing w:after="0" w:line="14" w:lineRule="exact"/>
        <w:rPr>
          <w:rFonts w:ascii="Times New Roman" w:cs="Times New Roman" w:eastAsia="Times New Roman" w:hAnsi="Times New Roman"/>
          <w:sz w:val="39"/>
          <w:szCs w:val="39"/>
          <w:color w:val="auto"/>
          <w:vertAlign w:val="subscript"/>
        </w:rPr>
      </w:pPr>
    </w:p>
    <w:p>
      <w:pPr>
        <w:ind w:left="920" w:right="74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Nexus Fund and the Account. The principal occupation of each of Dr. Kolchinsky and Mr. Shah is investment management.</w:t>
      </w:r>
    </w:p>
    <w:p>
      <w:pPr>
        <w:spacing w:after="0" w:line="16"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 of the cover pages.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20"/>
        <w:spacing w:after="0" w:line="282" w:lineRule="auto"/>
        <w:rPr>
          <w:sz w:val="20"/>
          <w:szCs w:val="20"/>
          <w:color w:val="auto"/>
        </w:rPr>
      </w:pPr>
      <w:r>
        <w:rPr>
          <w:rFonts w:ascii="Times New Roman" w:cs="Times New Roman" w:eastAsia="Times New Roman" w:hAnsi="Times New Roman"/>
          <w:sz w:val="21"/>
          <w:szCs w:val="21"/>
          <w:color w:val="auto"/>
        </w:rPr>
        <w:t>Item 3 of the Statement is hereby amended and supplemented as follows: On June 18, 2026, the Fund purchased 338,100 shares of common stock at prices ranging from $8.25 to $8.35 and a weighted-average price of $8.30 per</w:t>
      </w:r>
    </w:p>
    <w:p>
      <w:pPr>
        <w:sectPr>
          <w:pgSz w:w="11900" w:h="16838" w:orient="portrait"/>
          <w:cols w:equalWidth="0" w:num="1">
            <w:col w:w="11160"/>
          </w:cols>
          <w:pgMar w:left="360" w:top="110" w:right="379" w:bottom="0" w:gutter="0" w:footer="0" w:header="0"/>
        </w:sectPr>
      </w:pPr>
    </w:p>
    <w:bookmarkStart w:id="5" w:name="page6"/>
    <w:bookmarkEnd w:id="5"/>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share through open market purchases. On June 22, 2026, the Fund purchased 2,358,048 shares of common stock in an at-the-market offering by the Issuer (the "ATM Offering") at a price of $8.20 per share. All purchases of the securities described herein were for cash and were funded by working capital of the Fund.</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60"/>
        <w:spacing w:after="0" w:line="253"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w:t>
      </w:r>
    </w:p>
    <w:p>
      <w:pPr>
        <w:spacing w:after="0" w:line="1" w:lineRule="exact"/>
        <w:rPr>
          <w:sz w:val="20"/>
          <w:szCs w:val="20"/>
          <w:color w:val="auto"/>
        </w:rPr>
      </w:pPr>
    </w:p>
    <w:p>
      <w:pPr>
        <w:ind w:left="920" w:right="80" w:hanging="912"/>
        <w:spacing w:after="0" w:line="18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Person and are incorporated by reference. The percentage set forth in each row 13 is based upon the sum of (i) 98,449,606 shares of common stock outstanding as of May 8, 2026, as reported in the Issuer's Quarterly Report on Form 10-Q filed with the SEC on May 12, 2026; and (ii) 2,358,048 shares of common stock issued to the Fund in the ATM Offering.</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43"/>
          <w:szCs w:val="43"/>
          <w:color w:val="auto"/>
          <w:vertAlign w:val="subscript"/>
        </w:rPr>
      </w:pPr>
    </w:p>
    <w:p>
      <w:pPr>
        <w:ind w:left="920" w:right="22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herein, none of the Reporting Persons has effected any transactions with respect to the securities of the Issuer since the most recent amendment to this Schedule 13D/A.</w:t>
      </w:r>
    </w:p>
    <w:p>
      <w:pPr>
        <w:spacing w:after="0" w:line="17" w:lineRule="exact"/>
        <w:rPr>
          <w:rFonts w:ascii="Times New Roman" w:cs="Times New Roman" w:eastAsia="Times New Roman" w:hAnsi="Times New Roman"/>
          <w:sz w:val="39"/>
          <w:szCs w:val="39"/>
          <w:color w:val="auto"/>
          <w:vertAlign w:val="subscript"/>
        </w:rPr>
      </w:pPr>
    </w:p>
    <w:p>
      <w:pPr>
        <w:ind w:left="920" w:right="2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securities subject to this Schedule 13D/A.</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13D/A filed with the SEC on February 21,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2026-06-24T17:49:54Z</dcterms:created>
  <dcterms:modified xsi:type="dcterms:W3CDTF">2026-06-24T17:49:54Z</dcterms:modified>
</cp:coreProperties>
</file>