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IAN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SOLID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RUTHERFORD AVENUE, 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Solid Biosciences Inc.</w:t>
              </w:r>
            </w:hyperlink>
            <w:r>
              <w:rPr/>
              <w:t xml:space="preserve"> [ </w:t>
            </w:r>
            <w:r>
              <w:rPr>
                <w:rFonts w:ascii="Times;serif" w:hAnsi="Times;serif"/>
                <w:color w:val="0000FF"/>
                <w:sz w:val="24"/>
                <w:shd w:fill="FFFFFF" w:val="clear"/>
              </w:rPr>
              <w:t>SLDB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141,585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on January 2, 2026 and vested in equal quarterly installments beginning three months from the date of grant, with the final installment vesting 12 months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Cornwell as attorney-in-fact for Ian F.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032" TargetMode="External"/><Relationship Id="rId5" Type="http://schemas.openxmlformats.org/officeDocument/2006/relationships/hyperlink" Target="http://www.sec.gov/cgi-bin/browse-edgar?action=getcompany&amp;CIK=0001707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3418</Characters>
  <CharactersWithSpaces>3972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