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-199390</wp:posOffset>
            </wp:positionV>
            <wp:extent cx="1011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6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-95885</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3920" w:right="1860" w:hanging="3912"/>
        <w:spacing w:after="0" w:line="281" w:lineRule="auto"/>
        <w:tabs>
          <w:tab w:leader="none" w:pos="5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gridSpan w:val="2"/>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7240" w:type="dxa"/>
            <w:vAlign w:val="bottom"/>
            <w:gridSpan w:val="7"/>
          </w:tcPr>
          <w:p>
            <w:pPr>
              <w:jc w:val="center"/>
              <w:ind w:right="2533"/>
              <w:spacing w:after="0"/>
              <w:rPr>
                <w:sz w:val="20"/>
                <w:szCs w:val="20"/>
                <w:color w:val="auto"/>
              </w:rPr>
            </w:pPr>
            <w:r>
              <w:rPr>
                <w:rFonts w:ascii="Arial" w:cs="Arial" w:eastAsia="Arial" w:hAnsi="Arial"/>
                <w:sz w:val="18"/>
                <w:szCs w:val="18"/>
                <w:b w:val="1"/>
                <w:bCs w:val="1"/>
                <w:color w:val="auto"/>
                <w:w w:val="90"/>
              </w:rPr>
              <w:t>Commission File Number 001-38360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248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1"/>
        </w:trPr>
        <w:tc>
          <w:tcPr>
            <w:tcW w:w="3300" w:type="dxa"/>
            <w:vAlign w:val="bottom"/>
          </w:tcPr>
          <w:p>
            <w:pPr>
              <w:spacing w:after="0"/>
              <w:rPr>
                <w:sz w:val="24"/>
                <w:szCs w:val="24"/>
                <w:color w:val="auto"/>
              </w:rPr>
            </w:pPr>
          </w:p>
        </w:tc>
        <w:tc>
          <w:tcPr>
            <w:tcW w:w="1520" w:type="dxa"/>
            <w:vAlign w:val="bottom"/>
          </w:tcPr>
          <w:p>
            <w:pPr>
              <w:ind w:left="520"/>
              <w:spacing w:after="0"/>
              <w:rPr>
                <w:sz w:val="20"/>
                <w:szCs w:val="20"/>
                <w:color w:val="auto"/>
              </w:rPr>
            </w:pPr>
            <w:r>
              <w:rPr>
                <w:rFonts w:ascii="Arial" w:cs="Arial" w:eastAsia="Arial" w:hAnsi="Arial"/>
                <w:sz w:val="40"/>
                <w:szCs w:val="40"/>
                <w:b w:val="1"/>
                <w:bCs w:val="1"/>
                <w:color w:val="auto"/>
              </w:rPr>
              <w:t>Solid</w:t>
            </w:r>
          </w:p>
        </w:tc>
        <w:tc>
          <w:tcPr>
            <w:tcW w:w="1600" w:type="dxa"/>
            <w:vAlign w:val="bottom"/>
            <w:tcBorders>
              <w:top w:val="single" w:sz="8" w:color="auto"/>
            </w:tcBorders>
            <w:gridSpan w:val="2"/>
          </w:tcPr>
          <w:p>
            <w:pPr>
              <w:jc w:val="center"/>
              <w:spacing w:after="0"/>
              <w:rPr>
                <w:sz w:val="20"/>
                <w:szCs w:val="20"/>
                <w:color w:val="auto"/>
              </w:rPr>
            </w:pPr>
            <w:r>
              <w:rPr>
                <w:rFonts w:ascii="Arial" w:cs="Arial" w:eastAsia="Arial" w:hAnsi="Arial"/>
                <w:sz w:val="39"/>
                <w:szCs w:val="39"/>
                <w:b w:val="1"/>
                <w:bCs w:val="1"/>
                <w:color w:val="auto"/>
                <w:w w:val="70"/>
              </w:rPr>
              <w:t>Biosciences</w:t>
            </w:r>
          </w:p>
        </w:tc>
        <w:tc>
          <w:tcPr>
            <w:tcW w:w="260" w:type="dxa"/>
            <w:vAlign w:val="bottom"/>
          </w:tcPr>
          <w:p>
            <w:pPr>
              <w:spacing w:after="0"/>
              <w:rPr>
                <w:sz w:val="24"/>
                <w:szCs w:val="24"/>
                <w:color w:val="auto"/>
              </w:rPr>
            </w:pPr>
          </w:p>
        </w:tc>
        <w:tc>
          <w:tcPr>
            <w:tcW w:w="3860" w:type="dxa"/>
            <w:vAlign w:val="bottom"/>
            <w:gridSpan w:val="3"/>
          </w:tcPr>
          <w:p>
            <w:pPr>
              <w:ind w:left="100"/>
              <w:spacing w:after="0"/>
              <w:rPr>
                <w:sz w:val="20"/>
                <w:szCs w:val="20"/>
                <w:color w:val="auto"/>
              </w:rPr>
            </w:pPr>
            <w:r>
              <w:rPr>
                <w:rFonts w:ascii="Arial" w:cs="Arial" w:eastAsia="Arial" w:hAnsi="Arial"/>
                <w:sz w:val="40"/>
                <w:szCs w:val="40"/>
                <w:b w:val="1"/>
                <w:bCs w:val="1"/>
                <w:color w:val="auto"/>
              </w:rPr>
              <w:t>Inc.</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7240" w:type="dxa"/>
            <w:vAlign w:val="bottom"/>
            <w:gridSpan w:val="7"/>
          </w:tcPr>
          <w:p>
            <w:pPr>
              <w:jc w:val="center"/>
              <w:ind w:right="2533"/>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0" w:type="dxa"/>
            <w:vAlign w:val="bottom"/>
          </w:tcPr>
          <w:p>
            <w:pPr>
              <w:spacing w:after="0"/>
              <w:rPr>
                <w:sz w:val="1"/>
                <w:szCs w:val="1"/>
                <w:color w:val="auto"/>
              </w:rPr>
            </w:pPr>
          </w:p>
        </w:tc>
      </w:tr>
      <w:tr>
        <w:trPr>
          <w:trHeight w:val="54"/>
        </w:trPr>
        <w:tc>
          <w:tcPr>
            <w:tcW w:w="3300" w:type="dxa"/>
            <w:vAlign w:val="bottom"/>
            <w:vMerge w:val="restart"/>
          </w:tcPr>
          <w:p>
            <w:pPr>
              <w:jc w:val="center"/>
              <w:ind w:left="2264"/>
              <w:spacing w:after="0"/>
              <w:rPr>
                <w:sz w:val="20"/>
                <w:szCs w:val="20"/>
                <w:color w:val="auto"/>
              </w:rPr>
            </w:pPr>
            <w:r>
              <w:rPr>
                <w:rFonts w:ascii="Arial" w:cs="Arial" w:eastAsia="Arial" w:hAnsi="Arial"/>
                <w:sz w:val="18"/>
                <w:szCs w:val="18"/>
                <w:b w:val="1"/>
                <w:bCs w:val="1"/>
                <w:color w:val="auto"/>
                <w:w w:val="91"/>
              </w:rPr>
              <w:t>Delaware</w:t>
            </w:r>
          </w:p>
        </w:tc>
        <w:tc>
          <w:tcPr>
            <w:tcW w:w="15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860" w:type="dxa"/>
            <w:vAlign w:val="bottom"/>
            <w:gridSpan w:val="3"/>
            <w:vMerge w:val="restart"/>
          </w:tcPr>
          <w:p>
            <w:pPr>
              <w:jc w:val="right"/>
              <w:ind w:right="1553"/>
              <w:spacing w:after="0"/>
              <w:rPr>
                <w:sz w:val="20"/>
                <w:szCs w:val="20"/>
                <w:color w:val="auto"/>
              </w:rPr>
            </w:pPr>
            <w:r>
              <w:rPr>
                <w:rFonts w:ascii="Arial" w:cs="Arial" w:eastAsia="Arial" w:hAnsi="Arial"/>
                <w:sz w:val="18"/>
                <w:szCs w:val="18"/>
                <w:b w:val="1"/>
                <w:bCs w:val="1"/>
                <w:color w:val="auto"/>
              </w:rPr>
              <w:t>90-0943402</w:t>
            </w:r>
          </w:p>
        </w:tc>
        <w:tc>
          <w:tcPr>
            <w:tcW w:w="0" w:type="dxa"/>
            <w:vAlign w:val="bottom"/>
          </w:tcPr>
          <w:p>
            <w:pPr>
              <w:spacing w:after="0"/>
              <w:rPr>
                <w:sz w:val="1"/>
                <w:szCs w:val="1"/>
                <w:color w:val="auto"/>
              </w:rPr>
            </w:pPr>
          </w:p>
        </w:tc>
      </w:tr>
      <w:tr>
        <w:trPr>
          <w:trHeight w:val="232"/>
        </w:trPr>
        <w:tc>
          <w:tcPr>
            <w:tcW w:w="3300" w:type="dxa"/>
            <w:vAlign w:val="bottom"/>
            <w:vMerge w:val="continue"/>
          </w:tcPr>
          <w:p>
            <w:pPr>
              <w:spacing w:after="0"/>
              <w:rPr>
                <w:sz w:val="20"/>
                <w:szCs w:val="20"/>
                <w:color w:val="auto"/>
              </w:rPr>
            </w:pPr>
          </w:p>
        </w:tc>
        <w:tc>
          <w:tcPr>
            <w:tcW w:w="1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680" w:type="dxa"/>
            <w:vAlign w:val="bottom"/>
            <w:gridSpan w:val="5"/>
          </w:tcPr>
          <w:p>
            <w:pPr>
              <w:jc w:val="center"/>
              <w:ind w:right="106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720" w:type="dxa"/>
            <w:vAlign w:val="bottom"/>
          </w:tcPr>
          <w:p>
            <w:pPr>
              <w:jc w:val="center"/>
              <w:ind w:right="1333"/>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35"/>
        </w:trPr>
        <w:tc>
          <w:tcPr>
            <w:tcW w:w="6680" w:type="dxa"/>
            <w:vAlign w:val="bottom"/>
            <w:gridSpan w:val="5"/>
          </w:tcPr>
          <w:p>
            <w:pPr>
              <w:jc w:val="center"/>
              <w:ind w:right="1040"/>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720" w:type="dxa"/>
            <w:vAlign w:val="bottom"/>
          </w:tcPr>
          <w:p>
            <w:pPr>
              <w:jc w:val="center"/>
              <w:ind w:right="1333"/>
              <w:spacing w:after="0" w:line="135" w:lineRule="exact"/>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216"/>
        </w:trPr>
        <w:tc>
          <w:tcPr>
            <w:tcW w:w="6680" w:type="dxa"/>
            <w:vAlign w:val="bottom"/>
            <w:gridSpan w:val="5"/>
          </w:tcPr>
          <w:p>
            <w:pPr>
              <w:jc w:val="center"/>
              <w:ind w:right="1040"/>
              <w:spacing w:after="0"/>
              <w:rPr>
                <w:sz w:val="20"/>
                <w:szCs w:val="20"/>
                <w:color w:val="auto"/>
              </w:rPr>
            </w:pPr>
            <w:r>
              <w:rPr>
                <w:rFonts w:ascii="Arial" w:cs="Arial" w:eastAsia="Arial" w:hAnsi="Arial"/>
                <w:sz w:val="18"/>
                <w:szCs w:val="18"/>
                <w:b w:val="1"/>
                <w:bCs w:val="1"/>
                <w:color w:val="auto"/>
                <w:w w:val="92"/>
              </w:rPr>
              <w:t>141 Portland Street, Fifth Floor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5"/>
          </w:tcPr>
          <w:p>
            <w:pPr>
              <w:jc w:val="center"/>
              <w:ind w:right="1060"/>
              <w:spacing w:after="0"/>
              <w:rPr>
                <w:sz w:val="20"/>
                <w:szCs w:val="20"/>
                <w:color w:val="auto"/>
              </w:rPr>
            </w:pPr>
            <w:r>
              <w:rPr>
                <w:rFonts w:ascii="Arial" w:cs="Arial" w:eastAsia="Arial" w:hAnsi="Arial"/>
                <w:sz w:val="18"/>
                <w:szCs w:val="18"/>
                <w:b w:val="1"/>
                <w:bCs w:val="1"/>
                <w:color w:val="auto"/>
                <w:w w:val="95"/>
              </w:rPr>
              <w:t>Cambridge, MA</w:t>
            </w:r>
          </w:p>
        </w:tc>
        <w:tc>
          <w:tcPr>
            <w:tcW w:w="3860" w:type="dxa"/>
            <w:vAlign w:val="bottom"/>
            <w:gridSpan w:val="3"/>
          </w:tcPr>
          <w:p>
            <w:pPr>
              <w:jc w:val="right"/>
              <w:ind w:right="1773"/>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64"/>
        </w:trPr>
        <w:tc>
          <w:tcPr>
            <w:tcW w:w="6680" w:type="dxa"/>
            <w:vAlign w:val="bottom"/>
            <w:gridSpan w:val="5"/>
          </w:tcPr>
          <w:p>
            <w:pPr>
              <w:jc w:val="center"/>
              <w:ind w:right="104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jc w:val="center"/>
              <w:ind w:right="1333"/>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245"/>
        </w:trPr>
        <w:tc>
          <w:tcPr>
            <w:tcW w:w="10540" w:type="dxa"/>
            <w:vAlign w:val="bottom"/>
            <w:gridSpan w:val="8"/>
          </w:tcPr>
          <w:p>
            <w:pPr>
              <w:jc w:val="center"/>
              <w:ind w:left="624"/>
              <w:spacing w:after="0"/>
              <w:rPr>
                <w:sz w:val="20"/>
                <w:szCs w:val="20"/>
                <w:color w:val="auto"/>
              </w:rPr>
            </w:pPr>
            <w:r>
              <w:rPr>
                <w:rFonts w:ascii="Arial" w:cs="Arial" w:eastAsia="Arial" w:hAnsi="Arial"/>
                <w:sz w:val="18"/>
                <w:szCs w:val="18"/>
                <w:b w:val="1"/>
                <w:bCs w:val="1"/>
                <w:color w:val="auto"/>
                <w:w w:val="89"/>
              </w:rPr>
              <w:t>Registrant’s telephone number, including area code: (617) 337-4680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7240" w:type="dxa"/>
            <w:vAlign w:val="bottom"/>
            <w:gridSpan w:val="7"/>
          </w:tcPr>
          <w:p>
            <w:pPr>
              <w:ind w:left="40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70"/>
        </w:trPr>
        <w:tc>
          <w:tcPr>
            <w:tcW w:w="330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Title of each class</w:t>
            </w:r>
          </w:p>
        </w:tc>
        <w:tc>
          <w:tcPr>
            <w:tcW w:w="1520" w:type="dxa"/>
            <w:vAlign w:val="bottom"/>
          </w:tcPr>
          <w:p>
            <w:pPr>
              <w:spacing w:after="0"/>
              <w:rPr>
                <w:sz w:val="14"/>
                <w:szCs w:val="14"/>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Trading Symbol</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jc w:val="center"/>
              <w:ind w:left="293"/>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82"/>
        </w:trPr>
        <w:tc>
          <w:tcPr>
            <w:tcW w:w="3300" w:type="dxa"/>
            <w:vAlign w:val="bottom"/>
          </w:tcPr>
          <w:p>
            <w:pPr>
              <w:jc w:val="center"/>
              <w:ind w:left="364"/>
              <w:spacing w:after="0"/>
              <w:rPr>
                <w:sz w:val="20"/>
                <w:szCs w:val="20"/>
                <w:color w:val="auto"/>
              </w:rPr>
            </w:pPr>
            <w:r>
              <w:rPr>
                <w:rFonts w:ascii="Arial" w:cs="Arial" w:eastAsia="Arial" w:hAnsi="Arial"/>
                <w:sz w:val="14"/>
                <w:szCs w:val="14"/>
                <w:color w:val="auto"/>
                <w:w w:val="92"/>
              </w:rPr>
              <w:t>Common Stock $0.001 par value per share</w:t>
            </w:r>
          </w:p>
        </w:tc>
        <w:tc>
          <w:tcPr>
            <w:tcW w:w="1520" w:type="dxa"/>
            <w:vAlign w:val="bottom"/>
          </w:tcPr>
          <w:p>
            <w:pPr>
              <w:spacing w:after="0"/>
              <w:rPr>
                <w:sz w:val="15"/>
                <w:szCs w:val="15"/>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4"/>
                <w:szCs w:val="14"/>
                <w:color w:val="auto"/>
                <w:w w:val="98"/>
              </w:rPr>
              <w:t>SLDB</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20" w:type="dxa"/>
            <w:vAlign w:val="bottom"/>
          </w:tcPr>
          <w:p>
            <w:pPr>
              <w:jc w:val="center"/>
              <w:ind w:left="293"/>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r>
        <w:trPr>
          <w:trHeight w:val="53"/>
        </w:trPr>
        <w:tc>
          <w:tcPr>
            <w:tcW w:w="3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7240" w:type="dxa"/>
            <w:vAlign w:val="bottom"/>
            <w:gridSpan w:val="7"/>
          </w:tcPr>
          <w:p>
            <w:pPr>
              <w:jc w:val="center"/>
              <w:ind w:right="2533"/>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None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(Title of class)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680" w:type="dxa"/>
            <w:vAlign w:val="bottom"/>
            <w:gridSpan w:val="5"/>
          </w:tcPr>
          <w:p>
            <w:pPr>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w:t>
            </w:r>
          </w:p>
        </w:tc>
        <w:tc>
          <w:tcPr>
            <w:tcW w:w="3860" w:type="dxa"/>
            <w:vAlign w:val="bottom"/>
            <w:gridSpan w:val="3"/>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6680" w:type="dxa"/>
            <w:vAlign w:val="bottom"/>
            <w:gridSpan w:val="5"/>
          </w:tcPr>
          <w:p>
            <w:pPr>
              <w:spacing w:after="0"/>
              <w:rPr>
                <w:sz w:val="20"/>
                <w:szCs w:val="20"/>
                <w:color w:val="auto"/>
              </w:rPr>
            </w:pPr>
            <w:r>
              <w:rPr>
                <w:rFonts w:ascii="Arial" w:cs="Arial" w:eastAsia="Arial" w:hAnsi="Arial"/>
                <w:sz w:val="14"/>
                <w:szCs w:val="14"/>
                <w:color w:val="auto"/>
                <w:w w:val="91"/>
              </w:rPr>
              <w:t>Indicate by check mark if the registrant is not required to file reports pursuant to Section 13 or Section 15(d) of the Act.</w:t>
            </w:r>
          </w:p>
        </w:tc>
        <w:tc>
          <w:tcPr>
            <w:tcW w:w="3860" w:type="dxa"/>
            <w:vAlign w:val="bottom"/>
            <w:gridSpan w:val="3"/>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3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8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6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460"/>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376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460"/>
              <w:spacing w:after="0"/>
              <w:rPr>
                <w:sz w:val="20"/>
                <w:szCs w:val="20"/>
                <w:color w:val="auto"/>
              </w:rPr>
            </w:pPr>
            <w:r>
              <w:rPr>
                <w:rFonts w:ascii="Arial" w:cs="Arial" w:eastAsia="Arial" w:hAnsi="Arial"/>
                <w:sz w:val="14"/>
                <w:szCs w:val="14"/>
                <w:color w:val="auto"/>
                <w:w w:val="99"/>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6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ind w:right="5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100" w:val="left"/>
          <w:tab w:leader="none" w:pos="67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140"/>
        <w:spacing w:after="0" w:line="239"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aggregate market value of the Registrant’s common stock held by non-affiliates was $271.5 million, based on the last reported sale price of such stock on the Nasdaq Global Select Market as of such date.</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16, 2022 was 110,472,962.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394335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23" w:right="399" w:bottom="1440" w:gutter="0" w:footer="0" w:header="0"/>
        </w:sectPr>
      </w:pPr>
    </w:p>
    <w:bookmarkStart w:id="1" w:name="page2"/>
    <w:bookmarkEnd w:id="1"/>
    <w:p>
      <w:pPr>
        <w:spacing w:after="0" w:line="200" w:lineRule="exact"/>
        <w:rPr>
          <w:sz w:val="20"/>
          <w:szCs w:val="20"/>
          <w:color w:val="auto"/>
        </w:rPr>
      </w:pPr>
    </w:p>
    <w:p>
      <w:pPr>
        <w:spacing w:after="0" w:line="394"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PART I</w:t>
        </w:r>
      </w:hyperlink>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1.</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Item 1A.</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Item 1B.</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4.</w:t>
      </w:r>
    </w:p>
    <w:p>
      <w:pPr>
        <w:spacing w:after="0" w:line="12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96">
        <w:r>
          <w:rPr>
            <w:rFonts w:ascii="Arial" w:cs="Arial" w:eastAsia="Arial" w:hAnsi="Arial"/>
            <w:sz w:val="18"/>
            <w:szCs w:val="18"/>
            <w:b w:val="1"/>
            <w:bCs w:val="1"/>
            <w:u w:val="single" w:color="auto"/>
            <w:color w:val="0000EE"/>
          </w:rPr>
          <w:t>PART II</w:t>
        </w:r>
      </w:hyperlink>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6.</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7.</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Item 7A.</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8.</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9.</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Item 9A.</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Item 9B.</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Item 9C.</w:t>
      </w:r>
    </w:p>
    <w:p>
      <w:pPr>
        <w:spacing w:after="0" w:line="14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14">
        <w:r>
          <w:rPr>
            <w:rFonts w:ascii="Arial" w:cs="Arial" w:eastAsia="Arial" w:hAnsi="Arial"/>
            <w:sz w:val="18"/>
            <w:szCs w:val="18"/>
            <w:b w:val="1"/>
            <w:bCs w:val="1"/>
            <w:u w:val="single" w:color="auto"/>
            <w:color w:val="0000EE"/>
          </w:rPr>
          <w:t>PART III</w:t>
        </w:r>
      </w:hyperlink>
    </w:p>
    <w:p>
      <w:pPr>
        <w:spacing w:after="0" w:line="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Item 10.</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Item 11.</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Item 12.</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Item 13.</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Item 14.</w:t>
      </w:r>
    </w:p>
    <w:p>
      <w:pPr>
        <w:spacing w:after="0" w:line="20" w:lineRule="exact"/>
        <w:rPr>
          <w:sz w:val="20"/>
          <w:szCs w:val="20"/>
          <w:color w:val="auto"/>
        </w:rPr>
      </w:pPr>
      <w:r>
        <w:rPr>
          <w:sz w:val="20"/>
          <w:szCs w:val="20"/>
          <w:color w:val="auto"/>
        </w:rPr>
        <w:br w:type="column"/>
      </w:r>
    </w:p>
    <w:p>
      <w:pPr>
        <w:ind w:left="32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Unresolved Staff Comments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Properties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Legal Proceedings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Mine Safety Disclosures</w:t>
        </w:r>
      </w:hyperlink>
    </w:p>
    <w:p>
      <w:pPr>
        <w:spacing w:after="0" w:line="359" w:lineRule="exact"/>
        <w:rPr>
          <w:sz w:val="20"/>
          <w:szCs w:val="20"/>
          <w:color w:val="auto"/>
        </w:rPr>
      </w:pPr>
    </w:p>
    <w:p>
      <w:pPr>
        <w:spacing w:after="0" w:line="266" w:lineRule="auto"/>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Market for Registrant’s Common Equity, Related Stockholder Matters and Issuer Purchases of Equity Securities</w:t>
        </w:r>
      </w:hyperlink>
      <w:r>
        <w:rPr>
          <w:rFonts w:ascii="Arial" w:cs="Arial" w:eastAsia="Arial" w:hAnsi="Arial"/>
          <w:sz w:val="18"/>
          <w:szCs w:val="18"/>
          <w:u w:val="single" w:color="auto"/>
          <w:color w:val="0000EE"/>
        </w:rPr>
        <w:t xml:space="preserve"> </w:t>
      </w:r>
      <w:hyperlink w:anchor="page97">
        <w:r>
          <w:rPr>
            <w:rFonts w:ascii="Arial" w:cs="Arial" w:eastAsia="Arial" w:hAnsi="Arial"/>
            <w:sz w:val="18"/>
            <w:szCs w:val="18"/>
            <w:u w:val="single" w:color="auto"/>
            <w:color w:val="0000EE"/>
          </w:rPr>
          <w:t>Reserved</w:t>
        </w:r>
      </w:hyperlink>
    </w:p>
    <w:p>
      <w:pPr>
        <w:spacing w:after="0" w:line="1" w:lineRule="exact"/>
        <w:rPr>
          <w:sz w:val="20"/>
          <w:szCs w:val="20"/>
          <w:color w:val="auto"/>
        </w:rPr>
      </w:pPr>
    </w:p>
    <w:p>
      <w:pPr>
        <w:ind w:right="1620"/>
        <w:spacing w:after="0" w:line="266" w:lineRule="auto"/>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 xml:space="preserve"> </w:t>
      </w:r>
      <w:hyperlink w:anchor="page112">
        <w:r>
          <w:rPr>
            <w:rFonts w:ascii="Arial" w:cs="Arial" w:eastAsia="Arial" w:hAnsi="Arial"/>
            <w:sz w:val="18"/>
            <w:szCs w:val="18"/>
            <w:u w:val="single" w:color="auto"/>
            <w:color w:val="0000EE"/>
          </w:rPr>
          <w:t>Financial Statements and Supplementary Data</w:t>
        </w:r>
      </w:hyperlink>
    </w:p>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Changes in and Disagreements with Accountants on Accounting and Financial Disclosure</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Controls and Procedures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Other Information</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Disclosure Regarding Foreign Jurisdictions that Prevent Inspections</w:t>
        </w:r>
      </w:hyperlink>
    </w:p>
    <w:p>
      <w:pPr>
        <w:spacing w:after="0" w:line="35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Directors, Executive Officers and Corporate Governance</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Executive Compensation</w:t>
        </w:r>
      </w:hyperlink>
    </w:p>
    <w:p>
      <w:pPr>
        <w:spacing w:after="0" w:line="23" w:lineRule="exact"/>
        <w:rPr>
          <w:rFonts w:ascii="Arial" w:cs="Arial" w:eastAsia="Arial" w:hAnsi="Arial"/>
          <w:sz w:val="18"/>
          <w:szCs w:val="18"/>
          <w:u w:val="single" w:color="auto"/>
          <w:color w:val="0000EE"/>
        </w:rPr>
      </w:pPr>
    </w:p>
    <w:p>
      <w:pPr>
        <w:ind w:right="780"/>
        <w:spacing w:after="0" w:line="279" w:lineRule="auto"/>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135">
        <w:r>
          <w:rPr>
            <w:rFonts w:ascii="Arial" w:cs="Arial" w:eastAsia="Arial" w:hAnsi="Arial"/>
            <w:sz w:val="18"/>
            <w:szCs w:val="18"/>
            <w:u w:val="single" w:color="auto"/>
            <w:color w:val="0000EE"/>
          </w:rPr>
          <w:t>Certain Relationships and Related Transactions, and Director Independence</w:t>
        </w:r>
      </w:hyperlink>
      <w:r>
        <w:rPr>
          <w:rFonts w:ascii="Arial" w:cs="Arial" w:eastAsia="Arial" w:hAnsi="Arial"/>
          <w:sz w:val="18"/>
          <w:szCs w:val="18"/>
          <w:u w:val="single" w:color="auto"/>
          <w:color w:val="0000EE"/>
        </w:rPr>
        <w:t xml:space="preserve"> </w:t>
      </w:r>
      <w:hyperlink w:anchor="page139">
        <w:r>
          <w:rPr>
            <w:rFonts w:ascii="Arial" w:cs="Arial" w:eastAsia="Arial" w:hAnsi="Arial"/>
            <w:sz w:val="18"/>
            <w:szCs w:val="18"/>
            <w:u w:val="single" w:color="auto"/>
            <w:color w:val="0000EE"/>
          </w:rPr>
          <w:t>Principal Accounting Fees and Services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Page</w:t>
      </w:r>
    </w:p>
    <w:p>
      <w:pPr>
        <w:spacing w:after="0" w:line="25"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1</w:t>
      </w:r>
    </w:p>
    <w:p>
      <w:pPr>
        <w:spacing w:after="0" w:line="8"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1</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39</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90</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90</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90</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90</w:t>
      </w:r>
    </w:p>
    <w:p>
      <w:pPr>
        <w:spacing w:after="0" w:line="130"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91</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91</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92</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93</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106</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107</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107</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107</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108</w:t>
      </w:r>
    </w:p>
    <w:p>
      <w:pPr>
        <w:spacing w:after="0" w:line="23" w:lineRule="exact"/>
        <w:rPr>
          <w:rFonts w:ascii="Arial" w:cs="Arial" w:eastAsia="Arial" w:hAnsi="Arial"/>
          <w:sz w:val="18"/>
          <w:szCs w:val="18"/>
          <w:u w:val="single" w:color="auto"/>
          <w:color w:val="0000EE"/>
        </w:rPr>
      </w:pPr>
    </w:p>
    <w:p>
      <w:pPr>
        <w:jc w:val="right"/>
        <w:ind w:right="20"/>
        <w:spacing w:after="0"/>
        <w:rPr>
          <w:sz w:val="20"/>
          <w:szCs w:val="20"/>
          <w:color w:val="auto"/>
        </w:rPr>
      </w:pPr>
      <w:r>
        <w:rPr>
          <w:rFonts w:ascii="Arial" w:cs="Arial" w:eastAsia="Arial" w:hAnsi="Arial"/>
          <w:sz w:val="18"/>
          <w:szCs w:val="18"/>
          <w:color w:val="auto"/>
        </w:rPr>
        <w:t>108</w:t>
      </w:r>
    </w:p>
    <w:p>
      <w:pPr>
        <w:spacing w:after="0" w:line="130"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6"/>
          <w:szCs w:val="16"/>
          <w:color w:val="auto"/>
        </w:rPr>
        <w:t>109</w:t>
      </w:r>
    </w:p>
    <w:p>
      <w:pPr>
        <w:spacing w:after="0" w:line="46"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6"/>
          <w:szCs w:val="16"/>
          <w:color w:val="auto"/>
        </w:rPr>
        <w:t>109</w:t>
      </w:r>
    </w:p>
    <w:p>
      <w:pPr>
        <w:spacing w:after="0" w:line="46"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113</w:t>
      </w:r>
    </w:p>
    <w:p>
      <w:pPr>
        <w:spacing w:after="0" w:line="23"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6"/>
          <w:szCs w:val="16"/>
          <w:color w:val="auto"/>
        </w:rPr>
        <w:t>127</w:t>
      </w:r>
    </w:p>
    <w:p>
      <w:pPr>
        <w:spacing w:after="0" w:line="46"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6"/>
          <w:szCs w:val="16"/>
          <w:color w:val="auto"/>
        </w:rPr>
        <w:t>130</w:t>
      </w:r>
    </w:p>
    <w:p>
      <w:pPr>
        <w:spacing w:after="0" w:line="46"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6"/>
          <w:szCs w:val="16"/>
          <w:color w:val="auto"/>
        </w:rPr>
        <w:t>134</w:t>
      </w:r>
    </w:p>
    <w:p>
      <w:pPr>
        <w:spacing w:after="0" w:line="148" w:lineRule="exact"/>
        <w:rPr>
          <w:rFonts w:ascii="Arial" w:cs="Arial" w:eastAsia="Arial" w:hAnsi="Arial"/>
          <w:sz w:val="18"/>
          <w:szCs w:val="18"/>
          <w:u w:val="single" w:color="auto"/>
          <w:color w:val="0000EE"/>
        </w:rPr>
      </w:pPr>
    </w:p>
    <w:p>
      <w:pPr>
        <w:sectPr>
          <w:pgSz w:w="11900" w:h="16838" w:orient="portrait"/>
          <w:cols w:equalWidth="0" w:num="3">
            <w:col w:w="1060" w:space="340"/>
            <w:col w:w="8080" w:space="540"/>
            <w:col w:w="640"/>
          </w:cols>
          <w:pgMar w:left="620" w:top="337" w:right="619" w:bottom="1440" w:gutter="0" w:footer="0" w:header="0"/>
        </w:sectPr>
      </w:pPr>
    </w:p>
    <w:p>
      <w:pPr>
        <w:spacing w:after="0"/>
        <w:rPr>
          <w:rFonts w:ascii="Arial" w:cs="Arial" w:eastAsia="Arial" w:hAnsi="Arial"/>
          <w:sz w:val="18"/>
          <w:szCs w:val="18"/>
          <w:b w:val="1"/>
          <w:bCs w:val="1"/>
          <w:u w:val="single" w:color="auto"/>
          <w:color w:val="0000EE"/>
        </w:rPr>
      </w:pPr>
      <w:hyperlink w:anchor="page140">
        <w:r>
          <w:rPr>
            <w:rFonts w:ascii="Arial" w:cs="Arial" w:eastAsia="Arial" w:hAnsi="Arial"/>
            <w:sz w:val="18"/>
            <w:szCs w:val="18"/>
            <w:b w:val="1"/>
            <w:bCs w:val="1"/>
            <w:u w:val="single" w:color="auto"/>
            <w:color w:val="0000EE"/>
          </w:rPr>
          <w:t>PART IV</w:t>
        </w:r>
      </w:hyperlink>
    </w:p>
    <w:p>
      <w:pPr>
        <w:spacing w:after="0" w:line="27" w:lineRule="exact"/>
        <w:rPr>
          <w:rFonts w:ascii="Arial" w:cs="Arial" w:eastAsia="Arial" w:hAnsi="Arial"/>
          <w:sz w:val="18"/>
          <w:szCs w:val="18"/>
          <w:u w:val="single" w:color="auto"/>
          <w:color w:val="0000EE"/>
        </w:rPr>
      </w:pPr>
    </w:p>
    <w:p>
      <w:pPr>
        <w:ind w:left="440"/>
        <w:spacing w:after="0"/>
        <w:tabs>
          <w:tab w:leader="none" w:pos="1380" w:val="left"/>
        </w:tabs>
        <w:rPr>
          <w:rFonts w:ascii="Arial" w:cs="Arial" w:eastAsia="Arial" w:hAnsi="Arial"/>
          <w:sz w:val="16"/>
          <w:szCs w:val="16"/>
          <w:u w:val="single" w:color="auto"/>
          <w:color w:val="0000EE"/>
        </w:rPr>
      </w:pPr>
      <w:r>
        <w:rPr>
          <w:rFonts w:ascii="Arial" w:cs="Arial" w:eastAsia="Arial" w:hAnsi="Arial"/>
          <w:sz w:val="18"/>
          <w:szCs w:val="18"/>
          <w:color w:val="auto"/>
        </w:rPr>
        <w:t>Item 15.</w:t>
      </w:r>
      <w:r>
        <w:rPr>
          <w:sz w:val="20"/>
          <w:szCs w:val="20"/>
          <w:color w:val="auto"/>
        </w:rPr>
        <w:tab/>
      </w:r>
      <w:hyperlink w:anchor="page140">
        <w:r>
          <w:rPr>
            <w:rFonts w:ascii="Arial" w:cs="Arial" w:eastAsia="Arial" w:hAnsi="Arial"/>
            <w:sz w:val="16"/>
            <w:szCs w:val="16"/>
            <w:u w:val="single" w:color="auto"/>
            <w:color w:val="0000EE"/>
          </w:rPr>
          <w:t>Exhibits, Financial Statement Schedules</w:t>
        </w:r>
      </w:hyperlink>
    </w:p>
    <w:p>
      <w:pPr>
        <w:spacing w:after="0" w:line="36" w:lineRule="exact"/>
        <w:rPr>
          <w:rFonts w:ascii="Arial" w:cs="Arial" w:eastAsia="Arial" w:hAnsi="Arial"/>
          <w:sz w:val="18"/>
          <w:szCs w:val="18"/>
          <w:u w:val="single" w:color="auto"/>
          <w:color w:val="0000EE"/>
        </w:rPr>
      </w:pPr>
    </w:p>
    <w:p>
      <w:pPr>
        <w:ind w:left="440"/>
        <w:spacing w:after="0"/>
        <w:tabs>
          <w:tab w:leader="none" w:pos="1380" w:val="left"/>
        </w:tabs>
        <w:rPr>
          <w:rFonts w:ascii="Arial" w:cs="Arial" w:eastAsia="Arial" w:hAnsi="Arial"/>
          <w:sz w:val="16"/>
          <w:szCs w:val="16"/>
          <w:u w:val="single" w:color="auto"/>
          <w:color w:val="0000EE"/>
        </w:rPr>
      </w:pPr>
      <w:r>
        <w:rPr>
          <w:rFonts w:ascii="Arial" w:cs="Arial" w:eastAsia="Arial" w:hAnsi="Arial"/>
          <w:sz w:val="18"/>
          <w:szCs w:val="18"/>
          <w:color w:val="auto"/>
        </w:rPr>
        <w:t>Item 16.</w:t>
      </w:r>
      <w:r>
        <w:rPr>
          <w:sz w:val="20"/>
          <w:szCs w:val="20"/>
          <w:color w:val="auto"/>
        </w:rPr>
        <w:tab/>
      </w:r>
      <w:hyperlink w:anchor="page143">
        <w:r>
          <w:rPr>
            <w:rFonts w:ascii="Arial" w:cs="Arial" w:eastAsia="Arial" w:hAnsi="Arial"/>
            <w:sz w:val="16"/>
            <w:szCs w:val="16"/>
            <w:u w:val="single" w:color="auto"/>
            <w:color w:val="0000EE"/>
          </w:rPr>
          <w:t>Form 10-K Summary</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b w:val="1"/>
          <w:bCs w:val="1"/>
          <w:u w:val="single" w:color="auto"/>
          <w:color w:val="0000EE"/>
        </w:rPr>
      </w:pPr>
      <w:hyperlink w:anchor="page144">
        <w:r>
          <w:rPr>
            <w:rFonts w:ascii="Arial" w:cs="Arial" w:eastAsia="Arial" w:hAnsi="Arial"/>
            <w:sz w:val="18"/>
            <w:szCs w:val="18"/>
            <w:b w:val="1"/>
            <w:bCs w:val="1"/>
            <w:u w:val="single" w:color="auto"/>
            <w:color w:val="0000EE"/>
          </w:rPr>
          <w:t>SIGNATURES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b w:val="1"/>
          <w:bCs w:val="1"/>
          <w:u w:val="single" w:color="auto"/>
          <w:color w:val="0000EE"/>
        </w:rPr>
      </w:pPr>
      <w:hyperlink w:anchor="page146">
        <w:r>
          <w:rPr>
            <w:rFonts w:ascii="Arial" w:cs="Arial" w:eastAsia="Arial" w:hAnsi="Arial"/>
            <w:sz w:val="18"/>
            <w:szCs w:val="18"/>
            <w:b w:val="1"/>
            <w:bCs w:val="1"/>
            <w:u w:val="single" w:color="auto"/>
            <w:color w:val="0000EE"/>
          </w:rPr>
          <w:t>CONSOLIDATED FINANCIAL STATEMENTS</w:t>
        </w:r>
      </w:hyperlink>
    </w:p>
    <w:p>
      <w:pPr>
        <w:spacing w:after="0" w:line="200" w:lineRule="exact"/>
        <w:rPr>
          <w:rFonts w:ascii="Arial" w:cs="Arial" w:eastAsia="Arial" w:hAnsi="Arial"/>
          <w:sz w:val="18"/>
          <w:szCs w:val="18"/>
          <w:u w:val="single" w:color="auto"/>
          <w:color w:val="0000EE"/>
        </w:rPr>
      </w:pPr>
    </w:p>
    <w:p>
      <w:pPr>
        <w:spacing w:after="0" w:line="267" w:lineRule="exact"/>
        <w:rPr>
          <w:rFonts w:ascii="Arial" w:cs="Arial" w:eastAsia="Arial" w:hAnsi="Arial"/>
          <w:sz w:val="18"/>
          <w:szCs w:val="18"/>
          <w:u w:val="single" w:color="auto"/>
          <w:color w:val="0000EE"/>
        </w:rPr>
      </w:pPr>
    </w:p>
    <w:p>
      <w:pPr>
        <w:jc w:val="center"/>
        <w:ind w:left="980"/>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-197485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rPr>
          <w:sz w:val="20"/>
          <w:szCs w:val="20"/>
          <w:color w:val="auto"/>
        </w:rPr>
      </w:pPr>
      <w:r>
        <w:rPr>
          <w:rFonts w:ascii="Arial" w:cs="Arial" w:eastAsia="Arial" w:hAnsi="Arial"/>
          <w:sz w:val="16"/>
          <w:szCs w:val="16"/>
          <w:color w:val="auto"/>
        </w:rPr>
        <w:t>135</w:t>
      </w:r>
    </w:p>
    <w:p>
      <w:pPr>
        <w:spacing w:after="0" w:line="4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135</w:t>
      </w:r>
    </w:p>
    <w:p>
      <w:pPr>
        <w:spacing w:after="0" w:line="4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138</w:t>
      </w:r>
    </w:p>
    <w:p>
      <w:pPr>
        <w:spacing w:after="0" w:line="4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6"/>
          <w:szCs w:val="16"/>
          <w:color w:val="auto"/>
        </w:rPr>
        <w:t>139</w:t>
      </w:r>
    </w:p>
    <w:p>
      <w:pPr>
        <w:spacing w:after="0" w:line="46" w:lineRule="exact"/>
        <w:rPr>
          <w:rFonts w:ascii="Arial" w:cs="Arial" w:eastAsia="Arial" w:hAnsi="Arial"/>
          <w:sz w:val="18"/>
          <w:szCs w:val="18"/>
          <w:u w:val="single" w:color="auto"/>
          <w:color w:val="0000EE"/>
        </w:rPr>
      </w:pPr>
    </w:p>
    <w:p>
      <w:pPr>
        <w:ind w:left="20"/>
        <w:spacing w:after="0"/>
        <w:rPr>
          <w:sz w:val="20"/>
          <w:szCs w:val="20"/>
          <w:color w:val="auto"/>
        </w:rPr>
      </w:pPr>
      <w:r>
        <w:rPr>
          <w:rFonts w:ascii="Arial" w:cs="Arial" w:eastAsia="Arial" w:hAnsi="Arial"/>
          <w:sz w:val="17"/>
          <w:szCs w:val="17"/>
          <w:color w:val="auto"/>
        </w:rPr>
        <w:t>F-2</w:t>
      </w:r>
    </w:p>
    <w:p>
      <w:pPr>
        <w:sectPr>
          <w:pgSz w:w="11900" w:h="16838" w:orient="portrait"/>
          <w:cols w:equalWidth="0" w:num="2">
            <w:col w:w="9660" w:space="720"/>
            <w:col w:w="280"/>
          </w:cols>
          <w:pgMar w:left="620" w:top="337" w:right="61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This Annual Report on Form 10-K includes forward-looking statements, which involve risks and uncertainties. These forward-looking statements can be identified by the use of forward-looking terminology, including the terms “believe,” “estimate,” “project,” “anticipate,” “expect,” “seek,” “predict,” “aim,” “continue,” “possible,” “intend,” “may,” “might,” “will,” “could,” “would” or “should” or, in each case, their negative, or other variations or comparable terminology. These forward-looking statements include all matters that are not historical facts. They appear in a number of places throughout this Annual Report on Form 10-K.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forward-looking statements are based upon information available to us on the date of this Annual Report on Form 10-K.</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117" w:lineRule="exact"/>
        <w:rPr>
          <w:sz w:val="20"/>
          <w:szCs w:val="20"/>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SGT-001, SGT-003 and our other product candidates;</w:t>
      </w:r>
    </w:p>
    <w:p>
      <w:pPr>
        <w:spacing w:after="0" w:line="144" w:lineRule="exact"/>
        <w:rPr>
          <w:rFonts w:ascii="Arial" w:cs="Arial" w:eastAsia="Arial" w:hAnsi="Arial"/>
          <w:sz w:val="18"/>
          <w:szCs w:val="18"/>
          <w:color w:val="auto"/>
        </w:rPr>
      </w:pPr>
    </w:p>
    <w:p>
      <w:pPr>
        <w:ind w:left="960" w:right="8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including our collaboration with Ultragenyx Pharmaceutical Inc., or Ultragenyx ;</w:t>
      </w:r>
    </w:p>
    <w:p>
      <w:pPr>
        <w:spacing w:after="0" w:line="62" w:lineRule="exact"/>
        <w:rPr>
          <w:rFonts w:ascii="Arial" w:cs="Arial" w:eastAsia="Arial" w:hAnsi="Arial"/>
          <w:sz w:val="18"/>
          <w:szCs w:val="18"/>
          <w:color w:val="auto"/>
        </w:rPr>
      </w:pPr>
    </w:p>
    <w:p>
      <w:pPr>
        <w:ind w:left="960" w:right="8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U.S. regulatory approval of SGT-001, SGT-003 and our other product candidates, and the timing and scope thereof;</w:t>
      </w:r>
    </w:p>
    <w:p>
      <w:pPr>
        <w:spacing w:after="0" w:line="62"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foreign regulatory approvals of SGT-001, SGT-003 and our other product candidates, and the timing and the scope thereof;</w:t>
      </w:r>
    </w:p>
    <w:p>
      <w:pPr>
        <w:spacing w:after="0" w:line="62" w:lineRule="exact"/>
        <w:rPr>
          <w:rFonts w:ascii="Arial" w:cs="Arial" w:eastAsia="Arial" w:hAnsi="Arial"/>
          <w:sz w:val="18"/>
          <w:szCs w:val="18"/>
          <w:color w:val="auto"/>
        </w:rPr>
      </w:pPr>
    </w:p>
    <w:p>
      <w:pPr>
        <w:ind w:left="960" w:right="12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patient populations and potential market opportunity for SGT-001, SGT-003 and our other product candidates, if approved for commercial use;</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manufacturing capabilities and strategy, including the scalability and commercial viability of our manufacturing methods and processes;</w:t>
      </w:r>
    </w:p>
    <w:p>
      <w:pPr>
        <w:spacing w:after="0" w:line="167" w:lineRule="exact"/>
        <w:rPr>
          <w:rFonts w:ascii="Arial" w:cs="Arial" w:eastAsia="Arial" w:hAnsi="Arial"/>
          <w:sz w:val="16"/>
          <w:szCs w:val="16"/>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SGT-001, SGT-003 and our other product candidates, if approved;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SGT-001, SGT-003 and any other product candidates we may develop, if approved;</w:t>
      </w:r>
    </w:p>
    <w:p>
      <w:pPr>
        <w:spacing w:after="0" w:line="144" w:lineRule="exact"/>
        <w:rPr>
          <w:rFonts w:ascii="Arial" w:cs="Arial" w:eastAsia="Arial" w:hAnsi="Arial"/>
          <w:sz w:val="18"/>
          <w:szCs w:val="18"/>
          <w:color w:val="auto"/>
        </w:rPr>
      </w:pPr>
    </w:p>
    <w:p>
      <w:pPr>
        <w:ind w:left="960" w:right="26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establishment of sales, marketing and distribution capabilities and entry into agreements with third parties to market and sell SGT-001, SGT-003 or our other product candidates, if approved;</w:t>
      </w:r>
    </w:p>
    <w:p>
      <w:pPr>
        <w:spacing w:after="0" w:line="62" w:lineRule="exact"/>
        <w:rPr>
          <w:rFonts w:ascii="Arial" w:cs="Arial" w:eastAsia="Arial" w:hAnsi="Arial"/>
          <w:sz w:val="18"/>
          <w:szCs w:val="18"/>
          <w:color w:val="auto"/>
        </w:rPr>
      </w:pPr>
    </w:p>
    <w:p>
      <w:pPr>
        <w:ind w:left="960" w:right="10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SGT-001, SGT-003 and any other product candidates we may develop and for which we may receive approval;</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our use of capital resources;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ongoing losses, future revenue, capital requirements and need for and ability to obtain additional financing;</w:t>
      </w:r>
    </w:p>
    <w:p>
      <w:pPr>
        <w:spacing w:after="0" w:line="167" w:lineRule="exact"/>
        <w:rPr>
          <w:rFonts w:ascii="Arial" w:cs="Arial" w:eastAsia="Arial" w:hAnsi="Arial"/>
          <w:sz w:val="16"/>
          <w:szCs w:val="16"/>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and market position;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71" w:lineRule="exact"/>
        <w:rPr>
          <w:rFonts w:ascii="Arial" w:cs="Arial" w:eastAsia="Arial" w:hAnsi="Arial"/>
          <w:sz w:val="18"/>
          <w:szCs w:val="18"/>
          <w:color w:val="auto"/>
        </w:rPr>
      </w:pPr>
    </w:p>
    <w:p>
      <w:pPr>
        <w:ind w:left="960" w:right="18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including any variant strains of the COVID-19 virus, on our business and operations and our future financial results;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on our operations.</w:t>
      </w:r>
    </w:p>
    <w:p>
      <w:pPr>
        <w:spacing w:after="0" w:line="252"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business and prospects may differ materially from those made in or suggested by the forward-looking statements contained in this Annual Report on Form 10-K. In addition, even if our results of operations, financial condition, business and prospects are consistent with the forward-looking statements contained in this Annual Report on Form 10-K, those results may not be indicative of results in subsequent periods.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 w:name="page4"/>
    <w:bookmarkEnd w:id="3"/>
    <w:p>
      <w:pPr>
        <w:ind w:right="100" w:firstLine="546"/>
        <w:spacing w:after="0" w:line="277" w:lineRule="auto"/>
        <w:rPr>
          <w:sz w:val="20"/>
          <w:szCs w:val="20"/>
          <w:color w:val="auto"/>
        </w:rPr>
      </w:pPr>
      <w:r>
        <w:rPr>
          <w:rFonts w:ascii="Arial" w:cs="Arial" w:eastAsia="Arial" w:hAnsi="Arial"/>
          <w:sz w:val="18"/>
          <w:szCs w:val="18"/>
          <w:color w:val="auto"/>
        </w:rPr>
        <w:t>You should read this Annual Report on Form 10-K completely and with the understanding that our actual future results may be materially different from what we expect. We qualify all of our forward-looking statements by these cautionary statements.</w:t>
      </w:r>
    </w:p>
    <w:p>
      <w:pPr>
        <w:spacing w:after="0" w:line="170"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As used in this Annual Report on Form 10-K, the terms “Solid,” “the Company,” “we,” “us” and “our” refer to Solid Biosciences Inc. unless the context indicates otherwise.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20" w:firstLine="802"/>
        <w:spacing w:after="0" w:line="263" w:lineRule="auto"/>
        <w:rPr>
          <w:sz w:val="20"/>
          <w:szCs w:val="20"/>
          <w:color w:val="auto"/>
        </w:rPr>
      </w:pPr>
      <w:r>
        <w:rPr>
          <w:rFonts w:ascii="Arial" w:cs="Arial" w:eastAsia="Arial" w:hAnsi="Arial"/>
          <w:sz w:val="18"/>
          <w:szCs w:val="18"/>
          <w:color w:val="auto"/>
        </w:rPr>
        <w:t>Our business is subject to a number of risks that if realized could materially affect our business, operating results and financial condition and the trading price of our common stock could decline. These risks are discussed more fully in the “Risk Factors” section of this Annual Report on Form 10-K. These risks include the following:</w:t>
      </w:r>
    </w:p>
    <w:p>
      <w:pPr>
        <w:spacing w:after="0" w:line="76" w:lineRule="exact"/>
        <w:rPr>
          <w:sz w:val="20"/>
          <w:szCs w:val="20"/>
          <w:color w:val="auto"/>
        </w:rPr>
      </w:pPr>
    </w:p>
    <w:p>
      <w:pPr>
        <w:ind w:left="800" w:right="2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net losses since inception and anticipate that we will continue to incur net losses for the foreseeable future and may never achieve or maintain profitability.</w:t>
      </w:r>
    </w:p>
    <w:p>
      <w:pPr>
        <w:spacing w:after="0" w:line="62" w:lineRule="exact"/>
        <w:rPr>
          <w:rFonts w:ascii="Arial" w:cs="Arial" w:eastAsia="Arial" w:hAnsi="Arial"/>
          <w:sz w:val="18"/>
          <w:szCs w:val="18"/>
          <w:color w:val="auto"/>
        </w:rPr>
      </w:pPr>
    </w:p>
    <w:p>
      <w:pPr>
        <w:ind w:left="800" w:right="10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do not expect to do so for the next several years, if ever.</w:t>
      </w:r>
    </w:p>
    <w:p>
      <w:pPr>
        <w:spacing w:after="0" w:line="144" w:lineRule="exact"/>
        <w:rPr>
          <w:rFonts w:ascii="Arial" w:cs="Arial" w:eastAsia="Arial" w:hAnsi="Arial"/>
          <w:sz w:val="18"/>
          <w:szCs w:val="18"/>
          <w:color w:val="auto"/>
        </w:rPr>
      </w:pPr>
    </w:p>
    <w:p>
      <w:pPr>
        <w:ind w:left="800" w:right="20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our stockholders to evaluate the success of our business to date and to assess our future viability.</w:t>
      </w:r>
    </w:p>
    <w:p>
      <w:pPr>
        <w:spacing w:after="0" w:line="62" w:lineRule="exact"/>
        <w:rPr>
          <w:rFonts w:ascii="Arial" w:cs="Arial" w:eastAsia="Arial" w:hAnsi="Arial"/>
          <w:sz w:val="18"/>
          <w:szCs w:val="18"/>
          <w:color w:val="auto"/>
        </w:rPr>
      </w:pPr>
    </w:p>
    <w:p>
      <w:pPr>
        <w:ind w:left="800" w:right="24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COVID-19 pandemic may affect our ability to initiate and complete current or future preclinical studies or clinical trials, disrupt regulatory activities or have other adverse effects on our business and operations.</w:t>
      </w:r>
    </w:p>
    <w:p>
      <w:pPr>
        <w:spacing w:after="0" w:line="278" w:lineRule="exact"/>
        <w:rPr>
          <w:rFonts w:ascii="Arial" w:cs="Arial" w:eastAsia="Arial" w:hAnsi="Arial"/>
          <w:sz w:val="18"/>
          <w:szCs w:val="18"/>
          <w:color w:val="auto"/>
        </w:rPr>
      </w:pPr>
    </w:p>
    <w:p>
      <w:pPr>
        <w:ind w:left="800" w:hanging="401"/>
        <w:spacing w:after="0" w:line="263"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November 2019, the FDA placed IGNITE DMD on clinical hold after we reported a serious adverse event in the clinical trial. Even though the clinical hold was lifted in October 2020 and treatment of patients resumed in February 2021, we cannot guarantee that similar events will not happen in the future.</w:t>
      </w:r>
    </w:p>
    <w:p>
      <w:pPr>
        <w:spacing w:after="0" w:line="75" w:lineRule="exact"/>
        <w:rPr>
          <w:rFonts w:ascii="Arial" w:cs="Arial" w:eastAsia="Arial" w:hAnsi="Arial"/>
          <w:sz w:val="18"/>
          <w:szCs w:val="18"/>
          <w:color w:val="auto"/>
        </w:rPr>
      </w:pPr>
    </w:p>
    <w:p>
      <w:pPr>
        <w:ind w:left="800" w:right="78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SGT-001 and SGT-003 are gene transfer candidates based on novel technology, which makes it difficult to predict the time and cost of development and of subsequently obtaining regulatory approval.</w:t>
      </w:r>
    </w:p>
    <w:p>
      <w:pPr>
        <w:spacing w:after="0" w:line="62" w:lineRule="exact"/>
        <w:rPr>
          <w:rFonts w:ascii="Arial" w:cs="Arial" w:eastAsia="Arial" w:hAnsi="Arial"/>
          <w:sz w:val="18"/>
          <w:szCs w:val="18"/>
          <w:color w:val="auto"/>
        </w:rPr>
      </w:pPr>
    </w:p>
    <w:p>
      <w:pPr>
        <w:ind w:left="800" w:right="220" w:hanging="401"/>
        <w:spacing w:after="0" w:line="308"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38" w:lineRule="exact"/>
        <w:rPr>
          <w:rFonts w:ascii="Arial" w:cs="Arial" w:eastAsia="Arial" w:hAnsi="Arial"/>
          <w:sz w:val="17"/>
          <w:szCs w:val="17"/>
          <w:color w:val="auto"/>
        </w:rPr>
      </w:pPr>
    </w:p>
    <w:p>
      <w:pPr>
        <w:ind w:left="800" w:right="10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never completed a clinical trial, and may be unable to do so for any product candidates we may develop, including SGT-001 and SGT-003.</w:t>
      </w:r>
    </w:p>
    <w:p>
      <w:pPr>
        <w:spacing w:after="0" w:line="62" w:lineRule="exact"/>
        <w:rPr>
          <w:rFonts w:ascii="Arial" w:cs="Arial" w:eastAsia="Arial" w:hAnsi="Arial"/>
          <w:sz w:val="18"/>
          <w:szCs w:val="18"/>
          <w:color w:val="auto"/>
        </w:rPr>
      </w:pPr>
    </w:p>
    <w:p>
      <w:pPr>
        <w:ind w:left="800" w:right="10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 in preclinical studies or early clinical trials, including our IGNITE DMD clinical trial, may not be indicative of results obtained in later trials.</w:t>
      </w:r>
    </w:p>
    <w:p>
      <w:pPr>
        <w:spacing w:after="0" w:line="170" w:lineRule="exact"/>
        <w:rPr>
          <w:rFonts w:ascii="Arial" w:cs="Arial" w:eastAsia="Arial" w:hAnsi="Arial"/>
          <w:sz w:val="18"/>
          <w:szCs w:val="18"/>
          <w:color w:val="auto"/>
        </w:rPr>
      </w:pPr>
    </w:p>
    <w:p>
      <w:pPr>
        <w:ind w:left="800" w:right="22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Preliminary or interim data that we announce or publish from time to time may change as more data become available and are subject to audit and verification procedures that could result in material changes in the final data.</w:t>
      </w:r>
    </w:p>
    <w:p>
      <w:pPr>
        <w:spacing w:after="0" w:line="62" w:lineRule="exact"/>
        <w:rPr>
          <w:rFonts w:ascii="Arial" w:cs="Arial" w:eastAsia="Arial" w:hAnsi="Arial"/>
          <w:sz w:val="18"/>
          <w:szCs w:val="18"/>
          <w:color w:val="auto"/>
        </w:rPr>
      </w:pPr>
    </w:p>
    <w:p>
      <w:pPr>
        <w:ind w:left="800" w:right="42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we may fail to demonstrate safety and efficacy to the satisfaction of applicable regulatory authorities.</w:t>
      </w:r>
    </w:p>
    <w:p>
      <w:pPr>
        <w:spacing w:after="0" w:line="62" w:lineRule="exact"/>
        <w:rPr>
          <w:rFonts w:ascii="Arial" w:cs="Arial" w:eastAsia="Arial" w:hAnsi="Arial"/>
          <w:sz w:val="18"/>
          <w:szCs w:val="18"/>
          <w:color w:val="auto"/>
        </w:rPr>
      </w:pPr>
    </w:p>
    <w:p>
      <w:pPr>
        <w:ind w:left="800" w:right="140" w:hanging="401"/>
        <w:spacing w:after="0" w:line="308"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we complete the necessary clinical trials, we cannot predict when, or if, we will obtain regulatory approval to commercialize SGT-001, SGT-003 or our other product candidates and the approval may be for a more narrow indication than we seek.</w:t>
      </w:r>
    </w:p>
    <w:p>
      <w:pPr>
        <w:spacing w:after="0" w:line="254" w:lineRule="exact"/>
        <w:rPr>
          <w:rFonts w:ascii="Arial" w:cs="Arial" w:eastAsia="Arial" w:hAnsi="Arial"/>
          <w:sz w:val="17"/>
          <w:szCs w:val="17"/>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w:t>
      </w:r>
    </w:p>
    <w:p>
      <w:pPr>
        <w:spacing w:after="0" w:line="360" w:lineRule="exact"/>
        <w:rPr>
          <w:rFonts w:ascii="Arial" w:cs="Arial" w:eastAsia="Arial" w:hAnsi="Arial"/>
          <w:sz w:val="18"/>
          <w:szCs w:val="18"/>
          <w:color w:val="auto"/>
        </w:rPr>
      </w:pPr>
    </w:p>
    <w:p>
      <w:pPr>
        <w:ind w:left="800" w:right="60" w:hanging="401"/>
        <w:spacing w:after="0" w:line="263"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limited gene transfer manufacturing experience and could experience production problems and delays in obtaining regulatory approval of our manufacturing processes, which could result in delays in the development or commercialization of SGT-001, SGT-003 or our other product candidates.</w:t>
      </w:r>
    </w:p>
    <w:p>
      <w:pPr>
        <w:spacing w:after="0" w:line="183" w:lineRule="exact"/>
        <w:rPr>
          <w:rFonts w:ascii="Arial" w:cs="Arial" w:eastAsia="Arial" w:hAnsi="Arial"/>
          <w:sz w:val="18"/>
          <w:szCs w:val="18"/>
          <w:color w:val="auto"/>
        </w:rPr>
      </w:pPr>
    </w:p>
    <w:p>
      <w:pPr>
        <w:ind w:left="800" w:right="40" w:hanging="401"/>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utilize third parties to conduct our product manufacturing for the foreseeable future. Therefore, we are subject to the risk that these third parties may not perform satisfactorily or meet regulatory requirements.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 w:name="page5"/>
    <w:bookmarkEnd w:id="4"/>
    <w:p>
      <w:pPr>
        <w:ind w:left="401" w:hanging="401"/>
        <w:spacing w:after="0" w:line="263" w:lineRule="auto"/>
        <w:tabs>
          <w:tab w:leader="none" w:pos="401"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public opinion and increased regulatory scrutiny of gene therapy may damage public perception of the safety of our SGT-001 and SGT-003 gene transfer product candidates or other gene transfer product candidates and adversely affect our ability to conduct our business or obtain regulatory approvals for SGT-001 or other gene transfer product candidates.</w:t>
      </w:r>
    </w:p>
    <w:p>
      <w:pPr>
        <w:spacing w:after="0" w:line="291" w:lineRule="exact"/>
        <w:rPr>
          <w:rFonts w:ascii="Arial" w:cs="Arial" w:eastAsia="Arial" w:hAnsi="Arial"/>
          <w:sz w:val="18"/>
          <w:szCs w:val="18"/>
          <w:color w:val="auto"/>
        </w:rPr>
      </w:pPr>
    </w:p>
    <w:p>
      <w:pPr>
        <w:jc w:val="both"/>
        <w:ind w:left="401" w:right="160" w:hanging="401"/>
        <w:spacing w:after="0" w:line="263" w:lineRule="auto"/>
        <w:tabs>
          <w:tab w:leader="none" w:pos="401"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heavily rely on certain in-licensed patents and other intellectual property rights in connection with our development of SGT-001, SGT-003 and our other product candidates and may be required to acquire or license additional patents or other intellectual property rights to continue to develop and commercialize SGT-001, SGT-003 and our other product candidates.</w:t>
      </w:r>
    </w:p>
    <w:p>
      <w:pPr>
        <w:spacing w:after="0" w:line="291" w:lineRule="exact"/>
        <w:rPr>
          <w:rFonts w:ascii="Arial" w:cs="Arial" w:eastAsia="Arial" w:hAnsi="Arial"/>
          <w:sz w:val="18"/>
          <w:szCs w:val="18"/>
          <w:color w:val="auto"/>
        </w:rPr>
      </w:pPr>
    </w:p>
    <w:p>
      <w:pPr>
        <w:ind w:left="401" w:right="500" w:hanging="401"/>
        <w:spacing w:after="0" w:line="263" w:lineRule="auto"/>
        <w:tabs>
          <w:tab w:leader="none" w:pos="401"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1"/>
          </w:cols>
          <w:pgMar w:left="719" w:top="125"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Our mission is to cure Duchenne muscular dystrophy, or Duchenne, a genetic muscle-wasting disease predominantly affecting boys. Duchenne is a progressive, irreversible and ultimately fatal disease that affects approximately one in every 3,500 to 5,000 live male births and has an estimated prevalence of 5,000 to 15,000 cases in the United States alone. Duchenne is caused by mutations in the dystrophin gene, which result in the absence or near-absence of dystrophin protein. Dystrophin protein works to strengthen muscle fibers and protect them from daily wear and tear. Without functioning dystrophin and certain associated proteins, muscles suffer excessive damage from normal daily activities and are unable to regenerate, leading to the build-up of fibrotic, or scar, and fat tissue. There is no cure for Duchenne and, for the vast majority of patients, there are no satisfactory symptomatic or disease-modifying treatments. Our efforts are focused on our lead product candidate, SGT-001, a gene transfer candidate under investigation for its ability to drive functional dystrophin protein expression in patients’ muscles and improve the course of the disease, as well as SGT-003, our next-generation gene therapy candidate for the treatment of Duchenne.</w:t>
      </w:r>
    </w:p>
    <w:p>
      <w:pPr>
        <w:spacing w:after="0" w:line="181" w:lineRule="exact"/>
        <w:rPr>
          <w:sz w:val="20"/>
          <w:szCs w:val="20"/>
          <w:color w:val="auto"/>
        </w:rPr>
      </w:pPr>
    </w:p>
    <w:p>
      <w:pPr>
        <w:ind w:right="20" w:firstLine="546"/>
        <w:spacing w:after="0" w:line="293" w:lineRule="auto"/>
        <w:rPr>
          <w:sz w:val="20"/>
          <w:szCs w:val="20"/>
          <w:color w:val="auto"/>
        </w:rPr>
      </w:pPr>
      <w:r>
        <w:rPr>
          <w:rFonts w:ascii="Arial" w:cs="Arial" w:eastAsia="Arial" w:hAnsi="Arial"/>
          <w:sz w:val="16"/>
          <w:szCs w:val="16"/>
          <w:color w:val="auto"/>
        </w:rPr>
        <w:t>For patients suffering from Duchenne, symptoms usually begin to manifest between three and five years of age, when they fail to reach developmental milestones or experience motor function challenges, such as difficulty walking or climbing stairs. As the disease progresses, patients with Duchenne experience frequent falls; can no longer run, play sports or perform most daily functions; and are further weakened by physical activity. By their early teens, Duchenne patients typically lose their ability to walk and ultimately become dependent on a wheelchair for mobility. By their 20s, patients essentially become paralyzed from the neck down and require a ventilator to breathe. Though disease severity and life expectancy vary, a Duchenne patient’s quality of life dramatically decreases over time, with death typically occurring by early adulthood from either cardiac or respiratory complications.</w:t>
      </w:r>
    </w:p>
    <w:p>
      <w:pPr>
        <w:spacing w:after="0" w:line="164"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Our founders, who are personally touched by the disease, created a biotechnology company purpose-built to accelerate the discovery and development of meaningful therapies for all patients affected by Duchenne. Through this disease-focused business model, our research team, led by experts in Duchenne biology and drug development, along with key opinion leaders in Duchenne, continuously evaluate emerging science to identify high-potential product candidates. Our selection process includes extensive diligence and initial pharmacology research with highly specific, predefined criteria, which provide us with confidence in our development program decisions. Through this data-driven selection process, we have evaluated a number of programs and identified gene therapy as a potentially beneficial approach for Duchenne, and thus initiated development of our product candidates SGT-001 and SGT-003.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right="120" w:firstLine="546"/>
        <w:spacing w:after="0" w:line="287" w:lineRule="auto"/>
        <w:rPr>
          <w:sz w:val="20"/>
          <w:szCs w:val="20"/>
          <w:color w:val="auto"/>
        </w:rPr>
      </w:pPr>
      <w:r>
        <w:rPr>
          <w:rFonts w:ascii="Arial" w:cs="Arial" w:eastAsia="Arial" w:hAnsi="Arial"/>
          <w:sz w:val="16"/>
          <w:szCs w:val="16"/>
          <w:color w:val="auto"/>
        </w:rPr>
        <w:t>SGT-001 and SGT-003 are gene transfer candidates. Gene transfer, a type of gene therapy, is designed to address diseases caused by mutated genes through the delivery of functional versions of those genes, called transgenes. The transgenes are then utilized by the body to produce proteins that are absent or not functional prior to treatment, potentially offering long-lasting beneficial clinical effects. SGT-001 and SGT-003 are designed to address the underlying genetic cause of Duchenne by delivering a synthetic transgene that produces dystrophin-like protein that is only expressed in muscles of the body, including cardiac and respiratory muscles. Our SGT-001 and SGT-003 vectors are derived from a naturally occurring, non-pathogenic virus called adeno-associated virus, or AAV, which were selected for their ability to efficiently enter skeletal, diaphragm and cardiac muscle tissues. The vectors are designed to carry a synthetic dystrophin transgene construct, called microdystrophin, that retains the most critical components of the full-size dystrophin gene yet is small enough to fit within AAV packaging constraints. These components not only include the domains necessary to confer protection against muscle damage, but also to drive the expression of key dystrophin associated proteins, such as neuronal Nitric Oxide Synthase, or nNOS. Inclusion of this nNOS coding region of the dystrophin protein may result in microdystrophin protein that has unique activity, restore nitric oxide production in the muscle and potentially provide important functional benefits such as diminished muscle fatigue and protection against ischemic muscle damage.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SGT-001</w:t>
      </w:r>
    </w:p>
    <w:p>
      <w:pPr>
        <w:spacing w:after="0" w:line="225" w:lineRule="exact"/>
        <w:rPr>
          <w:sz w:val="20"/>
          <w:szCs w:val="20"/>
          <w:color w:val="auto"/>
        </w:rPr>
      </w:pPr>
    </w:p>
    <w:p>
      <w:pPr>
        <w:ind w:firstLine="546"/>
        <w:spacing w:after="0" w:line="311" w:lineRule="auto"/>
        <w:rPr>
          <w:sz w:val="20"/>
          <w:szCs w:val="20"/>
          <w:color w:val="auto"/>
        </w:rPr>
      </w:pPr>
      <w:r>
        <w:rPr>
          <w:rFonts w:ascii="Arial" w:cs="Arial" w:eastAsia="Arial" w:hAnsi="Arial"/>
          <w:sz w:val="16"/>
          <w:szCs w:val="16"/>
          <w:color w:val="auto"/>
        </w:rPr>
        <w:t>SGT-001 is our lead gene transfer candidate and utilizes an AAV9 vector. In our Investigational New Drug Application, or IND, enabling preclinical program, we have studied the efficacy, safety and durability of SGT-001 in multiple preclinical models and its functional benefits in Duchenne animal studies. In contrast to some other therapeutic approaches, SGT-001 is not designed to target specific mutations in the dystrophin gene.</w:t>
      </w:r>
    </w:p>
    <w:p>
      <w:pPr>
        <w:spacing w:after="0" w:line="149"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SGT-001 has been granted Rare Pediatric Disease Designation, and Fast Track Designation, in the United States and Orphan Drug Designations in both the United States and European Union. The safety and efficacy of SGT-001 are under evaluation in an open-label, single-ascending dose Phase I/II clinical trial called IGNITE DMD.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firstLine="546"/>
        <w:spacing w:after="0" w:line="275" w:lineRule="auto"/>
        <w:rPr>
          <w:sz w:val="20"/>
          <w:szCs w:val="20"/>
          <w:color w:val="auto"/>
        </w:rPr>
      </w:pPr>
      <w:r>
        <w:rPr>
          <w:rFonts w:ascii="Arial" w:cs="Arial" w:eastAsia="Arial" w:hAnsi="Arial"/>
          <w:sz w:val="17"/>
          <w:szCs w:val="17"/>
          <w:color w:val="auto"/>
        </w:rPr>
        <w:t>We initiated IGNITE DMD in the fourth quarter of 2017 to evaluate SGT-001 in ambulatory and non-ambulatory males with Duchenne aged four to 17 years. The primary objectives of IGNITE DMD are to assess the safety and tolerability of SGT-001, as well as efficacy as defined by SGT-001 microdystrophin protein expression. The clinical trial is also designed to assess other parameters of muscle function and mass, respiratory and cardiovascular function, serum and muscle biomarkers associated with SGT-001 microdystrophin production, SGT-001 microdystrophin associated biochemical properties (e.g., nNOS binding) and patient and parent reported outcomes and quality of life measures, among other endpoints.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 Dosing</w:t>
      </w:r>
    </w:p>
    <w:p>
      <w:pPr>
        <w:spacing w:after="0" w:line="225" w:lineRule="exact"/>
        <w:rPr>
          <w:sz w:val="20"/>
          <w:szCs w:val="20"/>
          <w:color w:val="auto"/>
        </w:rPr>
      </w:pPr>
    </w:p>
    <w:p>
      <w:pPr>
        <w:ind w:right="100" w:firstLine="546"/>
        <w:spacing w:after="0" w:line="272" w:lineRule="auto"/>
        <w:rPr>
          <w:sz w:val="20"/>
          <w:szCs w:val="20"/>
          <w:color w:val="auto"/>
        </w:rPr>
      </w:pPr>
      <w:r>
        <w:rPr>
          <w:rFonts w:ascii="Arial" w:cs="Arial" w:eastAsia="Arial" w:hAnsi="Arial"/>
          <w:sz w:val="17"/>
          <w:szCs w:val="17"/>
          <w:color w:val="auto"/>
        </w:rPr>
        <w:t>To date, nine patients have been dosed in IGNITE DMD with SGT-001. In 2021, we dosed three patients in February (Patient 7), April (Patient 8) and November (Patient 9) in the 2E14 vg/kg cohort with SGT-001. All three patients were dosed with our second generation manufacturing process. Patients 7 and 9 were safely dosed, with transient and manageable adverse events, none of which were serious. Patient 8 experienced a systemic inflammatory response which has since fully resolved. The event was classified as a serious adverse event, or SAE, and considered to be drug related. The type of event is described in our Investigators Brochure and is not considered unexpected. Following the dosing of Patient 8, we conducted an extensive review of all clinical data from IGNITE DMD, which resulted in a strengthened risk mitigation plan that was submitted to the U.S. Food and Drug Administration, or the FDA, and implemented prior to the dosing of the Patient 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w:t>
      </w:r>
    </w:p>
    <w:p>
      <w:pPr>
        <w:spacing w:after="0" w:line="225" w:lineRule="exact"/>
        <w:rPr>
          <w:sz w:val="20"/>
          <w:szCs w:val="20"/>
          <w:color w:val="auto"/>
        </w:rPr>
      </w:pPr>
    </w:p>
    <w:p>
      <w:pPr>
        <w:ind w:right="120" w:firstLine="546"/>
        <w:spacing w:after="0" w:line="285" w:lineRule="auto"/>
        <w:rPr>
          <w:sz w:val="20"/>
          <w:szCs w:val="20"/>
          <w:color w:val="auto"/>
        </w:rPr>
      </w:pPr>
      <w:r>
        <w:rPr>
          <w:rFonts w:ascii="Arial" w:cs="Arial" w:eastAsia="Arial" w:hAnsi="Arial"/>
          <w:sz w:val="16"/>
          <w:szCs w:val="16"/>
          <w:color w:val="auto"/>
        </w:rPr>
        <w:t>In 2021, we reported long-term biomarker data from biopsies of skeletal muscle from IGNITE DMD Patients 4-6 taken 24 months, 18 months and 12 months post-dosing, respectively. In addition, we reported interim safety and efficacy data for motor function as assessed by North Star Ambulatory Assessment, or NSAA, and 6-Minute Walk Test, or 6MWT, pulmonary function as assessed by pulmonary function tests, or PFTs, including forced vital capacity, or FVC, peak expiratory flow, or PEF, and forced expiratory volume in one second, or FEV1, as well as patient reported outcome measures, or PROMs, as assessed by the key functional domains of the Pediatric Outcomes Data Collection Instrument, or PODCI.</w:t>
      </w:r>
    </w:p>
    <w:p>
      <w:pPr>
        <w:spacing w:after="0" w:line="2" w:lineRule="exact"/>
        <w:rPr>
          <w:sz w:val="20"/>
          <w:szCs w:val="20"/>
          <w:color w:val="auto"/>
        </w:rPr>
      </w:pPr>
    </w:p>
    <w:p>
      <w:pPr>
        <w:ind w:firstLine="546"/>
        <w:spacing w:after="0" w:line="253" w:lineRule="auto"/>
        <w:rPr>
          <w:sz w:val="20"/>
          <w:szCs w:val="20"/>
          <w:color w:val="auto"/>
        </w:rPr>
      </w:pPr>
      <w:r>
        <w:rPr>
          <w:rFonts w:ascii="Arial" w:cs="Arial" w:eastAsia="Arial" w:hAnsi="Arial"/>
          <w:sz w:val="18"/>
          <w:szCs w:val="18"/>
          <w:color w:val="auto"/>
        </w:rPr>
        <w:t>In March 2022, we announced two-year interim safety and efficacy data from the first three Patients (Patients 4-6) treated with SGT-001 in the 2E14 vg/kg dose cohort of IGNITE DMD. Results suggested durable benefit 24-months post-administration of SGT-001, when compared to natural history. These data were consistent with results reported at the 12-month and 18-month time periods for the same patients. The average age of Patients 4-6 at the two year timepoint was 10.4 years.</w:t>
      </w:r>
    </w:p>
    <w:p>
      <w:pPr>
        <w:spacing w:after="0" w:line="193"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Data from Patients 4-6 suggested sustained motor function at two years post-infusion, as assessed by 6MWT and NSAA, against expected natural history declines. In addition, the data suggested improved pulmonary function, as measured by FVC and PEF, and sustained or improved PROMs as assessed in key functional domains of the PODCI when compared to both baseline and natural history.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ind w:right="20" w:firstLine="546"/>
        <w:spacing w:after="0" w:line="291" w:lineRule="auto"/>
        <w:rPr>
          <w:sz w:val="20"/>
          <w:szCs w:val="20"/>
          <w:color w:val="auto"/>
        </w:rPr>
      </w:pPr>
      <w:r>
        <w:rPr>
          <w:rFonts w:ascii="Arial" w:cs="Arial" w:eastAsia="Arial" w:hAnsi="Arial"/>
          <w:sz w:val="16"/>
          <w:szCs w:val="16"/>
          <w:color w:val="auto"/>
        </w:rPr>
        <w:t>The following table summarizes the interim efficacy results of Patients 4-6 of the 2E14 vg/kg cohort in IGNITE DMD at 12-months, 18-months and 24-months post-dosing. Data are presented as mean change from baseline at each respective timepoint and as the mean change from natural history at the</w:t>
      </w:r>
    </w:p>
    <w:p>
      <w:pPr>
        <w:ind w:right="60"/>
        <w:spacing w:after="0" w:line="260" w:lineRule="auto"/>
        <w:rPr>
          <w:sz w:val="20"/>
          <w:szCs w:val="20"/>
          <w:color w:val="auto"/>
        </w:rPr>
      </w:pPr>
      <w:r>
        <w:rPr>
          <w:rFonts w:ascii="Arial" w:cs="Arial" w:eastAsia="Arial" w:hAnsi="Arial"/>
          <w:sz w:val="18"/>
          <w:szCs w:val="18"/>
          <w:color w:val="auto"/>
        </w:rPr>
        <w:t>24-month timepoint. Mean difference from natural history is calculated as the difference between mean change from baseline for Patients 4-6 at 24-months and the expected changes from baseline in each measure over 24 months, based on published natural history studies:</w:t>
      </w:r>
    </w:p>
    <w:p>
      <w:pPr>
        <w:spacing w:after="0" w:line="195"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Summary of Interim Efficacy Results of IGNITE DMD for Patients 4-6 (2E14 vg/kg cohort)</w:t>
      </w:r>
    </w:p>
    <w:p>
      <w:pPr>
        <w:spacing w:after="0" w:line="27"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Mean Difference vs. Baseline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6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12</w:t>
            </w: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18</w:t>
            </w: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24</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0"/>
              </w:rPr>
              <w:t>Mean Difference vs</w:t>
            </w:r>
          </w:p>
        </w:tc>
        <w:tc>
          <w:tcPr>
            <w:tcW w:w="0" w:type="dxa"/>
            <w:vAlign w:val="bottom"/>
          </w:tcPr>
          <w:p>
            <w:pPr>
              <w:spacing w:after="0"/>
              <w:rPr>
                <w:sz w:val="1"/>
                <w:szCs w:val="1"/>
                <w:color w:val="auto"/>
              </w:rPr>
            </w:pPr>
          </w:p>
        </w:tc>
      </w:tr>
      <w:tr>
        <w:trPr>
          <w:trHeight w:val="108"/>
        </w:trPr>
        <w:tc>
          <w:tcPr>
            <w:tcW w:w="556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Natural History</w:t>
            </w:r>
          </w:p>
        </w:tc>
        <w:tc>
          <w:tcPr>
            <w:tcW w:w="0" w:type="dxa"/>
            <w:vAlign w:val="bottom"/>
          </w:tcPr>
          <w:p>
            <w:pPr>
              <w:spacing w:after="0"/>
              <w:rPr>
                <w:sz w:val="1"/>
                <w:szCs w:val="1"/>
                <w:color w:val="auto"/>
              </w:rPr>
            </w:pPr>
          </w:p>
        </w:tc>
      </w:tr>
      <w:tr>
        <w:trPr>
          <w:trHeight w:val="108"/>
        </w:trPr>
        <w:tc>
          <w:tcPr>
            <w:tcW w:w="5560" w:type="dxa"/>
            <w:vAlign w:val="bottom"/>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Months</w:t>
            </w:r>
          </w:p>
        </w:tc>
        <w:tc>
          <w:tcPr>
            <w:tcW w:w="90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Months</w:t>
            </w:r>
          </w:p>
        </w:tc>
        <w:tc>
          <w:tcPr>
            <w:tcW w:w="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Months</w:t>
            </w: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5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2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at 24 Months</w:t>
            </w:r>
          </w:p>
        </w:tc>
        <w:tc>
          <w:tcPr>
            <w:tcW w:w="0" w:type="dxa"/>
            <w:vAlign w:val="bottom"/>
          </w:tcPr>
          <w:p>
            <w:pPr>
              <w:spacing w:after="0"/>
              <w:rPr>
                <w:sz w:val="1"/>
                <w:szCs w:val="1"/>
                <w:color w:val="auto"/>
              </w:rPr>
            </w:pPr>
          </w:p>
        </w:tc>
      </w:tr>
      <w:tr>
        <w:trPr>
          <w:trHeight w:val="108"/>
        </w:trPr>
        <w:tc>
          <w:tcPr>
            <w:tcW w:w="55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tcPr>
          <w:p>
            <w:pPr>
              <w:spacing w:after="0"/>
              <w:rPr>
                <w:sz w:val="19"/>
                <w:szCs w:val="19"/>
                <w:color w:val="auto"/>
              </w:rPr>
            </w:pPr>
          </w:p>
        </w:tc>
        <w:tc>
          <w:tcPr>
            <w:tcW w:w="568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rPr>
              <w:t>Mean Age at Baseline: 8.4 years (Range: 6.8 to 10.7 years)</w:t>
            </w: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6 Minute Walk Test (meter)</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+49.7</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+15.3</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+16.0</w:t>
            </w:r>
          </w:p>
        </w:tc>
        <w:tc>
          <w:tcPr>
            <w:tcW w:w="2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+100.6</w:t>
            </w:r>
            <w:r>
              <w:rPr>
                <w:rFonts w:ascii="Arial" w:cs="Arial" w:eastAsia="Arial" w:hAnsi="Arial"/>
                <w:sz w:val="15"/>
                <w:szCs w:val="15"/>
                <w:color w:val="auto"/>
                <w:w w:val="91"/>
              </w:rPr>
              <w:t>(1)</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North Star Ambulatory Assessment (units)</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+0.3</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+4.3</w:t>
            </w:r>
            <w:r>
              <w:rPr>
                <w:rFonts w:ascii="Arial" w:cs="Arial" w:eastAsia="Arial" w:hAnsi="Arial"/>
                <w:sz w:val="15"/>
                <w:szCs w:val="15"/>
                <w:color w:val="auto"/>
                <w:w w:val="92"/>
              </w:rPr>
              <w:t>(2)</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E6E6E6"/>
            </w:tcBorders>
            <w:shd w:val="clear" w:color="auto" w:fill="CFF0FC"/>
          </w:tcPr>
          <w:p>
            <w:pPr>
              <w:spacing w:after="0"/>
              <w:rPr>
                <w:sz w:val="20"/>
                <w:szCs w:val="20"/>
                <w:color w:val="auto"/>
              </w:rPr>
            </w:pPr>
            <w:r>
              <w:rPr>
                <w:rFonts w:ascii="Arial" w:cs="Arial" w:eastAsia="Arial" w:hAnsi="Arial"/>
                <w:sz w:val="18"/>
                <w:szCs w:val="18"/>
                <w:color w:val="auto"/>
              </w:rPr>
              <w:t>Forced Vital Capacity (%p)</w:t>
            </w:r>
          </w:p>
        </w:tc>
        <w:tc>
          <w:tcPr>
            <w:tcW w:w="102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2"/>
              </w:rPr>
              <w:t>+15.7</w:t>
            </w:r>
          </w:p>
        </w:tc>
        <w:tc>
          <w:tcPr>
            <w:tcW w:w="90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5"/>
              </w:rPr>
              <w:t>+8.5</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+9.2</w:t>
            </w:r>
          </w:p>
        </w:tc>
        <w:tc>
          <w:tcPr>
            <w:tcW w:w="280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3"/>
              </w:rPr>
              <w:t>+19.2</w:t>
            </w:r>
            <w:r>
              <w:rPr>
                <w:rFonts w:ascii="Arial" w:cs="Arial" w:eastAsia="Arial" w:hAnsi="Arial"/>
                <w:sz w:val="15"/>
                <w:szCs w:val="15"/>
                <w:color w:val="auto"/>
                <w:w w:val="93"/>
              </w:rPr>
              <w:t>(3)</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Peak Expiratory Flow (%p)</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+21.3</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+11.2</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+6.5</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+16.5</w:t>
            </w:r>
            <w:r>
              <w:rPr>
                <w:rFonts w:ascii="Arial" w:cs="Arial" w:eastAsia="Arial" w:hAnsi="Arial"/>
                <w:sz w:val="15"/>
                <w:szCs w:val="15"/>
                <w:color w:val="auto"/>
                <w:w w:val="93"/>
              </w:rPr>
              <w:t>(4)</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E6E6E6"/>
            </w:tcBorders>
            <w:shd w:val="clear" w:color="auto" w:fill="CFF0FC"/>
          </w:tcPr>
          <w:p>
            <w:pPr>
              <w:spacing w:after="0"/>
              <w:rPr>
                <w:sz w:val="20"/>
                <w:szCs w:val="20"/>
                <w:color w:val="auto"/>
              </w:rPr>
            </w:pPr>
            <w:r>
              <w:rPr>
                <w:rFonts w:ascii="Arial" w:cs="Arial" w:eastAsia="Arial" w:hAnsi="Arial"/>
                <w:sz w:val="18"/>
                <w:szCs w:val="18"/>
                <w:color w:val="auto"/>
              </w:rPr>
              <w:t>PODCI Global Function (points)</w:t>
            </w:r>
          </w:p>
        </w:tc>
        <w:tc>
          <w:tcPr>
            <w:tcW w:w="102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2"/>
              </w:rPr>
              <w:t>+17.0</w:t>
            </w:r>
          </w:p>
        </w:tc>
        <w:tc>
          <w:tcPr>
            <w:tcW w:w="90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2"/>
              </w:rPr>
              <w:t>+11.0</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+6.3</w:t>
            </w:r>
          </w:p>
        </w:tc>
        <w:tc>
          <w:tcPr>
            <w:tcW w:w="280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3"/>
              </w:rPr>
              <w:t>+16.4</w:t>
            </w:r>
            <w:r>
              <w:rPr>
                <w:rFonts w:ascii="Arial" w:cs="Arial" w:eastAsia="Arial" w:hAnsi="Arial"/>
                <w:sz w:val="15"/>
                <w:szCs w:val="15"/>
                <w:color w:val="auto"/>
                <w:w w:val="93"/>
              </w:rPr>
              <w:t>(5)</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PODCI Transfer/Basic Mobility (points)</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+6.7</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0.0</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+0.7</w:t>
            </w:r>
          </w:p>
        </w:tc>
        <w:tc>
          <w:tcPr>
            <w:tcW w:w="2800" w:type="dxa"/>
            <w:vAlign w:val="bottom"/>
          </w:tcPr>
          <w:p>
            <w:pPr>
              <w:jc w:val="center"/>
              <w:spacing w:after="0"/>
              <w:rPr>
                <w:sz w:val="20"/>
                <w:szCs w:val="20"/>
                <w:color w:val="auto"/>
              </w:rPr>
            </w:pPr>
            <w:r>
              <w:rPr>
                <w:rFonts w:ascii="Arial" w:cs="Arial" w:eastAsia="Arial" w:hAnsi="Arial"/>
                <w:sz w:val="18"/>
                <w:szCs w:val="18"/>
                <w:color w:val="auto"/>
                <w:w w:val="93"/>
              </w:rPr>
              <w:t>+20.6</w:t>
            </w:r>
            <w:r>
              <w:rPr>
                <w:rFonts w:ascii="Arial" w:cs="Arial" w:eastAsia="Arial" w:hAnsi="Arial"/>
                <w:sz w:val="15"/>
                <w:szCs w:val="15"/>
                <w:color w:val="auto"/>
                <w:w w:val="93"/>
              </w:rPr>
              <w:t>(6)</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E6E6E6"/>
            </w:tcBorders>
            <w:shd w:val="clear" w:color="auto" w:fill="CFF0FC"/>
          </w:tcPr>
          <w:p>
            <w:pPr>
              <w:spacing w:after="0"/>
              <w:rPr>
                <w:sz w:val="20"/>
                <w:szCs w:val="20"/>
                <w:color w:val="auto"/>
              </w:rPr>
            </w:pPr>
            <w:r>
              <w:rPr>
                <w:rFonts w:ascii="Arial" w:cs="Arial" w:eastAsia="Arial" w:hAnsi="Arial"/>
                <w:sz w:val="18"/>
                <w:szCs w:val="18"/>
                <w:color w:val="auto"/>
              </w:rPr>
              <w:t>PODCI Sports/Physical Functioning (points)</w:t>
            </w:r>
          </w:p>
        </w:tc>
        <w:tc>
          <w:tcPr>
            <w:tcW w:w="102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2"/>
              </w:rPr>
              <w:t>+29.7</w:t>
            </w:r>
          </w:p>
        </w:tc>
        <w:tc>
          <w:tcPr>
            <w:tcW w:w="90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2"/>
              </w:rPr>
              <w:t>+19.0</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+13.3</w:t>
            </w:r>
          </w:p>
        </w:tc>
        <w:tc>
          <w:tcPr>
            <w:tcW w:w="280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3"/>
              </w:rPr>
              <w:t>+19.5</w:t>
            </w:r>
            <w:r>
              <w:rPr>
                <w:rFonts w:ascii="Arial" w:cs="Arial" w:eastAsia="Arial" w:hAnsi="Arial"/>
                <w:sz w:val="15"/>
                <w:szCs w:val="15"/>
                <w:color w:val="auto"/>
                <w:w w:val="93"/>
              </w:rPr>
              <w:t>(7)</w:t>
            </w:r>
          </w:p>
        </w:tc>
        <w:tc>
          <w:tcPr>
            <w:tcW w:w="0" w:type="dxa"/>
            <w:vAlign w:val="bottom"/>
          </w:tcPr>
          <w:p>
            <w:pPr>
              <w:spacing w:after="0"/>
              <w:rPr>
                <w:sz w:val="1"/>
                <w:szCs w:val="1"/>
                <w:color w:val="auto"/>
              </w:rPr>
            </w:pPr>
          </w:p>
        </w:tc>
      </w:tr>
      <w:tr>
        <w:trPr>
          <w:trHeight w:val="168"/>
        </w:trPr>
        <w:tc>
          <w:tcPr>
            <w:tcW w:w="5560" w:type="dxa"/>
            <w:vAlign w:val="bottom"/>
          </w:tcPr>
          <w:p>
            <w:pPr>
              <w:spacing w:after="0" w:line="168" w:lineRule="exact"/>
              <w:rPr>
                <w:sz w:val="20"/>
                <w:szCs w:val="20"/>
                <w:color w:val="auto"/>
              </w:rPr>
            </w:pPr>
            <w:r>
              <w:rPr>
                <w:rFonts w:ascii="Arial" w:cs="Arial" w:eastAsia="Arial" w:hAnsi="Arial"/>
                <w:sz w:val="15"/>
                <w:szCs w:val="15"/>
                <w:color w:val="auto"/>
              </w:rPr>
              <w:t>(1): -84.6m expected decline in 24 months after age 7 (Mercuri et al 2016)</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(2): -6.0 unit expected decline in 24 months after age 6.3 (Muntoni eta al 2019)</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(3): -10.0%p expected decline in 24 months after age 6 (Mayer et al 2015)</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(4): -10.0%p expected decline in 24 months after age 6 (Mayer et al 2015)</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(5): -10.1 point expected decline in 24 months (Henricson et al 2013)</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(6): -19.9 point expected decline in 24 months (Henricson et al 2013)</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(7): -6.2 point expected decline in 24 months (Henricson et al 2013)</w:t>
      </w:r>
    </w:p>
    <w:p>
      <w:pPr>
        <w:spacing w:after="0" w:line="206" w:lineRule="exact"/>
        <w:rPr>
          <w:sz w:val="20"/>
          <w:szCs w:val="20"/>
          <w:color w:val="auto"/>
        </w:rPr>
      </w:pPr>
    </w:p>
    <w:p>
      <w:pPr>
        <w:ind w:right="180" w:firstLine="546"/>
        <w:spacing w:after="0" w:line="275" w:lineRule="auto"/>
        <w:rPr>
          <w:sz w:val="20"/>
          <w:szCs w:val="20"/>
          <w:color w:val="auto"/>
        </w:rPr>
      </w:pPr>
      <w:r>
        <w:rPr>
          <w:rFonts w:ascii="Arial" w:cs="Arial" w:eastAsia="Arial" w:hAnsi="Arial"/>
          <w:sz w:val="17"/>
          <w:szCs w:val="17"/>
          <w:color w:val="auto"/>
        </w:rPr>
        <w:t>In March 2022, we reported data from skeletal muscle biopsies collected three months after infusion of SGT-001 from the most recently dosed Patients 7-9. The range by immunofluorescence of 1% to 50% and by western blot of Below the 5% Limit of Quantification (BLQ) to 6.8%, were within the range of previously dosed Patients 4-6 in the high dose cohort. Microdystrophin expression levels for all six patients dosed in the high dose cohort (Patients 4-9) ranged from 1 to 70% by immunofluorescence and BLQ to 17.5% by western blot. All six patients dosed with SGT-001 in the high dose cohort have demonstrated microdystrophin expression and proper membrane localization.</w:t>
      </w:r>
    </w:p>
    <w:p>
      <w:pPr>
        <w:spacing w:after="0" w:line="176"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No new drug-related safety findings have been identified in Patients 1-9 in post-dosing periods of 90 days to approximately four years. We continue to follow dosed patients and collect data to support the potential benefit of SGT-001.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25" w:lineRule="exact"/>
        <w:rPr>
          <w:sz w:val="20"/>
          <w:szCs w:val="20"/>
          <w:color w:val="auto"/>
        </w:rPr>
      </w:pPr>
    </w:p>
    <w:p>
      <w:pPr>
        <w:ind w:right="40" w:firstLine="546"/>
        <w:spacing w:after="0" w:line="301" w:lineRule="auto"/>
        <w:rPr>
          <w:sz w:val="20"/>
          <w:szCs w:val="20"/>
          <w:color w:val="auto"/>
        </w:rPr>
      </w:pPr>
      <w:r>
        <w:rPr>
          <w:rFonts w:ascii="Arial" w:cs="Arial" w:eastAsia="Arial" w:hAnsi="Arial"/>
          <w:sz w:val="16"/>
          <w:szCs w:val="16"/>
          <w:color w:val="auto"/>
        </w:rPr>
        <w:t>Taking into account the prevalence and incidence of Duchenne and the anticipated dosing requirements for gene transfer, we anticipate that there will be a need for a substantial supply of SGT-001 for clinical trials and, if approved, for commercial markets. Through significant targeted investments to address this challenge, we have developed a manufacturing process that we believe can scale to adequately support our needs for clinical trials, commercial launch and beyond. Our in-house scientists are continuing to work to increase the productivity, efficiency and purity of our manufacturing process.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SGT-003</w:t>
      </w:r>
    </w:p>
    <w:p>
      <w:pPr>
        <w:spacing w:after="0" w:line="225" w:lineRule="exact"/>
        <w:rPr>
          <w:sz w:val="20"/>
          <w:szCs w:val="20"/>
          <w:color w:val="auto"/>
        </w:rPr>
      </w:pPr>
    </w:p>
    <w:p>
      <w:pPr>
        <w:ind w:right="280" w:firstLine="546"/>
        <w:spacing w:after="0" w:line="259" w:lineRule="auto"/>
        <w:rPr>
          <w:sz w:val="20"/>
          <w:szCs w:val="20"/>
          <w:color w:val="auto"/>
        </w:rPr>
      </w:pPr>
      <w:r>
        <w:rPr>
          <w:rFonts w:ascii="Arial" w:cs="Arial" w:eastAsia="Arial" w:hAnsi="Arial"/>
          <w:sz w:val="18"/>
          <w:szCs w:val="18"/>
          <w:color w:val="auto"/>
        </w:rPr>
        <w:t>SGT-003 is our next-generation gene transfer candidate. It is comprised of our nNOS binding domain microdystrophin transgene and muscle-specific promoter present in SGT-001 and uses a novel, rationally designed AAV capsid, candidate, selected for potentially enhanced muscle tropism, to deliver these components to target tissues. We believe that the properties of this novel capsid may allow for enhanced benefit over therapies using traditional capsids, potentially both in terms of efficacy and safety.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plan to submit an Investigational New Drug, or IND, application for SGT-003 in early 2023 and initiate IND-enabling studies in 2022.</w:t>
      </w:r>
    </w:p>
    <w:p>
      <w:pPr>
        <w:spacing w:after="0" w:line="237" w:lineRule="exact"/>
        <w:rPr>
          <w:sz w:val="20"/>
          <w:szCs w:val="20"/>
          <w:color w:val="auto"/>
        </w:rPr>
      </w:pPr>
    </w:p>
    <w:p>
      <w:pPr>
        <w:jc w:val="both"/>
        <w:ind w:right="460" w:firstLine="546"/>
        <w:spacing w:after="0" w:line="263" w:lineRule="auto"/>
        <w:rPr>
          <w:sz w:val="20"/>
          <w:szCs w:val="20"/>
          <w:color w:val="auto"/>
        </w:rPr>
      </w:pPr>
      <w:r>
        <w:rPr>
          <w:rFonts w:ascii="Arial" w:cs="Arial" w:eastAsia="Arial" w:hAnsi="Arial"/>
          <w:sz w:val="18"/>
          <w:szCs w:val="18"/>
          <w:color w:val="auto"/>
        </w:rPr>
        <w:t>We have selected a manufacturing process that we believe can scale to adequately support our needs for clinical trials, commercial launch and beyond. Our in-house scientists are continuing to work in close partnership with our Contract Development and Manufacturing, or CDMO, partner to increase both yield and quality of our manufacturing.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Platform technologies</w:t>
      </w:r>
    </w:p>
    <w:p>
      <w:pPr>
        <w:spacing w:after="0" w:line="229" w:lineRule="exact"/>
        <w:rPr>
          <w:sz w:val="20"/>
          <w:szCs w:val="20"/>
          <w:color w:val="auto"/>
        </w:rPr>
      </w:pPr>
    </w:p>
    <w:p>
      <w:pPr>
        <w:ind w:right="80" w:firstLine="546"/>
        <w:spacing w:after="0" w:line="311" w:lineRule="auto"/>
        <w:rPr>
          <w:sz w:val="20"/>
          <w:szCs w:val="20"/>
          <w:color w:val="auto"/>
        </w:rPr>
      </w:pPr>
      <w:r>
        <w:rPr>
          <w:rFonts w:ascii="Arial" w:cs="Arial" w:eastAsia="Arial" w:hAnsi="Arial"/>
          <w:sz w:val="16"/>
          <w:szCs w:val="16"/>
          <w:color w:val="auto"/>
        </w:rPr>
        <w:t>In addition to our gene transfer candidates, we have development programs focusing on platform technologies, including dual gene expression, a technology that allows us to package multiple transgenes into one vector, as well as novel capsids. These programs are part of our ongoing research efforts to develop innovative technologies that we believe may hold potential to translate into meaningful treatments and drive our future pipeline expansion.</w:t>
      </w:r>
    </w:p>
    <w:p>
      <w:pPr>
        <w:spacing w:after="0" w:line="149" w:lineRule="exact"/>
        <w:rPr>
          <w:sz w:val="20"/>
          <w:szCs w:val="20"/>
          <w:color w:val="auto"/>
        </w:rPr>
      </w:pPr>
    </w:p>
    <w:p>
      <w:pPr>
        <w:ind w:right="560" w:firstLine="546"/>
        <w:spacing w:after="0" w:line="308" w:lineRule="auto"/>
        <w:rPr>
          <w:sz w:val="20"/>
          <w:szCs w:val="20"/>
          <w:color w:val="auto"/>
        </w:rPr>
      </w:pPr>
      <w:r>
        <w:rPr>
          <w:rFonts w:ascii="Arial" w:cs="Arial" w:eastAsia="Arial" w:hAnsi="Arial"/>
          <w:sz w:val="17"/>
          <w:szCs w:val="17"/>
          <w:color w:val="auto"/>
        </w:rPr>
        <w:t>Preclinical data in both wild-type and disease animal models demonstrate that we have developed a library of novel capsids that have shown increased muscle tropism with concomitant decreased liver biodistribution, resulting in improved efficiency compared to AAV9.</w:t>
      </w:r>
    </w:p>
    <w:p>
      <w:pPr>
        <w:spacing w:after="0" w:line="146"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In conjunction with our development of SGT-001 and SGT-003, we believe it is critical to continue to investigate tools and technologies designed to help us more effectively understand Duchenne, accurately monitor disease progression and assist patients in daily life. As part of this goal, we are evaluating the use of sensor-based technologies that may allow us to identify biomarkers that measure the therapeutic impact of potential product candidates better and better measure the therapeutic impact of potential product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right="60" w:firstLine="546"/>
        <w:spacing w:after="0" w:line="293" w:lineRule="auto"/>
        <w:rPr>
          <w:sz w:val="20"/>
          <w:szCs w:val="20"/>
          <w:color w:val="auto"/>
        </w:rPr>
      </w:pPr>
      <w:r>
        <w:rPr>
          <w:rFonts w:ascii="Arial" w:cs="Arial" w:eastAsia="Arial" w:hAnsi="Arial"/>
          <w:sz w:val="16"/>
          <w:szCs w:val="16"/>
          <w:color w:val="auto"/>
        </w:rPr>
        <w:t>Solid Biosciences was founded in 2013 by our Chief Executive Officer, Ilan Ganot, our former Chairman of the Board, Andrey Zarur, our former President, Gilad Hayeem, a former board member, Matthew Arnold, and our Vice President, Patient Advocacy, Annie Ganot, with the goal of developing meaningful therapies for patients with Duchenne. Solid is the English translation of Eytani, the Hebrew name of Ilan and Annie Ganot’s son, who was diagnosed with the disease in 2012. Our founders, unsatisfied with the existing therapeutic landscape, proceeded to raise funds to execute on our disease-focused business model. We assembled a passionate management team and scientific advisory board composed of individuals with extensive experience in Duchenne, gene therapy, product discovery, research and development, manufacturing, business strategy and finance.</w:t>
      </w:r>
    </w:p>
    <w:p>
      <w:pPr>
        <w:spacing w:after="0" w:line="164" w:lineRule="exact"/>
        <w:rPr>
          <w:sz w:val="20"/>
          <w:szCs w:val="20"/>
          <w:color w:val="auto"/>
        </w:rPr>
      </w:pPr>
    </w:p>
    <w:p>
      <w:pPr>
        <w:ind w:right="120" w:firstLine="546"/>
        <w:spacing w:after="0" w:line="311" w:lineRule="auto"/>
        <w:rPr>
          <w:sz w:val="20"/>
          <w:szCs w:val="20"/>
          <w:color w:val="auto"/>
        </w:rPr>
      </w:pPr>
      <w:r>
        <w:rPr>
          <w:rFonts w:ascii="Arial" w:cs="Arial" w:eastAsia="Arial" w:hAnsi="Arial"/>
          <w:sz w:val="16"/>
          <w:szCs w:val="16"/>
          <w:color w:val="auto"/>
        </w:rPr>
        <w:t>In 2015, we began exclusively licensing the elements of the construct for SGT-001 and other elements of the SGT-001 gene transfer program from the University of Missouri and the University of Washington. Since then, we have continued to use our extensive network across the academic, business and patient communities to identify, vet and pursue high-potential complementary product candidates to address the needs of Duchenne patients.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w:t>
      </w:r>
    </w:p>
    <w:p>
      <w:pPr>
        <w:spacing w:after="0" w:line="121"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Our mission, which guides our operations, is to cure Duchenne. Underscoring this mission, our disease-focused business model is founded on the following fundamental values:</w:t>
      </w:r>
    </w:p>
    <w:p>
      <w:pPr>
        <w:spacing w:after="0" w:line="62" w:lineRule="exact"/>
        <w:rPr>
          <w:sz w:val="20"/>
          <w:szCs w:val="20"/>
          <w:color w:val="auto"/>
        </w:rPr>
      </w:pPr>
    </w:p>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and develop meaningful therapies for all patients with Duchenne;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bring together the leading experts in Duchenne, science, technology, disease management and care;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guided by the needs of Duchenne patients.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Duchenne muscular dystrophy</w:t>
      </w:r>
    </w:p>
    <w:p>
      <w:pPr>
        <w:spacing w:after="0" w:line="121" w:lineRule="exact"/>
        <w:rPr>
          <w:sz w:val="20"/>
          <w:szCs w:val="20"/>
          <w:color w:val="auto"/>
        </w:rPr>
      </w:pPr>
    </w:p>
    <w:p>
      <w:pPr>
        <w:ind w:right="380" w:firstLine="546"/>
        <w:spacing w:after="0" w:line="296" w:lineRule="auto"/>
        <w:rPr>
          <w:sz w:val="20"/>
          <w:szCs w:val="20"/>
          <w:color w:val="auto"/>
        </w:rPr>
      </w:pPr>
      <w:r>
        <w:rPr>
          <w:rFonts w:ascii="Arial" w:cs="Arial" w:eastAsia="Arial" w:hAnsi="Arial"/>
          <w:sz w:val="16"/>
          <w:szCs w:val="16"/>
          <w:color w:val="auto"/>
        </w:rPr>
        <w:t>Duchenne is an X-chromosome-linked, muscle-wasting disease, predominantly affecting boys. Progressive, irreversible and ultimately fatal, Duchenne occurs in approximately one in every 3,500 to 5,000 live male births and has an estimated prevalence of 5,000 to 15,000 cases in the United States alone. In Duchenne, mutations in the dystrophin gene result in the body’s inability to produce functioning dystrophin protein, which works to strengthen muscle fibers and protect them from daily wear and tear. Dystrophin protein also serves as the cornerstone of the dystrophin glycoprotein complex, or DGC, a group of proteins that links the inner and outer components of muscle cells to ensure proper muscle function.</w:t>
      </w:r>
    </w:p>
    <w:p>
      <w:pPr>
        <w:spacing w:after="0" w:line="161"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Without dystrophin and the DGC, muscles suffer excessive damage from normal daily activities and are unable to regenerate, leading to the build-up of scar and fat tissue. More than 1,000 dystrophin gene mutations, which can be inherited or can occur spontaneously, have been identified in people with Duchenne.</w:t>
      </w:r>
    </w:p>
    <w:p>
      <w:pPr>
        <w:spacing w:after="0" w:line="184"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For patients suffering from Duchenne, symptoms usually begin to manifest between three and five years of age, when they fail to reach developmental milestones or experience motor function challenges, such as difficulty walking or climbing stairs. Muscle wasting initially presents in the legs and pelvic area, then in the muscles of the shoulders, neck and arms. As the disease progresses, patients with Duchenne experience frequent falls, can no longer run, play sports or perform most daily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right="240"/>
        <w:spacing w:after="0" w:line="277" w:lineRule="auto"/>
        <w:rPr>
          <w:sz w:val="20"/>
          <w:szCs w:val="20"/>
          <w:color w:val="auto"/>
        </w:rPr>
      </w:pPr>
      <w:r>
        <w:rPr>
          <w:rFonts w:ascii="Arial" w:cs="Arial" w:eastAsia="Arial" w:hAnsi="Arial"/>
          <w:sz w:val="18"/>
          <w:szCs w:val="18"/>
          <w:color w:val="auto"/>
        </w:rPr>
        <w:t>functions, and are further weakened by physical activity. In addition to physical challenges, Duchenne also commonly involves cognitive difficulties and behavioral challenges.</w:t>
      </w:r>
    </w:p>
    <w:p>
      <w:pPr>
        <w:spacing w:after="0" w:line="170" w:lineRule="exact"/>
        <w:rPr>
          <w:sz w:val="20"/>
          <w:szCs w:val="20"/>
          <w:color w:val="auto"/>
        </w:rPr>
      </w:pPr>
    </w:p>
    <w:p>
      <w:pPr>
        <w:ind w:right="100" w:firstLine="546"/>
        <w:spacing w:after="0" w:line="311" w:lineRule="auto"/>
        <w:rPr>
          <w:sz w:val="20"/>
          <w:szCs w:val="20"/>
          <w:color w:val="auto"/>
        </w:rPr>
      </w:pPr>
      <w:r>
        <w:rPr>
          <w:rFonts w:ascii="Arial" w:cs="Arial" w:eastAsia="Arial" w:hAnsi="Arial"/>
          <w:sz w:val="16"/>
          <w:szCs w:val="16"/>
          <w:color w:val="auto"/>
        </w:rPr>
        <w:t>By their early teens, Duchenne patients typically lose their ability to walk and become dependent on a wheelchair for mobility. By their 20s, patients essentially become paralyzed from the neck down and require a ventilator to breathe. Though disease severity and life expectancy vary, a patient’s quality of life dramatically decreases over time, with death typically occurring by early adulthood from either cardiac or respiratory complications.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 for effective therapies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is no cure for Duchenne and, for the vast majority of patients, there are no satisfactory symptomatic or disease-modifying treatments.</w:t>
      </w:r>
    </w:p>
    <w:p>
      <w:pPr>
        <w:spacing w:after="0" w:line="237" w:lineRule="exact"/>
        <w:rPr>
          <w:sz w:val="20"/>
          <w:szCs w:val="20"/>
          <w:color w:val="auto"/>
        </w:rPr>
      </w:pPr>
    </w:p>
    <w:p>
      <w:pPr>
        <w:ind w:right="200" w:firstLine="546"/>
        <w:spacing w:after="0" w:line="259" w:lineRule="auto"/>
        <w:rPr>
          <w:sz w:val="20"/>
          <w:szCs w:val="20"/>
          <w:color w:val="auto"/>
        </w:rPr>
      </w:pPr>
      <w:r>
        <w:rPr>
          <w:rFonts w:ascii="Arial" w:cs="Arial" w:eastAsia="Arial" w:hAnsi="Arial"/>
          <w:sz w:val="18"/>
          <w:szCs w:val="18"/>
          <w:color w:val="auto"/>
        </w:rPr>
        <w:t>Glucocorticoid treatment, the current standard-of-care, has been shown to temporarily improve muscle strength, prolong the period of ambulation and slow the progression of Duchenne. However, glucocorticoid use is associated with well-known adverse events, such as severe weight gain, stunted growth, weakening of bone structure and metabolic dysfunctions, among others. The most commonly used glucocorticoids include prednisone and deflazacort (EMFLAZA).</w:t>
      </w:r>
    </w:p>
    <w:p>
      <w:pPr>
        <w:spacing w:after="0" w:line="187" w:lineRule="exact"/>
        <w:rPr>
          <w:sz w:val="20"/>
          <w:szCs w:val="20"/>
          <w:color w:val="auto"/>
        </w:rPr>
      </w:pPr>
    </w:p>
    <w:p>
      <w:pPr>
        <w:ind w:right="80" w:firstLine="546"/>
        <w:spacing w:after="0" w:line="342" w:lineRule="auto"/>
        <w:rPr>
          <w:sz w:val="20"/>
          <w:szCs w:val="20"/>
          <w:color w:val="auto"/>
        </w:rPr>
      </w:pPr>
      <w:r>
        <w:rPr>
          <w:rFonts w:ascii="Arial" w:cs="Arial" w:eastAsia="Arial" w:hAnsi="Arial"/>
          <w:sz w:val="16"/>
          <w:szCs w:val="16"/>
          <w:color w:val="auto"/>
        </w:rPr>
        <w:t>In recent years, certain regulators have conditionally approved therapies which target specific mutations in the dystrophin gene. These therapies are indicated for only a small portion of the Duchenne patient population, and their respective efficacy profiles still need to be fully understood.</w:t>
      </w:r>
    </w:p>
    <w:p>
      <w:pPr>
        <w:spacing w:after="0" w:line="124"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Current best practices for treating Duchenne patients also dictate a multidisciplinary approach to disease management, which includes physical and occupational therapy to preserve strength, function and flexibility, orthopedic management to reduce the risk of scoliosis and other bone and joint problems, pulmonary, cardiac and gastrointestinal management, and psychosocial management to support behavior and learning.</w:t>
      </w:r>
    </w:p>
    <w:p>
      <w:pPr>
        <w:spacing w:after="0" w:line="165"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We are actively involved in engaging with the Duchenne patient, clinical and research communities to support advancement of therapies for patients with Duchenne. In November 2021, in collaboration with REGENXBIO Inc., we formally launched the Pathway Development Consortium, or the PDC, a multistakeholder initiative which aims to identify, develop, expand and maintain pathways to effective therapies for patients diagnosed early in life with rare diseases, including Duchenne. The PDC seeks to achieve these goals by bringing together a broad and diverse group of stakeholders from the rare disease and AAV gene therapy communities, including patients, industry, regulators, academia and payers, among others, for meaningful scientific and policy discussions.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Burden of disease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Despite recent therapeutic advances, Duchenne represents a significant societal and economic burden. The economic burden, estimated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 billion annually in the United States (excluding costly mortality and end-of-life care expenses), includes costs associated with hospital admissions,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medication, frequent doctor visits and investment in assistive devices, as well as indirect costs related to productivity losses for the caregivers and costs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pain, anxiety and social handicap. Of this amount, approximately 45% is represented by indirect costs. Only a small proportion of Duchenne patients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employed and many caregivers reduce their hours or stop working altogether to care for their children, who progressively require more help with everyday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tasks, such as eating, dressing and using the bathroom. In some cases, patients also experience serious mental health issues that require additional support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treatment.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transfer—A corrective therapy</w:t>
      </w:r>
    </w:p>
    <w:p>
      <w:pPr>
        <w:spacing w:after="0" w:line="121" w:lineRule="exact"/>
        <w:rPr>
          <w:sz w:val="20"/>
          <w:szCs w:val="20"/>
          <w:color w:val="auto"/>
        </w:rPr>
      </w:pPr>
    </w:p>
    <w:p>
      <w:pPr>
        <w:ind w:firstLine="551"/>
        <w:spacing w:after="0" w:line="259" w:lineRule="auto"/>
        <w:rPr>
          <w:sz w:val="20"/>
          <w:szCs w:val="20"/>
          <w:color w:val="auto"/>
        </w:rPr>
      </w:pPr>
      <w:r>
        <w:rPr>
          <w:rFonts w:ascii="Arial" w:cs="Arial" w:eastAsia="Arial" w:hAnsi="Arial"/>
          <w:sz w:val="18"/>
          <w:szCs w:val="18"/>
          <w:color w:val="auto"/>
        </w:rPr>
        <w:t>Gene therapy is a therapeutic approach that aims to address diseases caused by gene mutations. A gene is a portion of deoxyribonucleic acid, or DNA, that provides the instructions for the body to construct proteins that perform functions needed for life. Genes are prone to mutations, which can either be inherited or occur spontaneously. While many mutations are harmless, some lead to the absence of crucial proteins, resulting in serious genetic diseases like Duchenne.</w:t>
      </w:r>
    </w:p>
    <w:p>
      <w:pPr>
        <w:spacing w:after="0" w:line="187" w:lineRule="exact"/>
        <w:rPr>
          <w:sz w:val="20"/>
          <w:szCs w:val="20"/>
          <w:color w:val="auto"/>
        </w:rPr>
      </w:pPr>
    </w:p>
    <w:p>
      <w:pPr>
        <w:ind w:right="160" w:firstLine="551"/>
        <w:spacing w:after="0" w:line="263" w:lineRule="auto"/>
        <w:rPr>
          <w:sz w:val="20"/>
          <w:szCs w:val="20"/>
          <w:color w:val="auto"/>
        </w:rPr>
      </w:pPr>
      <w:r>
        <w:rPr>
          <w:rFonts w:ascii="Arial" w:cs="Arial" w:eastAsia="Arial" w:hAnsi="Arial"/>
          <w:sz w:val="18"/>
          <w:szCs w:val="18"/>
          <w:color w:val="auto"/>
        </w:rPr>
        <w:t>Gene transfer, a type of gene therapy, is designed to address diseases caused by mutated genes through the delivery of functional versions of those genes, called transgenes. The transgenes are then utilized by the body to produce proteins that are absent or not functional prior to treatment, potentially offering long-lasting beneficial effects.</w:t>
      </w:r>
    </w:p>
    <w:p>
      <w:pPr>
        <w:spacing w:after="0" w:line="184" w:lineRule="exact"/>
        <w:rPr>
          <w:sz w:val="20"/>
          <w:szCs w:val="20"/>
          <w:color w:val="auto"/>
        </w:rPr>
      </w:pPr>
    </w:p>
    <w:p>
      <w:pPr>
        <w:ind w:right="140" w:firstLine="551"/>
        <w:spacing w:after="0" w:line="277" w:lineRule="auto"/>
        <w:rPr>
          <w:sz w:val="20"/>
          <w:szCs w:val="20"/>
          <w:color w:val="auto"/>
        </w:rPr>
      </w:pPr>
      <w:r>
        <w:rPr>
          <w:rFonts w:ascii="Arial" w:cs="Arial" w:eastAsia="Arial" w:hAnsi="Arial"/>
          <w:sz w:val="18"/>
          <w:szCs w:val="18"/>
          <w:color w:val="auto"/>
        </w:rPr>
        <w:t>We have focused our efforts on gene transfer because we believe it has the greatest potential to address the root cause of Duchenne: the absence or near-absence of dystrophin protein. If successful, we believe gene transfer can slow or stop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right="700"/>
        <w:spacing w:after="0" w:line="277" w:lineRule="auto"/>
        <w:rPr>
          <w:sz w:val="20"/>
          <w:szCs w:val="20"/>
          <w:color w:val="auto"/>
        </w:rPr>
      </w:pPr>
      <w:r>
        <w:rPr>
          <w:rFonts w:ascii="Arial" w:cs="Arial" w:eastAsia="Arial" w:hAnsi="Arial"/>
          <w:sz w:val="18"/>
          <w:szCs w:val="18"/>
          <w:color w:val="auto"/>
        </w:rPr>
        <w:t>progression of Duchenne in a majority of patients, irrespective of their genetic mutation, by producing long-term, muscle-specific expression of a functional dystrophin-like protein.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gene transfer candidate, or vector, includes three components:</w:t>
      </w:r>
    </w:p>
    <w:p>
      <w:pPr>
        <w:spacing w:after="0" w:line="117" w:lineRule="exact"/>
        <w:rPr>
          <w:sz w:val="20"/>
          <w:szCs w:val="20"/>
          <w:color w:val="auto"/>
        </w:rPr>
      </w:pPr>
    </w:p>
    <w:p>
      <w:pPr>
        <w:ind w:left="960" w:hanging="41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viral capsid—a protein shell utilized as a vehicle to deliver a transgene to cells in the body;</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transgene—a functional gene intended to produce a functional protein;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promoter—a specialized DNA sequence that directs cells to produce the protein in specific tissues.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SGT-001</w:t>
      </w:r>
    </w:p>
    <w:p>
      <w:pPr>
        <w:spacing w:after="0" w:line="121"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SGT-001, our lead gene transfer candidate, is designed to preserve muscle function in Duchenne patients after a single administration and is based on some of the most recent understanding of dystrophin biology in the field. The SGT-001 vector is comprised of a functional transgene and a muscle-specific promoter, which are delivered via an AAV capsid. We believe that the SGT-001 construct is differentiated from other gene transfer candidates and may provide unique clinical benefit.</w:t>
      </w:r>
    </w:p>
    <w:p>
      <w:pPr>
        <w:spacing w:after="0" w:line="187" w:lineRule="exact"/>
        <w:rPr>
          <w:sz w:val="20"/>
          <w:szCs w:val="20"/>
          <w:color w:val="auto"/>
        </w:rPr>
      </w:pPr>
    </w:p>
    <w:p>
      <w:pPr>
        <w:jc w:val="both"/>
        <w:ind w:right="240" w:firstLine="546"/>
        <w:spacing w:after="0" w:line="263" w:lineRule="auto"/>
        <w:rPr>
          <w:sz w:val="20"/>
          <w:szCs w:val="20"/>
          <w:color w:val="auto"/>
        </w:rPr>
      </w:pPr>
      <w:r>
        <w:rPr>
          <w:rFonts w:ascii="Arial" w:cs="Arial" w:eastAsia="Arial" w:hAnsi="Arial"/>
          <w:sz w:val="18"/>
          <w:szCs w:val="18"/>
          <w:color w:val="auto"/>
        </w:rPr>
        <w:t>The vector is modified to no longer self-replicate, yet retains its ability to effectively introduce new genetic material directly into patients’ cells. AAV vectors have been extensively studied in human clinical trials in multiple disease indications, including in clinical trials of high-dose, systemically delivered AAV gene therapies being conducted by third parties.</w:t>
      </w:r>
    </w:p>
    <w:p>
      <w:pPr>
        <w:spacing w:after="0" w:line="184" w:lineRule="exact"/>
        <w:rPr>
          <w:sz w:val="20"/>
          <w:szCs w:val="20"/>
          <w:color w:val="auto"/>
        </w:rPr>
      </w:pPr>
    </w:p>
    <w:p>
      <w:pPr>
        <w:ind w:right="220" w:firstLine="546"/>
        <w:spacing w:after="0" w:line="301" w:lineRule="auto"/>
        <w:rPr>
          <w:sz w:val="20"/>
          <w:szCs w:val="20"/>
          <w:color w:val="auto"/>
        </w:rPr>
      </w:pPr>
      <w:r>
        <w:rPr>
          <w:rFonts w:ascii="Arial" w:cs="Arial" w:eastAsia="Arial" w:hAnsi="Arial"/>
          <w:sz w:val="16"/>
          <w:szCs w:val="16"/>
          <w:i w:val="1"/>
          <w:iCs w:val="1"/>
          <w:color w:val="auto"/>
        </w:rPr>
        <w:t xml:space="preserve">Capsid: </w:t>
      </w:r>
      <w:r>
        <w:rPr>
          <w:rFonts w:ascii="Arial" w:cs="Arial" w:eastAsia="Arial" w:hAnsi="Arial"/>
          <w:sz w:val="16"/>
          <w:szCs w:val="16"/>
          <w:color w:val="auto"/>
        </w:rPr>
        <w:t>The capsid of the SGT-001 vector is derived from a naturally occurring, non-pathogenic virus called AAV. There are several subtypes of</w:t>
      </w:r>
      <w:r>
        <w:rPr>
          <w:rFonts w:ascii="Arial" w:cs="Arial" w:eastAsia="Arial" w:hAnsi="Arial"/>
          <w:sz w:val="16"/>
          <w:szCs w:val="16"/>
          <w:i w:val="1"/>
          <w:iCs w:val="1"/>
          <w:color w:val="auto"/>
        </w:rPr>
        <w:t xml:space="preserve"> </w:t>
      </w:r>
      <w:r>
        <w:rPr>
          <w:rFonts w:ascii="Arial" w:cs="Arial" w:eastAsia="Arial" w:hAnsi="Arial"/>
          <w:sz w:val="16"/>
          <w:szCs w:val="16"/>
          <w:color w:val="auto"/>
        </w:rPr>
        <w:t>AAV capsids that differ based on the proteins that make up their structure. These capsids have affinities for different sites in the body. We selected the AAV9 serotype capsid for clinical development based on our preclinical data, which demonstrated the capsid’s ability to efficiently enter skeletal, diaphragm and cardiac muscle tissues, as well as its favorable tolerability reported in other gene transfer clinical programs.</w:t>
      </w:r>
    </w:p>
    <w:p>
      <w:pPr>
        <w:spacing w:after="0" w:line="157" w:lineRule="exact"/>
        <w:rPr>
          <w:sz w:val="20"/>
          <w:szCs w:val="20"/>
          <w:color w:val="auto"/>
        </w:rPr>
      </w:pPr>
    </w:p>
    <w:p>
      <w:pPr>
        <w:ind w:right="300" w:firstLine="546"/>
        <w:spacing w:after="0" w:line="263" w:lineRule="auto"/>
        <w:rPr>
          <w:sz w:val="20"/>
          <w:szCs w:val="20"/>
          <w:color w:val="auto"/>
        </w:rPr>
      </w:pPr>
      <w:r>
        <w:rPr>
          <w:rFonts w:ascii="Arial" w:cs="Arial" w:eastAsia="Arial" w:hAnsi="Arial"/>
          <w:sz w:val="18"/>
          <w:szCs w:val="18"/>
          <w:i w:val="1"/>
          <w:iCs w:val="1"/>
          <w:color w:val="auto"/>
        </w:rPr>
        <w:t xml:space="preserve">Transgene: </w:t>
      </w:r>
      <w:r>
        <w:rPr>
          <w:rFonts w:ascii="Arial" w:cs="Arial" w:eastAsia="Arial" w:hAnsi="Arial"/>
          <w:sz w:val="18"/>
          <w:szCs w:val="18"/>
          <w:color w:val="auto"/>
        </w:rPr>
        <w:t>Dystrophin, the largest gene in the body, exceeds the carrying capacity of AAV vectors. To overcome this challenge, we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the SGT-001 transgene, a synthetic, dystrophin-like gene that fits into AAV and has the ability to drive functional protein expression in skeletal, diaphragm and cardiac muscle tissue.</w:t>
      </w:r>
    </w:p>
    <w:p>
      <w:pPr>
        <w:spacing w:after="0" w:line="184" w:lineRule="exact"/>
        <w:rPr>
          <w:sz w:val="20"/>
          <w:szCs w:val="20"/>
          <w:color w:val="auto"/>
        </w:rPr>
      </w:pPr>
    </w:p>
    <w:p>
      <w:pPr>
        <w:ind w:right="200" w:firstLine="546"/>
        <w:spacing w:after="0" w:line="273" w:lineRule="auto"/>
        <w:rPr>
          <w:sz w:val="20"/>
          <w:szCs w:val="20"/>
          <w:color w:val="auto"/>
        </w:rPr>
      </w:pPr>
      <w:r>
        <w:rPr>
          <w:rFonts w:ascii="Arial" w:cs="Arial" w:eastAsia="Arial" w:hAnsi="Arial"/>
          <w:sz w:val="17"/>
          <w:szCs w:val="17"/>
          <w:color w:val="auto"/>
        </w:rPr>
        <w:t>The concept of a modified therapeutic dystrophin gene originated from research on Becker muscular dystrophy, or BMD, where researchers discovered that certain BMD patients had mutations in the dystrophin gene that drove expression of a functional form of dystrophin protein, allowing patients to live relatively normal lives. This discovery led scientists to engineer a number of synthetic, dystrophin transgene constructs, called microdystrophins, that retained only the most critical components of the full-size dystrophin gene yet were small enough to fit within AAV packaging constraints. There are several types of microdystrophins that differ based on the configuration of their components. Microdystrophins were subsequently demonstrated to functionally protect muscle in mouse models of Duchenne.</w:t>
      </w:r>
    </w:p>
    <w:p>
      <w:pPr>
        <w:spacing w:after="0" w:line="178" w:lineRule="exact"/>
        <w:rPr>
          <w:sz w:val="20"/>
          <w:szCs w:val="20"/>
          <w:color w:val="auto"/>
        </w:rPr>
      </w:pPr>
    </w:p>
    <w:p>
      <w:pPr>
        <w:ind w:right="20" w:firstLine="546"/>
        <w:spacing w:after="0" w:line="290" w:lineRule="auto"/>
        <w:rPr>
          <w:sz w:val="20"/>
          <w:szCs w:val="20"/>
          <w:color w:val="auto"/>
        </w:rPr>
      </w:pPr>
      <w:r>
        <w:rPr>
          <w:rFonts w:ascii="Arial" w:cs="Arial" w:eastAsia="Arial" w:hAnsi="Arial"/>
          <w:sz w:val="16"/>
          <w:szCs w:val="16"/>
          <w:color w:val="auto"/>
        </w:rPr>
        <w:t>Our SGT-001 microdystrophin construct is based on three decades of development and optimization work at the University of Missouri and the University of Washington as well as other academic institutions. In preclinical studies, the laboratories of Jeffrey Chamberlain, Ph.D., from the University of Washington, and Dongsheng Duan, Ph.D., from the University of Missouri, identified a proprietary configuration of genetic components that, when administered systemically, produces functional microdystrophin protein expression that not only stabilizes muscle membranes and protects muscle against injury, but also simultaneously restores the localization of DGC to the muscle membrane, notably increasing nNOS concentration. In subsequent published studies, Drs. Duan and Chamberlain demonstrated in animal models that, in comparison to earlier configurations, nNOS-restoring microdystrophins were more effective in improving muscle function and resistance to fatigue. We believe the unique functionality of our SGT-001 microdystrophin may result in functional benefits including diminished muscle fatigue and protection against ischemic muscle damage, which can lead to loss of functional muscle.</w:t>
      </w:r>
    </w:p>
    <w:p>
      <w:pPr>
        <w:spacing w:after="0" w:line="165"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i w:val="1"/>
          <w:iCs w:val="1"/>
          <w:color w:val="auto"/>
        </w:rPr>
        <w:t xml:space="preserve">Promoter: </w:t>
      </w:r>
      <w:r>
        <w:rPr>
          <w:rFonts w:ascii="Arial" w:cs="Arial" w:eastAsia="Arial" w:hAnsi="Arial"/>
          <w:sz w:val="18"/>
          <w:szCs w:val="18"/>
          <w:color w:val="auto"/>
        </w:rPr>
        <w:t>The expression of the SGT-001 microdystrophin transgene is regulated by a modified, synthetic muscle-specific promoter cassette called</w:t>
      </w:r>
      <w:r>
        <w:rPr>
          <w:rFonts w:ascii="Arial" w:cs="Arial" w:eastAsia="Arial" w:hAnsi="Arial"/>
          <w:sz w:val="18"/>
          <w:szCs w:val="18"/>
          <w:i w:val="1"/>
          <w:iCs w:val="1"/>
          <w:color w:val="auto"/>
        </w:rPr>
        <w:t xml:space="preserve"> </w:t>
      </w:r>
      <w:r>
        <w:rPr>
          <w:rFonts w:ascii="Arial" w:cs="Arial" w:eastAsia="Arial" w:hAnsi="Arial"/>
          <w:sz w:val="18"/>
          <w:szCs w:val="18"/>
          <w:color w:val="auto"/>
        </w:rPr>
        <w:t>CK8, which is derived from the naturally occurring muscle creatine kinase promoter. Regulatory cassettes, such as CK8, are used to prompt gene expression specifically in muscle tissues. In comparison to other regulatory cassettes, we chose CK8 due to its small size and its ability to drive microdystrophin transgene expression in skeletal, diaphragm and cardiac muscle tissues. In our preclinical studies in small and large animal models, CK8 restricted microdystrophin transgene expression to these muscles.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SGT-001 preclinical program</w:t>
      </w:r>
    </w:p>
    <w:p>
      <w:pPr>
        <w:spacing w:after="0" w:line="117"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Our comprehensive preclinical program for SGT-001 was comprised of studies that inform efficacy, durability and safety, as well as dose response and the kinetics of transgene expression. Our program includes three different animal species: mice, dogs and non-human primates, or NHPs. Our preclinical studies were performed by third-party collaborators.</w:t>
      </w:r>
    </w:p>
    <w:p>
      <w:pPr>
        <w:spacing w:after="0" w:line="184" w:lineRule="exact"/>
        <w:rPr>
          <w:sz w:val="20"/>
          <w:szCs w:val="20"/>
          <w:color w:val="auto"/>
        </w:rPr>
      </w:pPr>
    </w:p>
    <w:p>
      <w:pPr>
        <w:ind w:right="100" w:firstLine="546"/>
        <w:spacing w:after="0" w:line="301" w:lineRule="auto"/>
        <w:rPr>
          <w:sz w:val="20"/>
          <w:szCs w:val="20"/>
          <w:color w:val="auto"/>
        </w:rPr>
      </w:pPr>
      <w:r>
        <w:rPr>
          <w:rFonts w:ascii="Arial" w:cs="Arial" w:eastAsia="Arial" w:hAnsi="Arial"/>
          <w:sz w:val="16"/>
          <w:szCs w:val="16"/>
          <w:color w:val="auto"/>
        </w:rPr>
        <w:t>Well-established mouse and dog disease models for Duchenne offered us the opportunity to better evaluate the potential translatability of SGT-001 to humans. While studies in dystrophic mice, such as the mdx mouse, provide important efficacy rationale, we chose to perform additional functional studies in dystrophic dogs because they exhibit a more severe dystrophic phenotype and progress similarly to human patients at earlier stages of the disease. Dog models enabled us to assess various endpoints, including biodistribution, expression, durability and function in a large animal species.</w:t>
      </w:r>
    </w:p>
    <w:p>
      <w:pPr>
        <w:spacing w:after="0" w:line="157"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Because Duchenne is a disease defined by a lack of dystrophin protein, it is important to reliably detect microdystrophin expression in muscle after SGT-001 treatment. As part of our core preclinical program, we developed well-characterized and well-recognized analytic approaches to confirm transgene expression and localization, using the following assays:</w:t>
      </w:r>
    </w:p>
    <w:p>
      <w:pPr>
        <w:spacing w:after="0" w:line="76" w:lineRule="exact"/>
        <w:rPr>
          <w:sz w:val="20"/>
          <w:szCs w:val="20"/>
          <w:color w:val="auto"/>
        </w:rPr>
      </w:pPr>
    </w:p>
    <w:p>
      <w:pPr>
        <w:ind w:left="960" w:hanging="41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Immunofluorescence: A qualitative method to determine if a transgene is expressed and localized to muscle membrane.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Western blot: A recognized method to quantify dystrophin expression.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Mass spectrometry: A highly sensitive analytical method to quantify transgene expression.</w:t>
      </w:r>
    </w:p>
    <w:p>
      <w:pPr>
        <w:spacing w:after="0" w:line="252"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We also employed immunofluorescence to confirm if our microdystrophin construct restored the DGC, including key proteins such as sarcoglycan and nNOS.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in dystrophic mice</w:t>
      </w:r>
    </w:p>
    <w:p>
      <w:pPr>
        <w:spacing w:after="0" w:line="117" w:lineRule="exact"/>
        <w:rPr>
          <w:sz w:val="20"/>
          <w:szCs w:val="20"/>
          <w:color w:val="auto"/>
        </w:rPr>
      </w:pPr>
    </w:p>
    <w:p>
      <w:pPr>
        <w:ind w:right="20" w:firstLine="546"/>
        <w:spacing w:after="0" w:line="279" w:lineRule="auto"/>
        <w:rPr>
          <w:sz w:val="20"/>
          <w:szCs w:val="20"/>
          <w:color w:val="auto"/>
        </w:rPr>
      </w:pPr>
      <w:r>
        <w:rPr>
          <w:rFonts w:ascii="Arial" w:cs="Arial" w:eastAsia="Arial" w:hAnsi="Arial"/>
          <w:sz w:val="17"/>
          <w:szCs w:val="17"/>
          <w:color w:val="auto"/>
        </w:rPr>
        <w:t>Multiple studies in both dystrophic, or mdx, and healthy, or wild-type, mice have demonstrated that a single intravenous administration of SGT-001 induces measurable levels of microdystrophin protein expression. Muscle strength assessments in mild and severe mouse models of Duchenne demonstrated functional improvements in animals treated with SGT-001 in comparison to untreated dystrophic controls. In all studies, microdystrophin protein expression was measured using immunofluorescence, western blot and mass spectrometry.</w:t>
      </w:r>
    </w:p>
    <w:p>
      <w:pPr>
        <w:spacing w:after="0" w:line="171" w:lineRule="exact"/>
        <w:rPr>
          <w:sz w:val="20"/>
          <w:szCs w:val="20"/>
          <w:color w:val="auto"/>
        </w:rPr>
      </w:pPr>
    </w:p>
    <w:p>
      <w:pPr>
        <w:ind w:right="120" w:firstLine="546"/>
        <w:spacing w:after="0" w:line="254" w:lineRule="auto"/>
        <w:rPr>
          <w:sz w:val="20"/>
          <w:szCs w:val="20"/>
          <w:color w:val="auto"/>
        </w:rPr>
      </w:pPr>
      <w:r>
        <w:rPr>
          <w:rFonts w:ascii="Arial" w:cs="Arial" w:eastAsia="Arial" w:hAnsi="Arial"/>
          <w:sz w:val="18"/>
          <w:szCs w:val="18"/>
          <w:color w:val="auto"/>
        </w:rPr>
        <w:t>In an mdx dose-response study, a clear dose-dependent pattern of transgene expression was observed at day 28 by all three assays. As an example, at a dose of 1E14 vg/kg, transgene expression as quantified by positive immunofluorescence staining in the quadriceps and heart muscle tissues was 50% and 80%, respectively, of the full-length dystrophin levels quantified in healthy wild-type control muscles. Similar levels of microdystrophin expression were found in all mdx studies completed to date. Efficacy studies performed in dystrophic mice treated with SGT-001 demonstrated significant, dose-responsive improvements in both muscle morphology and multiple physiological parameters. In a blinded efficacy study performed in mdx mice dosed at approximately six weeks of age, SGT-001 treatment showed statistically significant improvements in multiple muscle strength parameters as well as resistance to treadmill-induced fatigue.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in dystrophic dogs</w:t>
      </w:r>
    </w:p>
    <w:p>
      <w:pPr>
        <w:spacing w:after="0" w:line="117"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Two independent studies in dystrophic dogs assessed durability of microdystrophin expression and efficacy, respectively. These studies were performed in two distinct dystrophic dog models (mixed breed dystrophic dogs, or cDMD, and Golden Retriever Muscular Dystrophy, or GRMD), collectively encompassing a number of genetic mutations that lead to the absence of dystrophin protein. This enabled us to assess SGT-001 across multiple mutations, which is more reflective of the composition of the Duchenne patient population. Both studies used a canine-optimized version of the microdystrophin gene.</w:t>
      </w:r>
    </w:p>
    <w:p>
      <w:pPr>
        <w:spacing w:after="0" w:line="188"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In a long-term dose-ranging study, five three-month-old, juvenile cDMD dogs received an intravenous dose of either 5E13 vg/kg (n=1), 1E14 vg/kg (n=2), 3E14 vg/kg (n=1) or 5E14 vg/kg (n=1). Robust transgene expression was detected by immunofluorescence at all biopsy time points and at all of the dose levels. In animals dosed with 1E14 vg/kg, approximately 70-90% of the muscle fibers were positive for microdystrophin and correlated to the restoration of DGC associated proteins, including nNOS.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 w:name="page13"/>
    <w:bookmarkEnd w:id="12"/>
    <w:p>
      <w:pPr>
        <w:ind w:right="400" w:firstLine="546"/>
        <w:spacing w:after="0" w:line="342" w:lineRule="auto"/>
        <w:rPr>
          <w:sz w:val="20"/>
          <w:szCs w:val="20"/>
          <w:color w:val="auto"/>
        </w:rPr>
      </w:pPr>
      <w:r>
        <w:rPr>
          <w:rFonts w:ascii="Arial" w:cs="Arial" w:eastAsia="Arial" w:hAnsi="Arial"/>
          <w:sz w:val="16"/>
          <w:szCs w:val="16"/>
          <w:color w:val="auto"/>
        </w:rPr>
        <w:t>A blinded dose-ranging study in the GRMD model assessed the general safety and efficacy of the canine construct of SGT-001. The three dose levels (1E13, 1E14 and 2E14 vg/kg) were administered at three months of age and animals were followed for three months following administration.</w:t>
      </w:r>
    </w:p>
    <w:p>
      <w:pPr>
        <w:spacing w:after="0" w:line="124" w:lineRule="exact"/>
        <w:rPr>
          <w:sz w:val="20"/>
          <w:szCs w:val="20"/>
          <w:color w:val="auto"/>
        </w:rPr>
      </w:pPr>
    </w:p>
    <w:p>
      <w:pPr>
        <w:ind w:right="140" w:firstLine="546"/>
        <w:spacing w:after="0" w:line="301" w:lineRule="auto"/>
        <w:rPr>
          <w:sz w:val="20"/>
          <w:szCs w:val="20"/>
          <w:color w:val="auto"/>
        </w:rPr>
      </w:pPr>
      <w:r>
        <w:rPr>
          <w:rFonts w:ascii="Arial" w:cs="Arial" w:eastAsia="Arial" w:hAnsi="Arial"/>
          <w:sz w:val="16"/>
          <w:szCs w:val="16"/>
          <w:color w:val="auto"/>
        </w:rPr>
        <w:t>Dose-dependent transgene expression was detected in interim biopsies of skeletal muscles at day 28 and 45 and at the end of the study at day 91 in skeletal, diaphragm and cardiac muscles. A blinded histological evaluation of the muscle tissue revealed a reduction of dystrophic pathology at the higher dose levels. In the mid- and high-dose groups, all muscles biopsied at the end of the study exhibited improved pathology compared to low dose and untreated controls. Biodistribution studies demonstrated dose dependent transgene expression that was only detectable in the muscle tissues.</w:t>
      </w:r>
    </w:p>
    <w:p>
      <w:pPr>
        <w:spacing w:after="0" w:line="157"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color w:val="auto"/>
        </w:rPr>
        <w:t>The observed dose response was detectable by both immunofluorescence and western blot. Quantification by western blot averaged less than 10% of wild-type in the low-dose (1E13 vg/kg) animals. In the mid-dose animals, the level of expression among the skeletal muscles ranged from an average of approximately 20% to approximately 50% of wild-type control muscles. At 2E14 vg/kg, the level of expression ranged from 30% to 70% of wild-type dystrophin. This data also correlates to quantification of microdystrophin via mass spectrometry.</w:t>
      </w:r>
    </w:p>
    <w:p>
      <w:pPr>
        <w:spacing w:after="0" w:line="171" w:lineRule="exact"/>
        <w:rPr>
          <w:sz w:val="20"/>
          <w:szCs w:val="20"/>
          <w:color w:val="auto"/>
        </w:rPr>
      </w:pPr>
    </w:p>
    <w:p>
      <w:pPr>
        <w:ind w:right="140" w:firstLine="546"/>
        <w:spacing w:after="0" w:line="286" w:lineRule="auto"/>
        <w:rPr>
          <w:sz w:val="20"/>
          <w:szCs w:val="20"/>
          <w:color w:val="auto"/>
        </w:rPr>
      </w:pPr>
      <w:r>
        <w:rPr>
          <w:rFonts w:ascii="Arial" w:cs="Arial" w:eastAsia="Arial" w:hAnsi="Arial"/>
          <w:sz w:val="17"/>
          <w:szCs w:val="17"/>
          <w:color w:val="auto"/>
        </w:rPr>
        <w:t>Dose-dependent, sustained expression of microdystrophin not only correlated with histological improvements in muscle, but also provided statistically significant improvements in measures of muscle function. At day 90, muscle force generation was improved in both the 1E14 vg/kg and 2E14 vg/kg cohorts, indicating that the microdystrophin produced by SGT-001 is highly protective in a large animal dystrophic species.</w:t>
      </w:r>
    </w:p>
    <w:p>
      <w:pPr>
        <w:spacing w:after="0" w:line="165" w:lineRule="exact"/>
        <w:rPr>
          <w:sz w:val="20"/>
          <w:szCs w:val="20"/>
          <w:color w:val="auto"/>
        </w:rPr>
      </w:pPr>
    </w:p>
    <w:p>
      <w:pPr>
        <w:ind w:right="400" w:firstLine="546"/>
        <w:spacing w:after="0" w:line="342" w:lineRule="auto"/>
        <w:rPr>
          <w:sz w:val="20"/>
          <w:szCs w:val="20"/>
          <w:color w:val="auto"/>
        </w:rPr>
      </w:pPr>
      <w:r>
        <w:rPr>
          <w:rFonts w:ascii="Arial" w:cs="Arial" w:eastAsia="Arial" w:hAnsi="Arial"/>
          <w:sz w:val="16"/>
          <w:szCs w:val="16"/>
          <w:color w:val="auto"/>
        </w:rPr>
        <w:t>The efficacy data collectively described above in both dystrophic mouse and dog models was incorporated into an overall nonclinical model to inform dose selection for our clinical program. All doses were well tolerated and there was no observed immune response to the transgene.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comparability</w:t>
      </w:r>
    </w:p>
    <w:p>
      <w:pPr>
        <w:spacing w:after="0" w:line="117" w:lineRule="exact"/>
        <w:rPr>
          <w:sz w:val="20"/>
          <w:szCs w:val="20"/>
          <w:color w:val="auto"/>
        </w:rPr>
      </w:pPr>
    </w:p>
    <w:p>
      <w:pPr>
        <w:ind w:right="240" w:firstLine="546"/>
        <w:spacing w:after="0" w:line="342" w:lineRule="auto"/>
        <w:rPr>
          <w:sz w:val="20"/>
          <w:szCs w:val="20"/>
          <w:color w:val="auto"/>
        </w:rPr>
      </w:pPr>
      <w:r>
        <w:rPr>
          <w:rFonts w:ascii="Arial" w:cs="Arial" w:eastAsia="Arial" w:hAnsi="Arial"/>
          <w:sz w:val="16"/>
          <w:szCs w:val="16"/>
          <w:color w:val="auto"/>
        </w:rPr>
        <w:t xml:space="preserve">As part of our manufacturing process development, we have run comparability studies at each stage of our process scale-up. These comparability studies were carried out using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mouse models to ensure that our drug product produced at different scales is comparable to each other.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17" w:lineRule="exact"/>
        <w:rPr>
          <w:sz w:val="20"/>
          <w:szCs w:val="20"/>
          <w:color w:val="auto"/>
        </w:rPr>
      </w:pPr>
    </w:p>
    <w:p>
      <w:pPr>
        <w:ind w:right="360" w:firstLine="546"/>
        <w:spacing w:after="0" w:line="291" w:lineRule="auto"/>
        <w:rPr>
          <w:sz w:val="20"/>
          <w:szCs w:val="20"/>
          <w:color w:val="auto"/>
        </w:rPr>
      </w:pPr>
      <w:r>
        <w:rPr>
          <w:rFonts w:ascii="Arial" w:cs="Arial" w:eastAsia="Arial" w:hAnsi="Arial"/>
          <w:sz w:val="16"/>
          <w:szCs w:val="16"/>
          <w:color w:val="auto"/>
        </w:rPr>
        <w:t>As part of our preclinical program, we performed necessary good laboratory practices, or GLP, toxicology studies to establish the overall safety profile of SGT-001 in wild-type mice and NHPs. The data and our conclusions from these studies were included in our IND submission to the</w:t>
      </w:r>
    </w:p>
    <w:p>
      <w:pPr>
        <w:spacing w:after="0" w:line="288" w:lineRule="auto"/>
        <w:rPr>
          <w:sz w:val="20"/>
          <w:szCs w:val="20"/>
          <w:color w:val="auto"/>
        </w:rPr>
      </w:pPr>
      <w:r>
        <w:rPr>
          <w:rFonts w:ascii="Arial" w:cs="Arial" w:eastAsia="Arial" w:hAnsi="Arial"/>
          <w:sz w:val="16"/>
          <w:szCs w:val="16"/>
          <w:color w:val="auto"/>
        </w:rPr>
        <w:t>FDA. Systemic administration of SGT-001 was generally well tolerated in both species. We observed no evidence of test-article-related toxicity for up to 13 weeks after systemic administration of SGT-001 in either species that would prevent us from initiating clinical trials. In the NHP study, test-article-related effects were self-limited, mild chemistry and hematology changes with no microscopic correlates at the end of the study. There was a transient and asymptomatic increase in liver function enzymes observed in NHPs starting on day 9, which returned to normal levels by day 21. We believe there were no other relevant test-article-related adverse events associated with SGT-001 administration in either GLP study. In the NHP toxicology study, a single animal from the high dose cohort was euthanized after it did not recover from an anesthetic procedure. We believe this event was attributed to procedural errors. However, AAV vector cannot be completely ruled out as a contributing factor to the toxicity that gave rise to the event.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SGT-001</w:t>
      </w:r>
    </w:p>
    <w:p>
      <w:pPr>
        <w:spacing w:after="0" w:line="117" w:lineRule="exact"/>
        <w:rPr>
          <w:sz w:val="20"/>
          <w:szCs w:val="20"/>
          <w:color w:val="auto"/>
        </w:rPr>
      </w:pPr>
    </w:p>
    <w:p>
      <w:pPr>
        <w:ind w:right="60" w:firstLine="546"/>
        <w:spacing w:after="0" w:line="289" w:lineRule="auto"/>
        <w:rPr>
          <w:sz w:val="20"/>
          <w:szCs w:val="20"/>
          <w:color w:val="auto"/>
        </w:rPr>
      </w:pPr>
      <w:r>
        <w:rPr>
          <w:rFonts w:ascii="Arial" w:cs="Arial" w:eastAsia="Arial" w:hAnsi="Arial"/>
          <w:sz w:val="16"/>
          <w:szCs w:val="16"/>
          <w:color w:val="auto"/>
        </w:rPr>
        <w:t>We are developing SGT-001 for the treatment of Duchenne through a single intravenous administration. In the fourth quarter of 2017, we announced the initiation of IGNITE DMD, as a randomized, controlled, open-label, single-ascending dose Phase I/II clinical trial designed to evaluate SGT-001 in ambulatory and non-ambulatory males with Duchenne aged four to 17 years. The primary objectives of IGNITE DMD are to assess the safety and tolerability of SGT-001, as well as efficacy as defined by microdystrophin protein expression. The clinical trial is also designed to assess muscle function and mass, respiratory and cardiovascular function, serum and muscle biomarkers associated with microdystrophin production, SGT-001 microdystrophin associated biochemical properties (e.g., nNOS binding), functional outcome, patient and parent reported outcomes and quality of life measures, among other endpoints. Key inclusion criteria include established clinical diagnosis of Duchenne and documented dystrophin gene mutation predictive of Duchenne phenotype; anti-AAV9 antibodies below pre-specified thresholds; stable cardiac and pulmonary function; and a stable daily dose of oral corticosteroids for 12 weeks. There is no enrollment restriction in the clinical trial protocol based on a patient’s underlying dystrophin gene mutation.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40" w:firstLine="546"/>
        <w:spacing w:after="0" w:line="255" w:lineRule="auto"/>
        <w:rPr>
          <w:sz w:val="20"/>
          <w:szCs w:val="20"/>
          <w:color w:val="auto"/>
        </w:rPr>
      </w:pPr>
      <w:r>
        <w:rPr>
          <w:rFonts w:ascii="Arial" w:cs="Arial" w:eastAsia="Arial" w:hAnsi="Arial"/>
          <w:sz w:val="18"/>
          <w:szCs w:val="18"/>
          <w:color w:val="auto"/>
        </w:rPr>
        <w:t>In the current IGNITE DMD protocol, as amended, participants are all assigned to open label treatment with SGT-001. The selection of the original starting dose in our first cohort, 5E13 vg/kg, was based on safety and efficacy data observed in our preclinical studies. Dose escalation and decisions regarding clinical trial progression occur after review by the data safety monitoring board, or the DSMB. Efficacy is being assessed by comparing microdystrophin protein expression in muscle biopsy before and 12 months after infusion for each patient. An intermediate biopsy at either 45 days, three months, six months or nine months will inform the time course of microdystrophin expression. Long-term follow up will continue per regulatory guidelines.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Patient Dosing and U.S. Regulatory Engagement</w:t>
      </w:r>
    </w:p>
    <w:p>
      <w:pPr>
        <w:spacing w:after="0" w:line="225" w:lineRule="exact"/>
        <w:rPr>
          <w:sz w:val="20"/>
          <w:szCs w:val="20"/>
          <w:color w:val="auto"/>
        </w:rPr>
      </w:pPr>
    </w:p>
    <w:p>
      <w:pPr>
        <w:ind w:right="340" w:firstLine="546"/>
        <w:spacing w:after="0" w:line="277" w:lineRule="auto"/>
        <w:rPr>
          <w:sz w:val="20"/>
          <w:szCs w:val="20"/>
          <w:color w:val="auto"/>
        </w:rPr>
      </w:pPr>
      <w:r>
        <w:rPr>
          <w:rFonts w:ascii="Arial" w:cs="Arial" w:eastAsia="Arial" w:hAnsi="Arial"/>
          <w:sz w:val="18"/>
          <w:szCs w:val="18"/>
          <w:color w:val="auto"/>
        </w:rPr>
        <w:t>To date, nine patients have been dosed in IGNITE DMD with SGT-001. The first three patients were infused with 5E13 vg/kg of SGT-001 (low dose cohort). The subsequent six patients were all dosed in the high dose cohort at 2E14vg/kg of SGT-001.</w:t>
      </w:r>
    </w:p>
    <w:p>
      <w:pPr>
        <w:spacing w:after="0" w:line="170" w:lineRule="exact"/>
        <w:rPr>
          <w:sz w:val="20"/>
          <w:szCs w:val="20"/>
          <w:color w:val="auto"/>
        </w:rPr>
      </w:pPr>
    </w:p>
    <w:p>
      <w:pPr>
        <w:ind w:right="160" w:firstLine="546"/>
        <w:spacing w:after="0" w:line="257" w:lineRule="auto"/>
        <w:rPr>
          <w:sz w:val="20"/>
          <w:szCs w:val="20"/>
          <w:color w:val="auto"/>
        </w:rPr>
      </w:pPr>
      <w:r>
        <w:rPr>
          <w:rFonts w:ascii="Arial" w:cs="Arial" w:eastAsia="Arial" w:hAnsi="Arial"/>
          <w:sz w:val="18"/>
          <w:szCs w:val="18"/>
          <w:color w:val="auto"/>
        </w:rPr>
        <w:t>In November 2019, we announced that the third patient in the 2E14 vg/kg cohort of IGNITE DMD, dosed in late October 2019, experienced an SAE deemed related to the study drug and that IGNITE DMD was placed on clinical hold by the FDA as a result of the SAE. The SAE was characterized by complement activation, thrombocytopenia, a decrease in red blood cell count, acute kidney injury, and cardio-pulmonary insufficiency. Neither cytokine- nor coagulopathy-related abnormalities were observed. In December 2019, we reported that the SAE had fully resolved and the patient had resumed his normal activities.</w:t>
      </w:r>
    </w:p>
    <w:p>
      <w:pPr>
        <w:spacing w:after="0" w:line="188" w:lineRule="exact"/>
        <w:rPr>
          <w:sz w:val="20"/>
          <w:szCs w:val="20"/>
          <w:color w:val="auto"/>
        </w:rPr>
      </w:pPr>
    </w:p>
    <w:p>
      <w:pPr>
        <w:ind w:right="40" w:firstLine="546"/>
        <w:spacing w:after="0" w:line="287" w:lineRule="auto"/>
        <w:rPr>
          <w:sz w:val="20"/>
          <w:szCs w:val="20"/>
          <w:color w:val="auto"/>
        </w:rPr>
      </w:pPr>
      <w:r>
        <w:rPr>
          <w:rFonts w:ascii="Arial" w:cs="Arial" w:eastAsia="Arial" w:hAnsi="Arial"/>
          <w:sz w:val="16"/>
          <w:szCs w:val="16"/>
          <w:color w:val="auto"/>
        </w:rPr>
        <w:t>In April 2020, we submitted a response to the FDA that included changes to the clinical protocol designed to enhance patient safety, as well as information related to improvements to our manufacturing process. The FDA responded by maintaining the clinical hold and requesting further data and analyses relating to this manufacturing process. In June 2020, we submitted a response to the FDA that provided data related to manufacturing process improvements. In July 2020, we announced that the FDA responded by maintaining the clinical hold and requesting further manufacturing information and updated safety and efficacy data for all patients dosed in the trial, as well as providing direction on the total viral load to be administered per patient. In October 2020, we announced that the FDA lifted the clinical hold placed on IGNITE DMD. In connection with the lifting of the clinical hold, we determined to reduce the maximum weight of the next two patients dosed in IGNITE DMD to 18 kg per patient, with safety outcomes from these two patients driving potential weight increase of patients dosed subsequently. This reduction, in conjunction with the delivery of fewer viral particles as a result of our manufacturing process improvements, will reduce patients’ total viral load while continuing dosing at the 2E14 vg/kg dose. Additionally, to mitigate the risk of serious drug-related adverse events, we amended the IGNITE DMD clinical protocol to include the prophylactic use of both anti-complement inhibitor eculizumab and C1 esterase inhibitor, and increase the prednisone dose in the first month post dosing.</w:t>
      </w:r>
    </w:p>
    <w:p>
      <w:pPr>
        <w:spacing w:after="0" w:line="172"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In March 2021, we announced that Patient 7 was safely dosed with SGT-001 in the 2E14 vg/kg cohort under the amended clinical protocol, with transient and manageable adverse events, none of which were serious.</w:t>
      </w:r>
    </w:p>
    <w:p>
      <w:pPr>
        <w:spacing w:after="0" w:line="170"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In April 2021, Patient 8 was treated with SGT-001 in the 2E14 vg/kg cohort. The patient experienced a systemic inflammatory response which has since fully resolved. The event was classified as a serious adverse event and considered by the investigator to be drug related. This type of event is described in our Investigators Brochure and is not considered unexpected. Following dosing, we conducted an extensive review of all IGNITE DMD clinical data, resulting in an amended protocol with a strengthened risk mitigation plan including an optimized eculizumab regimen utilized prophylactically and in the first two weeks, elimination of the C1 esterase inhibitor, and new patient monitoring guidance, all of which was submitted to the FDA.</w:t>
      </w:r>
    </w:p>
    <w:p>
      <w:pPr>
        <w:spacing w:after="0" w:line="192" w:lineRule="exact"/>
        <w:rPr>
          <w:sz w:val="20"/>
          <w:szCs w:val="20"/>
          <w:color w:val="auto"/>
        </w:rPr>
      </w:pPr>
    </w:p>
    <w:p>
      <w:pPr>
        <w:ind w:right="420" w:firstLine="546"/>
        <w:spacing w:after="0" w:line="277" w:lineRule="auto"/>
        <w:rPr>
          <w:sz w:val="20"/>
          <w:szCs w:val="20"/>
          <w:color w:val="auto"/>
        </w:rPr>
      </w:pPr>
      <w:r>
        <w:rPr>
          <w:rFonts w:ascii="Arial" w:cs="Arial" w:eastAsia="Arial" w:hAnsi="Arial"/>
          <w:sz w:val="18"/>
          <w:szCs w:val="18"/>
          <w:color w:val="auto"/>
        </w:rPr>
        <w:t>In January 2022, we announced that in November 2021 Patient 9 was safely dosed with SGT-001 in the 2E14 vg/kg cohort under the amended clinical protocol, with transient and manageable adverse events, none of which were serious.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 new drug-related safety findings have been identified in Patients 1-9 through nine in post-dosing periods of 90 days to approximately four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follow dosed patients and collect data to support the potential benefit from dosing with SGT-001.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w:t>
      </w:r>
    </w:p>
    <w:p>
      <w:pPr>
        <w:spacing w:after="0" w:line="225"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In February 2019, we announced preliminary findings based on three-month biopsy data from the first three patients dosed with 5E13 vg/kg of SGT-001, the lowest dose outlined in the trial protocol. In one patient, SGT-001 microdystrophin was detected via western blot below the five percent level of quantification, or BLQ, of the assay and in approximately 10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right="40"/>
        <w:spacing w:after="0" w:line="259" w:lineRule="auto"/>
        <w:rPr>
          <w:sz w:val="20"/>
          <w:szCs w:val="20"/>
          <w:color w:val="auto"/>
        </w:rPr>
      </w:pPr>
      <w:r>
        <w:rPr>
          <w:rFonts w:ascii="Arial" w:cs="Arial" w:eastAsia="Arial" w:hAnsi="Arial"/>
          <w:sz w:val="18"/>
          <w:szCs w:val="18"/>
          <w:color w:val="auto"/>
        </w:rPr>
        <w:t>percent of fibers via immunofluorescence. Due to these findings, and in consultation with the DSMB, in May 2019 we announced that we had initiated dosing of the next cohort of patients at 2E14 vg/kg. In August 2019, we amended our protocol to remove the matched patient control arm for the rest of the 2E14 vg/kg cohort in the IGNITE DMD trial and to provide measures to potentially improve safety, such as initially proceeding to dose patients weighing 25 kg or less.</w:t>
      </w:r>
    </w:p>
    <w:p>
      <w:pPr>
        <w:spacing w:after="0" w:line="187"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In December 2019, we announced preliminary findings based on three-month biopsy data from the first two patients dosed with 2E14 vg/kg of SGT-001 (Patients 4 and 5). Using two independent immunofluorescence assays, 10% to 20% of microdystrophin positive muscle fibers were determined to express SGT-001 microdystrophin in Patient 4 and 50% to 70% of microdystrophin positive muscle fibers in Patient 5. Immunofluorescence also showed clear stabilization and co-localization of nNOS and beta-sarcoglycan with SGT-001 microdystrophin in both patients. Using western blot, the expression levels for Patient 4 were detectable and estimated to be near the assay’s level of quantification which is 5% of non-dystrophic control samples, with one assay replicate at 5.5%. Expression for Patient 5 was 17.5% of normal control samples. The levels of serum creatine kinase, a highly variable biochemical marker of muscle damage, declined from baseline in both patients.</w:t>
      </w:r>
    </w:p>
    <w:p>
      <w:pPr>
        <w:spacing w:after="0" w:line="177"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color w:val="auto"/>
        </w:rPr>
        <w:t>In March 2020, we announced data from the third patient dosed in the 2E14 vg/kg dose cohort of IGNITE DMD (Patient 6), including three-month biopsy data. Using immunofluorescence assays, 50% to 70% of the muscle fibers were determined to express SGT-001 microdystrophin. Immunofluorescence also showed stabilization and co-localization of nNOS and beta-sarcoglycan with SGT-001 microdystrophin. Using western blot, microdystrophin expression was 8% of normal control samples. In addition, the level of serum creatine kinase decreased from baseline.</w:t>
      </w:r>
    </w:p>
    <w:p>
      <w:pPr>
        <w:spacing w:after="0" w:line="171" w:lineRule="exact"/>
        <w:rPr>
          <w:sz w:val="20"/>
          <w:szCs w:val="20"/>
          <w:color w:val="auto"/>
        </w:rPr>
      </w:pPr>
    </w:p>
    <w:p>
      <w:pPr>
        <w:ind w:right="220" w:firstLine="546"/>
        <w:spacing w:after="0" w:line="255" w:lineRule="auto"/>
        <w:rPr>
          <w:sz w:val="20"/>
          <w:szCs w:val="20"/>
          <w:color w:val="auto"/>
        </w:rPr>
      </w:pPr>
      <w:r>
        <w:rPr>
          <w:rFonts w:ascii="Arial" w:cs="Arial" w:eastAsia="Arial" w:hAnsi="Arial"/>
          <w:sz w:val="18"/>
          <w:szCs w:val="18"/>
          <w:color w:val="auto"/>
        </w:rPr>
        <w:t>In March 2021 and September 2021, we announced interim data collected from the first six patients dosed in IGNITE DMD twelve months after treatment, including data from three patients (Patients 4-6) dosed at the high dose (2E14 vg/kg). Data from the delayed treatment cohort, analyzed as an untreated control cohort, was evaluated as was representative natural history data. The average age at baseline of Patients 4-6 was 8.4 years. Functional data collected included 6MWT, NSAA and PFTs, which provided evidence of potential benefit in functional endpoints one year after a single infusion of SGT-001 at a dose of 2E14 vg/kg. This data demonstrated stable or improved function compared to both baseline and natural history over the same time period.</w:t>
      </w:r>
    </w:p>
    <w:p>
      <w:pPr>
        <w:spacing w:after="0" w:line="192"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PROM assessments using the PODCI revealed a trend towards dose-response improvements in motor function subscales and fatigability assessments 12-months following infusion with SGT-001, providing real-world evidence to support the clinical and biomarker findings of varying degrees of benefit in high dose patients.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March 2021 data also included the following biomarker data:</w:t>
      </w:r>
    </w:p>
    <w:p>
      <w:pPr>
        <w:spacing w:after="0" w:line="117" w:lineRule="exact"/>
        <w:rPr>
          <w:sz w:val="20"/>
          <w:szCs w:val="20"/>
          <w:color w:val="auto"/>
        </w:rPr>
      </w:pPr>
    </w:p>
    <w:p>
      <w:pPr>
        <w:ind w:left="960" w:right="120" w:hanging="41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Biopsies of skeletal muscle three months after a single infusion of SGT-001 at a dose of 2E14vg/kg, demonstrated widespread distribution of microdystrophin-positive muscle fibers with co-localization of nNOS and β-sarcoglycan;</w:t>
      </w:r>
    </w:p>
    <w:p>
      <w:pPr>
        <w:spacing w:after="0" w:line="62" w:lineRule="exact"/>
        <w:rPr>
          <w:rFonts w:ascii="Arial" w:cs="Arial" w:eastAsia="Arial" w:hAnsi="Arial"/>
          <w:sz w:val="18"/>
          <w:szCs w:val="18"/>
          <w:color w:val="auto"/>
        </w:rPr>
      </w:pPr>
    </w:p>
    <w:p>
      <w:pPr>
        <w:ind w:left="960" w:right="100" w:hanging="412"/>
        <w:spacing w:after="0" w:line="25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CK assessments of the six patients provided physiological evidence of a positive or stabilizing effect after one year of treatment with a single high dose infusion of SGT-001. An average sustained CK decline of approximately 50% in patients in the high dose cohort was observed. In the low dose cohort, an average CK increase of approximately 166% was observed, and in the control group an average CK increase of approximately 17% was observed.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tables summarize the interim efficacy results for patients in IGNITE DMD at 12-months post-dosing: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12-Month Interim Efficacy Results of IGNITE DMD for Patients 1-3 (5E13 vg/kg cohort)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19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Mean Change</w:t>
            </w:r>
          </w:p>
        </w:tc>
        <w:tc>
          <w:tcPr>
            <w:tcW w:w="2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Mean Difference vs</w:t>
            </w:r>
          </w:p>
        </w:tc>
        <w:tc>
          <w:tcPr>
            <w:tcW w:w="1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0"/>
              </w:rPr>
              <w:t>Mean Difference vs</w:t>
            </w:r>
          </w:p>
        </w:tc>
        <w:tc>
          <w:tcPr>
            <w:tcW w:w="0" w:type="dxa"/>
            <w:vAlign w:val="bottom"/>
          </w:tcPr>
          <w:p>
            <w:pPr>
              <w:spacing w:after="0"/>
              <w:rPr>
                <w:sz w:val="1"/>
                <w:szCs w:val="1"/>
                <w:color w:val="auto"/>
              </w:rPr>
            </w:pPr>
          </w:p>
        </w:tc>
      </w:tr>
      <w:tr>
        <w:trPr>
          <w:trHeight w:val="108"/>
        </w:trPr>
        <w:tc>
          <w:tcPr>
            <w:tcW w:w="4940" w:type="dxa"/>
            <w:vAlign w:val="bottom"/>
          </w:tcPr>
          <w:p>
            <w:pPr>
              <w:spacing w:after="0"/>
              <w:rPr>
                <w:sz w:val="9"/>
                <w:szCs w:val="9"/>
                <w:color w:val="auto"/>
              </w:rPr>
            </w:pPr>
          </w:p>
        </w:tc>
        <w:tc>
          <w:tcPr>
            <w:tcW w:w="190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89"/>
              </w:rPr>
              <w:t>from Baseline</w:t>
            </w:r>
          </w:p>
        </w:tc>
        <w:tc>
          <w:tcPr>
            <w:tcW w:w="242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4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2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Untreated Control Cohort</w:t>
            </w:r>
          </w:p>
        </w:tc>
        <w:tc>
          <w:tcPr>
            <w:tcW w:w="1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6"/>
              </w:rPr>
              <w:t>Natural History</w:t>
            </w:r>
          </w:p>
        </w:tc>
        <w:tc>
          <w:tcPr>
            <w:tcW w:w="0" w:type="dxa"/>
            <w:vAlign w:val="bottom"/>
          </w:tcPr>
          <w:p>
            <w:pPr>
              <w:spacing w:after="0"/>
              <w:rPr>
                <w:sz w:val="1"/>
                <w:szCs w:val="1"/>
                <w:color w:val="auto"/>
              </w:rPr>
            </w:pPr>
          </w:p>
        </w:tc>
      </w:tr>
      <w:tr>
        <w:trPr>
          <w:trHeight w:val="126"/>
        </w:trPr>
        <w:tc>
          <w:tcPr>
            <w:tcW w:w="4940" w:type="dxa"/>
            <w:vAlign w:val="bottom"/>
          </w:tcPr>
          <w:p>
            <w:pPr>
              <w:spacing w:after="0"/>
              <w:rPr>
                <w:sz w:val="10"/>
                <w:szCs w:val="10"/>
                <w:color w:val="auto"/>
              </w:rPr>
            </w:pPr>
          </w:p>
        </w:tc>
        <w:tc>
          <w:tcPr>
            <w:tcW w:w="1900" w:type="dxa"/>
            <w:vAlign w:val="bottom"/>
            <w:vMerge w:val="restart"/>
          </w:tcPr>
          <w:p>
            <w:pPr>
              <w:jc w:val="center"/>
              <w:ind w:left="110"/>
              <w:spacing w:after="0"/>
              <w:rPr>
                <w:sz w:val="20"/>
                <w:szCs w:val="20"/>
                <w:color w:val="auto"/>
              </w:rPr>
            </w:pPr>
            <w:r>
              <w:rPr>
                <w:rFonts w:ascii="Arial" w:cs="Arial" w:eastAsia="Arial" w:hAnsi="Arial"/>
                <w:sz w:val="18"/>
                <w:szCs w:val="18"/>
                <w:b w:val="1"/>
                <w:bCs w:val="1"/>
                <w:color w:val="auto"/>
                <w:w w:val="92"/>
              </w:rPr>
              <w:t>(Range)</w:t>
            </w:r>
          </w:p>
        </w:tc>
        <w:tc>
          <w:tcPr>
            <w:tcW w:w="242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40" w:type="dxa"/>
            <w:vAlign w:val="bottom"/>
          </w:tcPr>
          <w:p>
            <w:pPr>
              <w:spacing w:after="0"/>
              <w:rPr>
                <w:sz w:val="9"/>
                <w:szCs w:val="9"/>
                <w:color w:val="auto"/>
              </w:rPr>
            </w:pPr>
          </w:p>
        </w:tc>
        <w:tc>
          <w:tcPr>
            <w:tcW w:w="1900" w:type="dxa"/>
            <w:vAlign w:val="bottom"/>
            <w:tcBorders>
              <w:bottom w:val="single" w:sz="8" w:color="auto"/>
            </w:tcBorders>
            <w:vMerge w:val="continue"/>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tcPr>
          <w:p>
            <w:pPr>
              <w:spacing w:after="0"/>
              <w:rPr>
                <w:sz w:val="19"/>
                <w:szCs w:val="19"/>
                <w:color w:val="auto"/>
              </w:rPr>
            </w:pPr>
          </w:p>
        </w:tc>
        <w:tc>
          <w:tcPr>
            <w:tcW w:w="6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Mean Age at Baseline: 8.9 years (Range: 5.2 to 14.4 years)</w:t>
            </w: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6 Minute Walk Test (meter)</w:t>
            </w:r>
          </w:p>
        </w:tc>
        <w:tc>
          <w:tcPr>
            <w:tcW w:w="1900" w:type="dxa"/>
            <w:vAlign w:val="bottom"/>
            <w:shd w:val="clear" w:color="auto" w:fill="CFF0FC"/>
          </w:tcPr>
          <w:p>
            <w:pPr>
              <w:jc w:val="center"/>
              <w:ind w:left="110"/>
              <w:spacing w:after="0"/>
              <w:rPr>
                <w:sz w:val="20"/>
                <w:szCs w:val="20"/>
                <w:color w:val="auto"/>
              </w:rPr>
            </w:pPr>
            <w:r>
              <w:rPr>
                <w:rFonts w:ascii="Arial" w:cs="Arial" w:eastAsia="Arial" w:hAnsi="Arial"/>
                <w:sz w:val="18"/>
                <w:szCs w:val="18"/>
                <w:color w:val="auto"/>
                <w:w w:val="90"/>
              </w:rPr>
              <w:t>37.0 (12 to 62)</w:t>
            </w:r>
          </w:p>
        </w:tc>
        <w:tc>
          <w:tcPr>
            <w:tcW w:w="2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+45.5</w:t>
            </w:r>
          </w:p>
        </w:tc>
        <w:tc>
          <w:tcPr>
            <w:tcW w:w="19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3"/>
              </w:rPr>
              <w:t>+79.3</w:t>
            </w:r>
            <w:r>
              <w:rPr>
                <w:rFonts w:ascii="Arial" w:cs="Arial" w:eastAsia="Arial" w:hAnsi="Arial"/>
                <w:sz w:val="15"/>
                <w:szCs w:val="15"/>
                <w:color w:val="auto"/>
                <w:w w:val="93"/>
              </w:rPr>
              <w:t>(1)</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North Star Ambulatory Assessment (units)</w:t>
            </w:r>
          </w:p>
        </w:tc>
        <w:tc>
          <w:tcPr>
            <w:tcW w:w="1900" w:type="dxa"/>
            <w:vAlign w:val="bottom"/>
          </w:tcPr>
          <w:p>
            <w:pPr>
              <w:jc w:val="center"/>
              <w:ind w:left="110"/>
              <w:spacing w:after="0"/>
              <w:rPr>
                <w:sz w:val="20"/>
                <w:szCs w:val="20"/>
                <w:color w:val="auto"/>
              </w:rPr>
            </w:pPr>
            <w:r>
              <w:rPr>
                <w:rFonts w:ascii="Arial" w:cs="Arial" w:eastAsia="Arial" w:hAnsi="Arial"/>
                <w:sz w:val="18"/>
                <w:szCs w:val="18"/>
                <w:color w:val="auto"/>
                <w:w w:val="92"/>
              </w:rPr>
              <w:t>1.0 (-3 to 5)</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980" w:type="dxa"/>
            <w:vAlign w:val="bottom"/>
          </w:tcPr>
          <w:p>
            <w:pPr>
              <w:jc w:val="center"/>
              <w:ind w:right="50"/>
              <w:spacing w:after="0"/>
              <w:rPr>
                <w:sz w:val="20"/>
                <w:szCs w:val="20"/>
                <w:color w:val="auto"/>
              </w:rPr>
            </w:pPr>
            <w:r>
              <w:rPr>
                <w:rFonts w:ascii="Arial" w:cs="Arial" w:eastAsia="Arial" w:hAnsi="Arial"/>
                <w:sz w:val="18"/>
                <w:szCs w:val="18"/>
                <w:color w:val="auto"/>
                <w:w w:val="96"/>
              </w:rPr>
              <w:t>+4.0</w:t>
            </w:r>
            <w:r>
              <w:rPr>
                <w:rFonts w:ascii="Arial" w:cs="Arial" w:eastAsia="Arial" w:hAnsi="Arial"/>
                <w:sz w:val="15"/>
                <w:szCs w:val="15"/>
                <w:color w:val="auto"/>
                <w:w w:val="96"/>
              </w:rPr>
              <w:t>(2)</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Forced Vital Capacity (%p)</w:t>
            </w:r>
          </w:p>
        </w:tc>
        <w:tc>
          <w:tcPr>
            <w:tcW w:w="1900" w:type="dxa"/>
            <w:vAlign w:val="bottom"/>
            <w:shd w:val="clear" w:color="auto" w:fill="CFF0FC"/>
          </w:tcPr>
          <w:p>
            <w:pPr>
              <w:jc w:val="center"/>
              <w:ind w:left="110"/>
              <w:spacing w:after="0"/>
              <w:rPr>
                <w:sz w:val="20"/>
                <w:szCs w:val="20"/>
                <w:color w:val="auto"/>
              </w:rPr>
            </w:pPr>
            <w:r>
              <w:rPr>
                <w:rFonts w:ascii="Arial" w:cs="Arial" w:eastAsia="Arial" w:hAnsi="Arial"/>
                <w:sz w:val="18"/>
                <w:szCs w:val="18"/>
                <w:color w:val="auto"/>
                <w:w w:val="92"/>
              </w:rPr>
              <w:t>3.9 (-2.4 to 8.9)</w:t>
            </w:r>
          </w:p>
        </w:tc>
        <w:tc>
          <w:tcPr>
            <w:tcW w:w="2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+14.6</w:t>
            </w:r>
          </w:p>
        </w:tc>
        <w:tc>
          <w:tcPr>
            <w:tcW w:w="19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6"/>
              </w:rPr>
              <w:t>+8.9</w:t>
            </w:r>
            <w:r>
              <w:rPr>
                <w:rFonts w:ascii="Arial" w:cs="Arial" w:eastAsia="Arial" w:hAnsi="Arial"/>
                <w:sz w:val="15"/>
                <w:szCs w:val="15"/>
                <w:color w:val="auto"/>
                <w:w w:val="96"/>
              </w:rPr>
              <w:t>(3)</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Peak Expiratory Flow (%p)</w:t>
            </w:r>
          </w:p>
        </w:tc>
        <w:tc>
          <w:tcPr>
            <w:tcW w:w="1900" w:type="dxa"/>
            <w:vAlign w:val="bottom"/>
          </w:tcPr>
          <w:p>
            <w:pPr>
              <w:jc w:val="center"/>
              <w:ind w:left="110"/>
              <w:spacing w:after="0"/>
              <w:rPr>
                <w:sz w:val="20"/>
                <w:szCs w:val="20"/>
                <w:color w:val="auto"/>
              </w:rPr>
            </w:pPr>
            <w:r>
              <w:rPr>
                <w:rFonts w:ascii="Arial" w:cs="Arial" w:eastAsia="Arial" w:hAnsi="Arial"/>
                <w:sz w:val="18"/>
                <w:szCs w:val="18"/>
                <w:color w:val="auto"/>
                <w:w w:val="91"/>
              </w:rPr>
              <w:t>20.5 (2.5 to 38.5)</w:t>
            </w:r>
          </w:p>
        </w:tc>
        <w:tc>
          <w:tcPr>
            <w:tcW w:w="2420" w:type="dxa"/>
            <w:vAlign w:val="bottom"/>
          </w:tcPr>
          <w:p>
            <w:pPr>
              <w:jc w:val="center"/>
              <w:spacing w:after="0"/>
              <w:rPr>
                <w:sz w:val="20"/>
                <w:szCs w:val="20"/>
                <w:color w:val="auto"/>
              </w:rPr>
            </w:pPr>
            <w:r>
              <w:rPr>
                <w:rFonts w:ascii="Arial" w:cs="Arial" w:eastAsia="Arial" w:hAnsi="Arial"/>
                <w:sz w:val="18"/>
                <w:szCs w:val="18"/>
                <w:color w:val="auto"/>
                <w:w w:val="87"/>
              </w:rPr>
              <w:t>+30.2</w:t>
            </w:r>
          </w:p>
        </w:tc>
        <w:tc>
          <w:tcPr>
            <w:tcW w:w="1980" w:type="dxa"/>
            <w:vAlign w:val="bottom"/>
          </w:tcPr>
          <w:p>
            <w:pPr>
              <w:jc w:val="center"/>
              <w:ind w:right="50"/>
              <w:spacing w:after="0"/>
              <w:rPr>
                <w:sz w:val="20"/>
                <w:szCs w:val="20"/>
                <w:color w:val="auto"/>
              </w:rPr>
            </w:pPr>
            <w:r>
              <w:rPr>
                <w:rFonts w:ascii="Arial" w:cs="Arial" w:eastAsia="Arial" w:hAnsi="Arial"/>
                <w:sz w:val="18"/>
                <w:szCs w:val="18"/>
                <w:color w:val="auto"/>
                <w:w w:val="93"/>
              </w:rPr>
              <w:t>+25.5</w:t>
            </w:r>
            <w:r>
              <w:rPr>
                <w:rFonts w:ascii="Arial" w:cs="Arial" w:eastAsia="Arial" w:hAnsi="Arial"/>
                <w:sz w:val="15"/>
                <w:szCs w:val="15"/>
                <w:color w:val="auto"/>
                <w:w w:val="93"/>
              </w:rPr>
              <w:t>(4)</w:t>
            </w: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Forced Expiratory Volume in One Second (%p)</w:t>
            </w:r>
          </w:p>
        </w:tc>
        <w:tc>
          <w:tcPr>
            <w:tcW w:w="1900" w:type="dxa"/>
            <w:vAlign w:val="bottom"/>
            <w:shd w:val="clear" w:color="auto" w:fill="CFF0FC"/>
          </w:tcPr>
          <w:p>
            <w:pPr>
              <w:jc w:val="center"/>
              <w:ind w:left="90"/>
              <w:spacing w:after="0"/>
              <w:rPr>
                <w:sz w:val="20"/>
                <w:szCs w:val="20"/>
                <w:color w:val="auto"/>
              </w:rPr>
            </w:pPr>
            <w:r>
              <w:rPr>
                <w:rFonts w:ascii="Arial" w:cs="Arial" w:eastAsia="Arial" w:hAnsi="Arial"/>
                <w:sz w:val="18"/>
                <w:szCs w:val="18"/>
                <w:color w:val="auto"/>
                <w:w w:val="91"/>
              </w:rPr>
              <w:t>8.9 (4.3 to 13.4)</w:t>
            </w:r>
          </w:p>
        </w:tc>
        <w:tc>
          <w:tcPr>
            <w:tcW w:w="2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+21.5</w:t>
            </w:r>
          </w:p>
        </w:tc>
        <w:tc>
          <w:tcPr>
            <w:tcW w:w="19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4"/>
              </w:rPr>
              <w:t>Not Available</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PODCI Global Function (points)</w:t>
            </w:r>
          </w:p>
        </w:tc>
        <w:tc>
          <w:tcPr>
            <w:tcW w:w="1900" w:type="dxa"/>
            <w:vAlign w:val="bottom"/>
          </w:tcPr>
          <w:p>
            <w:pPr>
              <w:jc w:val="center"/>
              <w:ind w:left="110"/>
              <w:spacing w:after="0"/>
              <w:rPr>
                <w:sz w:val="20"/>
                <w:szCs w:val="20"/>
                <w:color w:val="auto"/>
              </w:rPr>
            </w:pPr>
            <w:r>
              <w:rPr>
                <w:rFonts w:ascii="Arial" w:cs="Arial" w:eastAsia="Arial" w:hAnsi="Arial"/>
                <w:sz w:val="18"/>
                <w:szCs w:val="18"/>
                <w:color w:val="auto"/>
                <w:w w:val="91"/>
              </w:rPr>
              <w:t>11.0 (6 to 18)</w:t>
            </w:r>
          </w:p>
        </w:tc>
        <w:tc>
          <w:tcPr>
            <w:tcW w:w="2420" w:type="dxa"/>
            <w:vAlign w:val="bottom"/>
          </w:tcPr>
          <w:p>
            <w:pPr>
              <w:jc w:val="center"/>
              <w:spacing w:after="0"/>
              <w:rPr>
                <w:sz w:val="20"/>
                <w:szCs w:val="20"/>
                <w:color w:val="auto"/>
              </w:rPr>
            </w:pPr>
            <w:r>
              <w:rPr>
                <w:rFonts w:ascii="Arial" w:cs="Arial" w:eastAsia="Arial" w:hAnsi="Arial"/>
                <w:sz w:val="18"/>
                <w:szCs w:val="18"/>
                <w:color w:val="auto"/>
                <w:w w:val="87"/>
              </w:rPr>
              <w:t>+25.0</w:t>
            </w:r>
          </w:p>
        </w:tc>
        <w:tc>
          <w:tcPr>
            <w:tcW w:w="1980" w:type="dxa"/>
            <w:vAlign w:val="bottom"/>
          </w:tcPr>
          <w:p>
            <w:pPr>
              <w:jc w:val="center"/>
              <w:ind w:right="50"/>
              <w:spacing w:after="0"/>
              <w:rPr>
                <w:sz w:val="20"/>
                <w:szCs w:val="20"/>
                <w:color w:val="auto"/>
              </w:rPr>
            </w:pPr>
            <w:r>
              <w:rPr>
                <w:rFonts w:ascii="Arial" w:cs="Arial" w:eastAsia="Arial" w:hAnsi="Arial"/>
                <w:sz w:val="18"/>
                <w:szCs w:val="18"/>
                <w:color w:val="auto"/>
                <w:w w:val="93"/>
              </w:rPr>
              <w:t>+16.1</w:t>
            </w:r>
            <w:r>
              <w:rPr>
                <w:rFonts w:ascii="Arial" w:cs="Arial" w:eastAsia="Arial" w:hAnsi="Arial"/>
                <w:sz w:val="15"/>
                <w:szCs w:val="15"/>
                <w:color w:val="auto"/>
                <w:w w:val="93"/>
              </w:rPr>
              <w:t>(5)</w:t>
            </w: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PODCI Transfer/Basic Mobility (points)</w:t>
            </w:r>
          </w:p>
        </w:tc>
        <w:tc>
          <w:tcPr>
            <w:tcW w:w="1900" w:type="dxa"/>
            <w:vAlign w:val="bottom"/>
            <w:shd w:val="clear" w:color="auto" w:fill="CFF0FC"/>
          </w:tcPr>
          <w:p>
            <w:pPr>
              <w:jc w:val="center"/>
              <w:ind w:left="110"/>
              <w:spacing w:after="0"/>
              <w:rPr>
                <w:sz w:val="20"/>
                <w:szCs w:val="20"/>
                <w:color w:val="auto"/>
              </w:rPr>
            </w:pPr>
            <w:r>
              <w:rPr>
                <w:rFonts w:ascii="Arial" w:cs="Arial" w:eastAsia="Arial" w:hAnsi="Arial"/>
                <w:sz w:val="18"/>
                <w:szCs w:val="18"/>
                <w:color w:val="auto"/>
                <w:w w:val="91"/>
              </w:rPr>
              <w:t>10.0 (3 to 18)</w:t>
            </w:r>
          </w:p>
        </w:tc>
        <w:tc>
          <w:tcPr>
            <w:tcW w:w="2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+16.0</w:t>
            </w:r>
          </w:p>
        </w:tc>
        <w:tc>
          <w:tcPr>
            <w:tcW w:w="19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3"/>
              </w:rPr>
              <w:t>+20.0</w:t>
            </w:r>
            <w:r>
              <w:rPr>
                <w:rFonts w:ascii="Arial" w:cs="Arial" w:eastAsia="Arial" w:hAnsi="Arial"/>
                <w:sz w:val="15"/>
                <w:szCs w:val="15"/>
                <w:color w:val="auto"/>
                <w:w w:val="93"/>
              </w:rPr>
              <w:t>(6)</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PODCI Sports/Physical Functioning (points)</w:t>
            </w:r>
          </w:p>
        </w:tc>
        <w:tc>
          <w:tcPr>
            <w:tcW w:w="1900" w:type="dxa"/>
            <w:vAlign w:val="bottom"/>
          </w:tcPr>
          <w:p>
            <w:pPr>
              <w:jc w:val="center"/>
              <w:ind w:left="110"/>
              <w:spacing w:after="0"/>
              <w:rPr>
                <w:sz w:val="20"/>
                <w:szCs w:val="20"/>
                <w:color w:val="auto"/>
              </w:rPr>
            </w:pPr>
            <w:r>
              <w:rPr>
                <w:rFonts w:ascii="Arial" w:cs="Arial" w:eastAsia="Arial" w:hAnsi="Arial"/>
                <w:sz w:val="18"/>
                <w:szCs w:val="18"/>
                <w:color w:val="auto"/>
                <w:w w:val="92"/>
              </w:rPr>
              <w:t>6.7 (5 to 21)</w:t>
            </w:r>
          </w:p>
        </w:tc>
        <w:tc>
          <w:tcPr>
            <w:tcW w:w="2420" w:type="dxa"/>
            <w:vAlign w:val="bottom"/>
          </w:tcPr>
          <w:p>
            <w:pPr>
              <w:jc w:val="center"/>
              <w:spacing w:after="0"/>
              <w:rPr>
                <w:sz w:val="20"/>
                <w:szCs w:val="20"/>
                <w:color w:val="auto"/>
              </w:rPr>
            </w:pPr>
            <w:r>
              <w:rPr>
                <w:rFonts w:ascii="Arial" w:cs="Arial" w:eastAsia="Arial" w:hAnsi="Arial"/>
                <w:sz w:val="18"/>
                <w:szCs w:val="18"/>
                <w:color w:val="auto"/>
                <w:w w:val="87"/>
              </w:rPr>
              <w:t>+20.2</w:t>
            </w:r>
          </w:p>
        </w:tc>
        <w:tc>
          <w:tcPr>
            <w:tcW w:w="1980" w:type="dxa"/>
            <w:vAlign w:val="bottom"/>
          </w:tcPr>
          <w:p>
            <w:pPr>
              <w:jc w:val="center"/>
              <w:ind w:right="50"/>
              <w:spacing w:after="0"/>
              <w:rPr>
                <w:sz w:val="20"/>
                <w:szCs w:val="20"/>
                <w:color w:val="auto"/>
              </w:rPr>
            </w:pPr>
            <w:r>
              <w:rPr>
                <w:rFonts w:ascii="Arial" w:cs="Arial" w:eastAsia="Arial" w:hAnsi="Arial"/>
                <w:sz w:val="18"/>
                <w:szCs w:val="18"/>
                <w:color w:val="auto"/>
                <w:w w:val="96"/>
              </w:rPr>
              <w:t>+9.8</w:t>
            </w:r>
            <w:r>
              <w:rPr>
                <w:rFonts w:ascii="Arial" w:cs="Arial" w:eastAsia="Arial" w:hAnsi="Arial"/>
                <w:sz w:val="15"/>
                <w:szCs w:val="15"/>
                <w:color w:val="auto"/>
                <w:w w:val="96"/>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(1): -42.3m expected decline in 12 months after age 7 (Mercuri et al 2016)</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(2): -3.0 unit expected decline in 12 months after age 6.3 (Muntoni eta al 2019)</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(3): -5.0%p expected decline in 12 months after age 6 (Mayer et al 2015)</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(4): -5.0%p expected decline in 12 months after age 6 (Mayer et al 2015)</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(5): -5.05 point expected decline in 12 months (Henricson et al 2013)</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(6): -9.95 point expected decline in 12 months (Henricson et al 2013)</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(7): -3.11 point expected decline in 12 months (Henricson et al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12-Month Interim Efficacy Results of IGNITE DMD for Patients 4-6 (2E14 vg/kg cohort)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18"/>
                <w:szCs w:val="18"/>
                <w:color w:val="auto"/>
              </w:rPr>
            </w:pPr>
          </w:p>
        </w:tc>
        <w:tc>
          <w:tcPr>
            <w:tcW w:w="19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Mean Change</w:t>
            </w:r>
          </w:p>
        </w:tc>
        <w:tc>
          <w:tcPr>
            <w:tcW w:w="2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Mean Difference vs</w:t>
            </w:r>
          </w:p>
        </w:tc>
        <w:tc>
          <w:tcPr>
            <w:tcW w:w="1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0"/>
              </w:rPr>
              <w:t>Mean Difference vs</w:t>
            </w:r>
          </w:p>
        </w:tc>
        <w:tc>
          <w:tcPr>
            <w:tcW w:w="0" w:type="dxa"/>
            <w:vAlign w:val="bottom"/>
          </w:tcPr>
          <w:p>
            <w:pPr>
              <w:spacing w:after="0"/>
              <w:rPr>
                <w:sz w:val="1"/>
                <w:szCs w:val="1"/>
                <w:color w:val="auto"/>
              </w:rPr>
            </w:pPr>
          </w:p>
        </w:tc>
      </w:tr>
      <w:tr>
        <w:trPr>
          <w:trHeight w:val="108"/>
        </w:trPr>
        <w:tc>
          <w:tcPr>
            <w:tcW w:w="4940" w:type="dxa"/>
            <w:vAlign w:val="bottom"/>
          </w:tcPr>
          <w:p>
            <w:pPr>
              <w:spacing w:after="0"/>
              <w:rPr>
                <w:sz w:val="9"/>
                <w:szCs w:val="9"/>
                <w:color w:val="auto"/>
              </w:rPr>
            </w:pPr>
          </w:p>
        </w:tc>
        <w:tc>
          <w:tcPr>
            <w:tcW w:w="192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9"/>
              </w:rPr>
              <w:t>from Baseline</w:t>
            </w:r>
          </w:p>
        </w:tc>
        <w:tc>
          <w:tcPr>
            <w:tcW w:w="240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2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Untreated Control Cohort</w:t>
            </w:r>
          </w:p>
        </w:tc>
        <w:tc>
          <w:tcPr>
            <w:tcW w:w="19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6"/>
              </w:rPr>
              <w:t>Natural History</w:t>
            </w:r>
          </w:p>
        </w:tc>
        <w:tc>
          <w:tcPr>
            <w:tcW w:w="0" w:type="dxa"/>
            <w:vAlign w:val="bottom"/>
          </w:tcPr>
          <w:p>
            <w:pPr>
              <w:spacing w:after="0"/>
              <w:rPr>
                <w:sz w:val="1"/>
                <w:szCs w:val="1"/>
                <w:color w:val="auto"/>
              </w:rPr>
            </w:pPr>
          </w:p>
        </w:tc>
      </w:tr>
      <w:tr>
        <w:trPr>
          <w:trHeight w:val="126"/>
        </w:trPr>
        <w:tc>
          <w:tcPr>
            <w:tcW w:w="4940" w:type="dxa"/>
            <w:vAlign w:val="bottom"/>
          </w:tcPr>
          <w:p>
            <w:pPr>
              <w:spacing w:after="0"/>
              <w:rPr>
                <w:sz w:val="10"/>
                <w:szCs w:val="10"/>
                <w:color w:val="auto"/>
              </w:rPr>
            </w:pPr>
          </w:p>
        </w:tc>
        <w:tc>
          <w:tcPr>
            <w:tcW w:w="192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92"/>
              </w:rPr>
              <w:t>(Range)</w:t>
            </w:r>
          </w:p>
        </w:tc>
        <w:tc>
          <w:tcPr>
            <w:tcW w:w="240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40" w:type="dxa"/>
            <w:vAlign w:val="bottom"/>
          </w:tcPr>
          <w:p>
            <w:pPr>
              <w:spacing w:after="0"/>
              <w:rPr>
                <w:sz w:val="9"/>
                <w:szCs w:val="9"/>
                <w:color w:val="auto"/>
              </w:rPr>
            </w:pPr>
          </w:p>
        </w:tc>
        <w:tc>
          <w:tcPr>
            <w:tcW w:w="1920" w:type="dxa"/>
            <w:vAlign w:val="bottom"/>
            <w:tcBorders>
              <w:bottom w:val="single" w:sz="8" w:color="auto"/>
            </w:tcBorders>
            <w:vMerge w:val="continue"/>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tcPr>
          <w:p>
            <w:pPr>
              <w:spacing w:after="0"/>
              <w:rPr>
                <w:sz w:val="19"/>
                <w:szCs w:val="19"/>
                <w:color w:val="auto"/>
              </w:rPr>
            </w:pPr>
          </w:p>
        </w:tc>
        <w:tc>
          <w:tcPr>
            <w:tcW w:w="6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Mean Age at Baseline: 8.4 years (Range: 6.8 to 10.7 years)</w:t>
            </w: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6 Minute Walk Test (meter)</w:t>
            </w:r>
          </w:p>
        </w:tc>
        <w:tc>
          <w:tcPr>
            <w:tcW w:w="1920" w:type="dxa"/>
            <w:vAlign w:val="bottom"/>
            <w:shd w:val="clear" w:color="auto" w:fill="CFF0FC"/>
          </w:tcPr>
          <w:p>
            <w:pPr>
              <w:jc w:val="center"/>
              <w:ind w:left="90"/>
              <w:spacing w:after="0"/>
              <w:rPr>
                <w:sz w:val="20"/>
                <w:szCs w:val="20"/>
                <w:color w:val="auto"/>
              </w:rPr>
            </w:pPr>
            <w:r>
              <w:rPr>
                <w:rFonts w:ascii="Arial" w:cs="Arial" w:eastAsia="Arial" w:hAnsi="Arial"/>
                <w:sz w:val="18"/>
                <w:szCs w:val="18"/>
                <w:color w:val="auto"/>
                <w:w w:val="90"/>
              </w:rPr>
              <w:t>49.7 (12 to 85)</w:t>
            </w:r>
          </w:p>
        </w:tc>
        <w:tc>
          <w:tcPr>
            <w:tcW w:w="2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+58.2</w:t>
            </w:r>
          </w:p>
        </w:tc>
        <w:tc>
          <w:tcPr>
            <w:tcW w:w="19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3"/>
              </w:rPr>
              <w:t>+92.0</w:t>
            </w:r>
            <w:r>
              <w:rPr>
                <w:rFonts w:ascii="Arial" w:cs="Arial" w:eastAsia="Arial" w:hAnsi="Arial"/>
                <w:sz w:val="15"/>
                <w:szCs w:val="15"/>
                <w:color w:val="auto"/>
                <w:w w:val="93"/>
              </w:rPr>
              <w:t>(1)</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North Star Ambulatory Assessment (units)</w:t>
            </w:r>
          </w:p>
        </w:tc>
        <w:tc>
          <w:tcPr>
            <w:tcW w:w="1920" w:type="dxa"/>
            <w:vAlign w:val="bottom"/>
          </w:tcPr>
          <w:p>
            <w:pPr>
              <w:jc w:val="center"/>
              <w:ind w:left="90"/>
              <w:spacing w:after="0"/>
              <w:rPr>
                <w:sz w:val="20"/>
                <w:szCs w:val="20"/>
                <w:color w:val="auto"/>
              </w:rPr>
            </w:pPr>
            <w:r>
              <w:rPr>
                <w:rFonts w:ascii="Arial" w:cs="Arial" w:eastAsia="Arial" w:hAnsi="Arial"/>
                <w:sz w:val="18"/>
                <w:szCs w:val="18"/>
                <w:color w:val="auto"/>
                <w:w w:val="92"/>
              </w:rPr>
              <w:t>0.3 (-1 to 1)</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980" w:type="dxa"/>
            <w:vAlign w:val="bottom"/>
          </w:tcPr>
          <w:p>
            <w:pPr>
              <w:jc w:val="center"/>
              <w:ind w:right="50"/>
              <w:spacing w:after="0"/>
              <w:rPr>
                <w:sz w:val="20"/>
                <w:szCs w:val="20"/>
                <w:color w:val="auto"/>
              </w:rPr>
            </w:pPr>
            <w:r>
              <w:rPr>
                <w:rFonts w:ascii="Arial" w:cs="Arial" w:eastAsia="Arial" w:hAnsi="Arial"/>
                <w:sz w:val="18"/>
                <w:szCs w:val="18"/>
                <w:color w:val="auto"/>
                <w:w w:val="96"/>
              </w:rPr>
              <w:t>+3.3</w:t>
            </w:r>
            <w:r>
              <w:rPr>
                <w:rFonts w:ascii="Arial" w:cs="Arial" w:eastAsia="Arial" w:hAnsi="Arial"/>
                <w:sz w:val="15"/>
                <w:szCs w:val="15"/>
                <w:color w:val="auto"/>
                <w:w w:val="96"/>
              </w:rPr>
              <w:t>(2)</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Forced Vital Capacity (%p)</w:t>
            </w:r>
          </w:p>
        </w:tc>
        <w:tc>
          <w:tcPr>
            <w:tcW w:w="1920" w:type="dxa"/>
            <w:vAlign w:val="bottom"/>
            <w:shd w:val="clear" w:color="auto" w:fill="CFF0FC"/>
          </w:tcPr>
          <w:p>
            <w:pPr>
              <w:jc w:val="center"/>
              <w:ind w:left="90"/>
              <w:spacing w:after="0"/>
              <w:rPr>
                <w:sz w:val="20"/>
                <w:szCs w:val="20"/>
                <w:color w:val="auto"/>
              </w:rPr>
            </w:pPr>
            <w:r>
              <w:rPr>
                <w:rFonts w:ascii="Arial" w:cs="Arial" w:eastAsia="Arial" w:hAnsi="Arial"/>
                <w:sz w:val="18"/>
                <w:szCs w:val="18"/>
                <w:color w:val="auto"/>
                <w:w w:val="91"/>
              </w:rPr>
              <w:t>15.7 (3.1 to 36.7)</w:t>
            </w:r>
          </w:p>
        </w:tc>
        <w:tc>
          <w:tcPr>
            <w:tcW w:w="2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+26.4</w:t>
            </w:r>
          </w:p>
        </w:tc>
        <w:tc>
          <w:tcPr>
            <w:tcW w:w="19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3"/>
              </w:rPr>
              <w:t>+20.7</w:t>
            </w:r>
            <w:r>
              <w:rPr>
                <w:rFonts w:ascii="Arial" w:cs="Arial" w:eastAsia="Arial" w:hAnsi="Arial"/>
                <w:sz w:val="15"/>
                <w:szCs w:val="15"/>
                <w:color w:val="auto"/>
                <w:w w:val="93"/>
              </w:rPr>
              <w:t>(3)</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Peak Expiratory Flow (%p)</w:t>
            </w:r>
          </w:p>
        </w:tc>
        <w:tc>
          <w:tcPr>
            <w:tcW w:w="1920" w:type="dxa"/>
            <w:vAlign w:val="bottom"/>
          </w:tcPr>
          <w:p>
            <w:pPr>
              <w:jc w:val="center"/>
              <w:ind w:left="90"/>
              <w:spacing w:after="0"/>
              <w:rPr>
                <w:sz w:val="20"/>
                <w:szCs w:val="20"/>
                <w:color w:val="auto"/>
              </w:rPr>
            </w:pPr>
            <w:r>
              <w:rPr>
                <w:rFonts w:ascii="Arial" w:cs="Arial" w:eastAsia="Arial" w:hAnsi="Arial"/>
                <w:sz w:val="18"/>
                <w:szCs w:val="18"/>
                <w:color w:val="auto"/>
                <w:w w:val="91"/>
              </w:rPr>
              <w:t>21.3 (15.9 to 26.7)</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+31.0</w:t>
            </w:r>
          </w:p>
        </w:tc>
        <w:tc>
          <w:tcPr>
            <w:tcW w:w="1980" w:type="dxa"/>
            <w:vAlign w:val="bottom"/>
          </w:tcPr>
          <w:p>
            <w:pPr>
              <w:jc w:val="center"/>
              <w:ind w:right="50"/>
              <w:spacing w:after="0"/>
              <w:rPr>
                <w:sz w:val="20"/>
                <w:szCs w:val="20"/>
                <w:color w:val="auto"/>
              </w:rPr>
            </w:pPr>
            <w:r>
              <w:rPr>
                <w:rFonts w:ascii="Arial" w:cs="Arial" w:eastAsia="Arial" w:hAnsi="Arial"/>
                <w:sz w:val="18"/>
                <w:szCs w:val="18"/>
                <w:color w:val="auto"/>
                <w:w w:val="93"/>
              </w:rPr>
              <w:t>+26.3</w:t>
            </w:r>
            <w:r>
              <w:rPr>
                <w:rFonts w:ascii="Arial" w:cs="Arial" w:eastAsia="Arial" w:hAnsi="Arial"/>
                <w:sz w:val="15"/>
                <w:szCs w:val="15"/>
                <w:color w:val="auto"/>
                <w:w w:val="93"/>
              </w:rPr>
              <w:t>(4)</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Forced Expiratory Volume in One Second (%p)</w:t>
            </w:r>
          </w:p>
        </w:tc>
        <w:tc>
          <w:tcPr>
            <w:tcW w:w="1920" w:type="dxa"/>
            <w:vAlign w:val="bottom"/>
            <w:shd w:val="clear" w:color="auto" w:fill="CFF0FC"/>
          </w:tcPr>
          <w:p>
            <w:pPr>
              <w:jc w:val="center"/>
              <w:ind w:left="70"/>
              <w:spacing w:after="0"/>
              <w:rPr>
                <w:sz w:val="20"/>
                <w:szCs w:val="20"/>
                <w:color w:val="auto"/>
              </w:rPr>
            </w:pPr>
            <w:r>
              <w:rPr>
                <w:rFonts w:ascii="Arial" w:cs="Arial" w:eastAsia="Arial" w:hAnsi="Arial"/>
                <w:sz w:val="18"/>
                <w:szCs w:val="18"/>
                <w:color w:val="auto"/>
                <w:w w:val="91"/>
              </w:rPr>
              <w:t>9.7 (2.8 to 15.5)</w:t>
            </w:r>
          </w:p>
        </w:tc>
        <w:tc>
          <w:tcPr>
            <w:tcW w:w="2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+22.3</w:t>
            </w:r>
          </w:p>
        </w:tc>
        <w:tc>
          <w:tcPr>
            <w:tcW w:w="19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4"/>
              </w:rPr>
              <w:t>Not Available</w:t>
            </w: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PODCI Global Function (points)</w:t>
            </w:r>
          </w:p>
        </w:tc>
        <w:tc>
          <w:tcPr>
            <w:tcW w:w="1920" w:type="dxa"/>
            <w:vAlign w:val="bottom"/>
          </w:tcPr>
          <w:p>
            <w:pPr>
              <w:jc w:val="center"/>
              <w:ind w:left="90"/>
              <w:spacing w:after="0"/>
              <w:rPr>
                <w:sz w:val="20"/>
                <w:szCs w:val="20"/>
                <w:color w:val="auto"/>
              </w:rPr>
            </w:pPr>
            <w:r>
              <w:rPr>
                <w:rFonts w:ascii="Arial" w:cs="Arial" w:eastAsia="Arial" w:hAnsi="Arial"/>
                <w:sz w:val="18"/>
                <w:szCs w:val="18"/>
                <w:color w:val="auto"/>
                <w:w w:val="90"/>
              </w:rPr>
              <w:t>17.0 (11 to 27)</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+31.0</w:t>
            </w:r>
          </w:p>
        </w:tc>
        <w:tc>
          <w:tcPr>
            <w:tcW w:w="1980" w:type="dxa"/>
            <w:vAlign w:val="bottom"/>
          </w:tcPr>
          <w:p>
            <w:pPr>
              <w:jc w:val="center"/>
              <w:ind w:right="50"/>
              <w:spacing w:after="0"/>
              <w:rPr>
                <w:sz w:val="20"/>
                <w:szCs w:val="20"/>
                <w:color w:val="auto"/>
              </w:rPr>
            </w:pPr>
            <w:r>
              <w:rPr>
                <w:rFonts w:ascii="Arial" w:cs="Arial" w:eastAsia="Arial" w:hAnsi="Arial"/>
                <w:sz w:val="18"/>
                <w:szCs w:val="18"/>
                <w:color w:val="auto"/>
                <w:w w:val="93"/>
              </w:rPr>
              <w:t>+22.1</w:t>
            </w:r>
            <w:r>
              <w:rPr>
                <w:rFonts w:ascii="Arial" w:cs="Arial" w:eastAsia="Arial" w:hAnsi="Arial"/>
                <w:sz w:val="15"/>
                <w:szCs w:val="15"/>
                <w:color w:val="auto"/>
                <w:w w:val="93"/>
              </w:rPr>
              <w:t>(5)</w:t>
            </w: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PODCI Transfer/Basic Mobility (points)</w:t>
            </w:r>
          </w:p>
        </w:tc>
        <w:tc>
          <w:tcPr>
            <w:tcW w:w="1920" w:type="dxa"/>
            <w:vAlign w:val="bottom"/>
            <w:shd w:val="clear" w:color="auto" w:fill="CFF0FC"/>
          </w:tcPr>
          <w:p>
            <w:pPr>
              <w:jc w:val="center"/>
              <w:ind w:left="70"/>
              <w:spacing w:after="0"/>
              <w:rPr>
                <w:sz w:val="20"/>
                <w:szCs w:val="20"/>
                <w:color w:val="auto"/>
              </w:rPr>
            </w:pPr>
            <w:r>
              <w:rPr>
                <w:rFonts w:ascii="Arial" w:cs="Arial" w:eastAsia="Arial" w:hAnsi="Arial"/>
                <w:sz w:val="18"/>
                <w:szCs w:val="18"/>
                <w:color w:val="auto"/>
                <w:w w:val="91"/>
              </w:rPr>
              <w:t>6.7 (5 to 9)</w:t>
            </w:r>
          </w:p>
        </w:tc>
        <w:tc>
          <w:tcPr>
            <w:tcW w:w="2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+12.7</w:t>
            </w:r>
          </w:p>
        </w:tc>
        <w:tc>
          <w:tcPr>
            <w:tcW w:w="19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3"/>
              </w:rPr>
              <w:t>+16.7</w:t>
            </w:r>
            <w:r>
              <w:rPr>
                <w:rFonts w:ascii="Arial" w:cs="Arial" w:eastAsia="Arial" w:hAnsi="Arial"/>
                <w:sz w:val="15"/>
                <w:szCs w:val="15"/>
                <w:color w:val="auto"/>
                <w:w w:val="93"/>
              </w:rPr>
              <w:t>(6)</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PODCI Sports/Physical Functioning (points)</w:t>
            </w:r>
          </w:p>
        </w:tc>
        <w:tc>
          <w:tcPr>
            <w:tcW w:w="1920" w:type="dxa"/>
            <w:vAlign w:val="bottom"/>
          </w:tcPr>
          <w:p>
            <w:pPr>
              <w:jc w:val="center"/>
              <w:ind w:left="90"/>
              <w:spacing w:after="0"/>
              <w:rPr>
                <w:sz w:val="20"/>
                <w:szCs w:val="20"/>
                <w:color w:val="auto"/>
              </w:rPr>
            </w:pPr>
            <w:r>
              <w:rPr>
                <w:rFonts w:ascii="Arial" w:cs="Arial" w:eastAsia="Arial" w:hAnsi="Arial"/>
                <w:sz w:val="18"/>
                <w:szCs w:val="18"/>
                <w:color w:val="auto"/>
                <w:w w:val="90"/>
              </w:rPr>
              <w:t>29.7 (22 to 39)</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+43.2</w:t>
            </w:r>
          </w:p>
        </w:tc>
        <w:tc>
          <w:tcPr>
            <w:tcW w:w="1980" w:type="dxa"/>
            <w:vAlign w:val="bottom"/>
          </w:tcPr>
          <w:p>
            <w:pPr>
              <w:jc w:val="center"/>
              <w:ind w:right="50"/>
              <w:spacing w:after="0"/>
              <w:rPr>
                <w:sz w:val="20"/>
                <w:szCs w:val="20"/>
                <w:color w:val="auto"/>
              </w:rPr>
            </w:pPr>
            <w:r>
              <w:rPr>
                <w:rFonts w:ascii="Arial" w:cs="Arial" w:eastAsia="Arial" w:hAnsi="Arial"/>
                <w:sz w:val="18"/>
                <w:szCs w:val="18"/>
                <w:color w:val="auto"/>
                <w:w w:val="93"/>
              </w:rPr>
              <w:t>+32.8</w:t>
            </w:r>
            <w:r>
              <w:rPr>
                <w:rFonts w:ascii="Arial" w:cs="Arial" w:eastAsia="Arial" w:hAnsi="Arial"/>
                <w:sz w:val="15"/>
                <w:szCs w:val="15"/>
                <w:color w:val="auto"/>
                <w:w w:val="93"/>
              </w:rPr>
              <w:t>(7)</w:t>
            </w:r>
          </w:p>
        </w:tc>
        <w:tc>
          <w:tcPr>
            <w:tcW w:w="0" w:type="dxa"/>
            <w:vAlign w:val="bottom"/>
          </w:tcPr>
          <w:p>
            <w:pPr>
              <w:spacing w:after="0"/>
              <w:rPr>
                <w:sz w:val="1"/>
                <w:szCs w:val="1"/>
                <w:color w:val="auto"/>
              </w:rPr>
            </w:pPr>
          </w:p>
        </w:tc>
      </w:tr>
      <w:tr>
        <w:trPr>
          <w:trHeight w:val="175"/>
        </w:trPr>
        <w:tc>
          <w:tcPr>
            <w:tcW w:w="4940" w:type="dxa"/>
            <w:vAlign w:val="bottom"/>
          </w:tcPr>
          <w:p>
            <w:pPr>
              <w:spacing w:after="0"/>
              <w:rPr>
                <w:sz w:val="20"/>
                <w:szCs w:val="20"/>
                <w:color w:val="auto"/>
              </w:rPr>
            </w:pPr>
            <w:r>
              <w:rPr>
                <w:rFonts w:ascii="Arial" w:cs="Arial" w:eastAsia="Arial" w:hAnsi="Arial"/>
                <w:sz w:val="15"/>
                <w:szCs w:val="15"/>
                <w:color w:val="auto"/>
              </w:rPr>
              <w:t>(1): -42.3m expected decline in 12 months after age 7 (Mercuri et al 2016)</w:t>
            </w:r>
          </w:p>
        </w:tc>
        <w:tc>
          <w:tcPr>
            <w:tcW w:w="19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rPr>
                <w:sz w:val="20"/>
                <w:szCs w:val="20"/>
                <w:color w:val="auto"/>
              </w:rPr>
            </w:pPr>
            <w:r>
              <w:rPr>
                <w:rFonts w:ascii="Arial" w:cs="Arial" w:eastAsia="Arial" w:hAnsi="Arial"/>
                <w:sz w:val="15"/>
                <w:szCs w:val="15"/>
                <w:color w:val="auto"/>
                <w:w w:val="94"/>
              </w:rPr>
              <w:t>(2): -3.0 unit expected decline in 12 months after age 6.3 (Muntoni eta al 2019)</w:t>
            </w:r>
          </w:p>
        </w:tc>
        <w:tc>
          <w:tcPr>
            <w:tcW w:w="19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20"/>
                <w:szCs w:val="20"/>
                <w:color w:val="auto"/>
              </w:rPr>
            </w:pPr>
            <w:r>
              <w:rPr>
                <w:rFonts w:ascii="Arial" w:cs="Arial" w:eastAsia="Arial" w:hAnsi="Arial"/>
                <w:sz w:val="15"/>
                <w:szCs w:val="15"/>
                <w:color w:val="auto"/>
              </w:rPr>
              <w:t>(3): -5.0%p expected decline in 12 months after age 6 (Mayer et al 2015)</w:t>
            </w:r>
          </w:p>
        </w:tc>
        <w:tc>
          <w:tcPr>
            <w:tcW w:w="19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940" w:type="dxa"/>
            <w:vAlign w:val="bottom"/>
          </w:tcPr>
          <w:p>
            <w:pPr>
              <w:spacing w:after="0"/>
              <w:rPr>
                <w:sz w:val="20"/>
                <w:szCs w:val="20"/>
                <w:color w:val="auto"/>
              </w:rPr>
            </w:pPr>
            <w:r>
              <w:rPr>
                <w:rFonts w:ascii="Arial" w:cs="Arial" w:eastAsia="Arial" w:hAnsi="Arial"/>
                <w:sz w:val="15"/>
                <w:szCs w:val="15"/>
                <w:color w:val="auto"/>
              </w:rPr>
              <w:t>(4): -5.0%p expected decline in 12 months after age 6 (Mayer et al 2015)</w:t>
            </w:r>
          </w:p>
        </w:tc>
        <w:tc>
          <w:tcPr>
            <w:tcW w:w="19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5"/>
          <w:szCs w:val="15"/>
          <w:color w:val="auto"/>
        </w:rPr>
        <w:t>(5): -5.05 point expected decline in 12 months (Henricson et al 2013)</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(6): -9.95 point expected decline in 12 months (Henricson et al 2013)</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(7): -3.11 point expected decline in 12 months (Henricson et al 2013)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spacing w:after="0" w:line="209" w:lineRule="auto"/>
        <w:framePr w:w="1560" w:h="160" w:wrap="auto" w:vAnchor="page" w:hAnchor="page" w:x="9480" w:y="6419"/>
        <w:rPr>
          <w:rFonts w:ascii="Arial" w:cs="Arial" w:eastAsia="Arial" w:hAnsi="Arial"/>
          <w:sz w:val="16"/>
          <w:szCs w:val="16"/>
          <w:b w:val="1"/>
          <w:bCs w:val="1"/>
          <w:color w:val="auto"/>
        </w:rPr>
      </w:pPr>
      <w:r>
        <w:rPr>
          <w:rFonts w:ascii="Arial" w:cs="Arial" w:eastAsia="Arial" w:hAnsi="Arial"/>
          <w:sz w:val="16"/>
          <w:szCs w:val="16"/>
          <w:b w:val="1"/>
          <w:bCs w:val="1"/>
          <w:color w:val="auto"/>
        </w:rPr>
        <w:t>Mean Difference vs</w:t>
      </w:r>
    </w:p>
    <w:p>
      <w:pPr>
        <w:spacing w:after="0" w:line="196" w:lineRule="auto"/>
        <w:framePr w:w="1300" w:h="160" w:wrap="auto" w:vAnchor="page" w:hAnchor="page" w:x="9600" w:y="6635"/>
        <w:rPr>
          <w:rFonts w:ascii="Arial" w:cs="Arial" w:eastAsia="Arial" w:hAnsi="Arial"/>
          <w:sz w:val="17"/>
          <w:szCs w:val="17"/>
          <w:b w:val="1"/>
          <w:bCs w:val="1"/>
          <w:color w:val="auto"/>
        </w:rPr>
      </w:pPr>
      <w:r>
        <w:rPr>
          <w:rFonts w:ascii="Arial" w:cs="Arial" w:eastAsia="Arial" w:hAnsi="Arial"/>
          <w:sz w:val="17"/>
          <w:szCs w:val="17"/>
          <w:b w:val="1"/>
          <w:bCs w:val="1"/>
          <w:color w:val="auto"/>
        </w:rPr>
        <w:t>Natural History</w:t>
      </w:r>
    </w:p>
    <w:p>
      <w:pPr>
        <w:ind w:right="200" w:firstLine="551"/>
        <w:spacing w:after="0" w:line="275" w:lineRule="auto"/>
        <w:rPr>
          <w:sz w:val="20"/>
          <w:szCs w:val="20"/>
          <w:color w:val="auto"/>
        </w:rPr>
      </w:pPr>
      <w:r>
        <w:rPr>
          <w:rFonts w:ascii="Arial" w:cs="Arial" w:eastAsia="Arial" w:hAnsi="Arial"/>
          <w:sz w:val="17"/>
          <w:szCs w:val="17"/>
          <w:color w:val="auto"/>
        </w:rPr>
        <w:t>In May 2021, we reported long-term biopsy data collected from Patients 4-6, who were dosed at the 2E14 vg/kg dose level. Analyses of the biopsies, taken 24 months, 18 months and 12 months post-dosing, respectively, demonstrated durable and widespread expression of the microdystrophin protein. The long-term results were consistent with the day 90, interim data reported in March 2021 and continued to demonstrate the functionality of the SGT-001 microdystrophin, as highlighted by the recruitment of key dystrophin associated proteins: beta-sarcoglycan and neuronal nNOS. The long-term muscle biopsy results were analyzed by two methods, western blot and immunofluorescence.</w:t>
      </w:r>
    </w:p>
    <w:p>
      <w:pPr>
        <w:spacing w:after="0" w:line="170" w:lineRule="exact"/>
        <w:rPr>
          <w:rFonts w:ascii="Arial" w:cs="Arial" w:eastAsia="Arial" w:hAnsi="Arial"/>
          <w:sz w:val="17"/>
          <w:szCs w:val="17"/>
          <w:b w:val="1"/>
          <w:bCs w:val="1"/>
          <w:color w:val="auto"/>
        </w:rPr>
      </w:pPr>
    </w:p>
    <w:tbl>
      <w:tblPr>
        <w:tblLayout w:type="fixed"/>
        <w:tblInd w:w="1140" w:type="dxa"/>
        <w:tblCellMar>
          <w:top w:w="0" w:type="dxa"/>
          <w:left w:w="0" w:type="dxa"/>
          <w:bottom w:w="0" w:type="dxa"/>
          <w:right w:w="0" w:type="dxa"/>
        </w:tblCellMar>
      </w:tblPr>
      <w:tr>
        <w:trPr>
          <w:trHeight w:val="225"/>
        </w:trPr>
        <w:tc>
          <w:tcPr>
            <w:tcW w:w="1060" w:type="dxa"/>
            <w:vAlign w:val="bottom"/>
            <w:tcBorders>
              <w:top w:val="single" w:sz="8" w:color="E6E6E6"/>
            </w:tcBorders>
            <w:vMerge w:val="restart"/>
          </w:tcPr>
          <w:p>
            <w:pPr>
              <w:jc w:val="right"/>
              <w:ind w:right="110"/>
              <w:spacing w:after="0"/>
              <w:rPr>
                <w:sz w:val="20"/>
                <w:szCs w:val="20"/>
                <w:color w:val="auto"/>
              </w:rPr>
            </w:pPr>
            <w:r>
              <w:rPr>
                <w:rFonts w:ascii="Arial" w:cs="Arial" w:eastAsia="Arial" w:hAnsi="Arial"/>
                <w:sz w:val="18"/>
                <w:szCs w:val="18"/>
                <w:b w:val="1"/>
                <w:bCs w:val="1"/>
                <w:color w:val="auto"/>
                <w:w w:val="89"/>
              </w:rPr>
              <w:t>Patient No.</w:t>
            </w:r>
          </w:p>
        </w:tc>
        <w:tc>
          <w:tcPr>
            <w:tcW w:w="2580" w:type="dxa"/>
            <w:vAlign w:val="bottom"/>
            <w:tcBorders>
              <w:top w:val="single" w:sz="8" w:color="E6E6E6"/>
            </w:tcBorders>
            <w:vMerge w:val="restart"/>
          </w:tcPr>
          <w:p>
            <w:pPr>
              <w:ind w:left="220"/>
              <w:spacing w:after="0"/>
              <w:rPr>
                <w:sz w:val="20"/>
                <w:szCs w:val="20"/>
                <w:color w:val="auto"/>
              </w:rPr>
            </w:pPr>
            <w:r>
              <w:rPr>
                <w:rFonts w:ascii="Arial" w:cs="Arial" w:eastAsia="Arial" w:hAnsi="Arial"/>
                <w:sz w:val="18"/>
                <w:szCs w:val="18"/>
                <w:b w:val="1"/>
                <w:bCs w:val="1"/>
                <w:color w:val="auto"/>
                <w:w w:val="97"/>
              </w:rPr>
              <w:t>Last Timepoint Post-Dosing</w:t>
            </w:r>
          </w:p>
        </w:tc>
        <w:tc>
          <w:tcPr>
            <w:tcW w:w="2580" w:type="dxa"/>
            <w:vAlign w:val="bottom"/>
            <w:tcBorders>
              <w:top w:val="single" w:sz="8" w:color="E6E6E6"/>
            </w:tcBorders>
          </w:tcPr>
          <w:p>
            <w:pPr>
              <w:jc w:val="center"/>
              <w:ind w:right="30"/>
              <w:spacing w:after="0"/>
              <w:rPr>
                <w:sz w:val="20"/>
                <w:szCs w:val="20"/>
                <w:color w:val="auto"/>
              </w:rPr>
            </w:pPr>
            <w:r>
              <w:rPr>
                <w:rFonts w:ascii="Arial" w:cs="Arial" w:eastAsia="Arial" w:hAnsi="Arial"/>
                <w:sz w:val="18"/>
                <w:szCs w:val="18"/>
                <w:b w:val="1"/>
                <w:bCs w:val="1"/>
                <w:color w:val="auto"/>
                <w:w w:val="91"/>
              </w:rPr>
              <w:t>Western Blot</w:t>
            </w:r>
          </w:p>
        </w:tc>
        <w:tc>
          <w:tcPr>
            <w:tcW w:w="60" w:type="dxa"/>
            <w:vAlign w:val="bottom"/>
          </w:tcPr>
          <w:p>
            <w:pPr>
              <w:spacing w:after="0"/>
              <w:rPr>
                <w:sz w:val="19"/>
                <w:szCs w:val="19"/>
                <w:color w:val="auto"/>
              </w:rPr>
            </w:pPr>
          </w:p>
        </w:tc>
        <w:tc>
          <w:tcPr>
            <w:tcW w:w="2600" w:type="dxa"/>
            <w:vAlign w:val="bottom"/>
            <w:tcBorders>
              <w:top w:val="single" w:sz="8" w:color="E6E6E6"/>
            </w:tcBorders>
            <w:gridSpan w:val="2"/>
          </w:tcPr>
          <w:p>
            <w:pPr>
              <w:spacing w:after="0"/>
              <w:rPr>
                <w:sz w:val="20"/>
                <w:szCs w:val="20"/>
                <w:color w:val="auto"/>
              </w:rPr>
            </w:pPr>
            <w:r>
              <w:rPr>
                <w:rFonts w:ascii="Arial" w:cs="Arial" w:eastAsia="Arial" w:hAnsi="Arial"/>
                <w:sz w:val="18"/>
                <w:szCs w:val="18"/>
                <w:b w:val="1"/>
                <w:bCs w:val="1"/>
                <w:color w:val="auto"/>
              </w:rPr>
              <w:t>Immunofluorescence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1060" w:type="dxa"/>
            <w:vAlign w:val="bottom"/>
            <w:vMerge w:val="continue"/>
          </w:tcPr>
          <w:p>
            <w:pPr>
              <w:spacing w:after="0"/>
              <w:rPr>
                <w:sz w:val="10"/>
                <w:szCs w:val="10"/>
                <w:color w:val="auto"/>
              </w:rPr>
            </w:pPr>
          </w:p>
        </w:tc>
        <w:tc>
          <w:tcPr>
            <w:tcW w:w="2580" w:type="dxa"/>
            <w:vAlign w:val="bottom"/>
            <w:vMerge w:val="continue"/>
          </w:tcPr>
          <w:p>
            <w:pPr>
              <w:spacing w:after="0"/>
              <w:rPr>
                <w:sz w:val="10"/>
                <w:szCs w:val="10"/>
                <w:color w:val="auto"/>
              </w:rPr>
            </w:pPr>
          </w:p>
        </w:tc>
        <w:tc>
          <w:tcPr>
            <w:tcW w:w="25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3"/>
              </w:rPr>
              <w:t>(% of Normal Dystrophin)</w:t>
            </w:r>
          </w:p>
        </w:tc>
        <w:tc>
          <w:tcPr>
            <w:tcW w:w="60" w:type="dxa"/>
            <w:vAlign w:val="bottom"/>
          </w:tcPr>
          <w:p>
            <w:pPr>
              <w:spacing w:after="0"/>
              <w:rPr>
                <w:sz w:val="10"/>
                <w:szCs w:val="10"/>
                <w:color w:val="auto"/>
              </w:rPr>
            </w:pPr>
          </w:p>
        </w:tc>
        <w:tc>
          <w:tcPr>
            <w:tcW w:w="2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Positive Fibers)</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060" w:type="dxa"/>
            <w:vAlign w:val="bottom"/>
            <w:tcBorders>
              <w:top w:val="single" w:sz="8" w:color="E6E6E6"/>
            </w:tcBorders>
            <w:shd w:val="clear" w:color="auto" w:fill="CFF0FC"/>
          </w:tcPr>
          <w:p>
            <w:pPr>
              <w:jc w:val="right"/>
              <w:ind w:right="290"/>
              <w:spacing w:after="0"/>
              <w:rPr>
                <w:sz w:val="20"/>
                <w:szCs w:val="20"/>
                <w:color w:val="auto"/>
              </w:rPr>
            </w:pPr>
            <w:r>
              <w:rPr>
                <w:rFonts w:ascii="Arial" w:cs="Arial" w:eastAsia="Arial" w:hAnsi="Arial"/>
                <w:sz w:val="18"/>
                <w:szCs w:val="18"/>
                <w:color w:val="auto"/>
              </w:rPr>
              <w:t>4</w:t>
            </w:r>
          </w:p>
        </w:tc>
        <w:tc>
          <w:tcPr>
            <w:tcW w:w="2580" w:type="dxa"/>
            <w:vAlign w:val="bottom"/>
            <w:tcBorders>
              <w:top w:val="single" w:sz="8" w:color="E6E6E6"/>
            </w:tcBorders>
            <w:shd w:val="clear" w:color="auto" w:fill="CFF0FC"/>
          </w:tcPr>
          <w:p>
            <w:pPr>
              <w:ind w:left="960"/>
              <w:spacing w:after="0"/>
              <w:rPr>
                <w:sz w:val="20"/>
                <w:szCs w:val="20"/>
                <w:color w:val="auto"/>
              </w:rPr>
            </w:pPr>
            <w:r>
              <w:rPr>
                <w:rFonts w:ascii="Arial" w:cs="Arial" w:eastAsia="Arial" w:hAnsi="Arial"/>
                <w:sz w:val="18"/>
                <w:szCs w:val="18"/>
                <w:color w:val="auto"/>
              </w:rPr>
              <w:t>24 months</w:t>
            </w:r>
          </w:p>
        </w:tc>
        <w:tc>
          <w:tcPr>
            <w:tcW w:w="2580" w:type="dxa"/>
            <w:vAlign w:val="bottom"/>
            <w:tcBorders>
              <w:top w:val="single" w:sz="8" w:color="E6E6E6"/>
            </w:tcBorders>
            <w:shd w:val="clear" w:color="auto" w:fill="CFF0FC"/>
          </w:tcPr>
          <w:p>
            <w:pPr>
              <w:jc w:val="center"/>
              <w:ind w:right="30"/>
              <w:spacing w:after="0"/>
              <w:rPr>
                <w:sz w:val="20"/>
                <w:szCs w:val="20"/>
                <w:color w:val="auto"/>
              </w:rPr>
            </w:pPr>
            <w:r>
              <w:rPr>
                <w:rFonts w:ascii="Arial" w:cs="Arial" w:eastAsia="Arial" w:hAnsi="Arial"/>
                <w:sz w:val="18"/>
                <w:szCs w:val="18"/>
                <w:color w:val="auto"/>
              </w:rPr>
              <w:t>BLQ *</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2580" w:type="dxa"/>
            <w:vAlign w:val="bottom"/>
            <w:tcBorders>
              <w:top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0"/>
              </w:rPr>
              <w:t>10-30%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2580" w:type="dxa"/>
            <w:vAlign w:val="bottom"/>
          </w:tcPr>
          <w:p>
            <w:pPr>
              <w:ind w:left="960"/>
              <w:spacing w:after="0"/>
              <w:rPr>
                <w:sz w:val="20"/>
                <w:szCs w:val="20"/>
                <w:color w:val="auto"/>
              </w:rPr>
            </w:pPr>
            <w:r>
              <w:rPr>
                <w:rFonts w:ascii="Arial" w:cs="Arial" w:eastAsia="Arial" w:hAnsi="Arial"/>
                <w:sz w:val="18"/>
                <w:szCs w:val="18"/>
                <w:color w:val="auto"/>
              </w:rPr>
              <w:t>18 months</w:t>
            </w:r>
          </w:p>
        </w:tc>
        <w:tc>
          <w:tcPr>
            <w:tcW w:w="2580" w:type="dxa"/>
            <w:vAlign w:val="bottom"/>
          </w:tcPr>
          <w:p>
            <w:pPr>
              <w:jc w:val="center"/>
              <w:ind w:right="30"/>
              <w:spacing w:after="0"/>
              <w:rPr>
                <w:sz w:val="20"/>
                <w:szCs w:val="20"/>
                <w:color w:val="auto"/>
              </w:rPr>
            </w:pPr>
            <w:r>
              <w:rPr>
                <w:rFonts w:ascii="Arial" w:cs="Arial" w:eastAsia="Arial" w:hAnsi="Arial"/>
                <w:sz w:val="18"/>
                <w:szCs w:val="18"/>
                <w:color w:val="auto"/>
                <w:w w:val="88"/>
              </w:rPr>
              <w:t>69.80%</w:t>
            </w:r>
          </w:p>
        </w:tc>
        <w:tc>
          <w:tcPr>
            <w:tcW w:w="2660" w:type="dxa"/>
            <w:vAlign w:val="bottom"/>
            <w:gridSpan w:val="3"/>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60" w:type="dxa"/>
            <w:vAlign w:val="bottom"/>
            <w:tcBorders>
              <w:bottom w:val="single" w:sz="8" w:color="E6E6E6"/>
            </w:tcBorders>
            <w:shd w:val="clear" w:color="auto" w:fill="CFF0FC"/>
          </w:tcPr>
          <w:p>
            <w:pPr>
              <w:jc w:val="right"/>
              <w:ind w:right="290"/>
              <w:spacing w:after="0"/>
              <w:rPr>
                <w:sz w:val="20"/>
                <w:szCs w:val="20"/>
                <w:color w:val="auto"/>
              </w:rPr>
            </w:pPr>
            <w:r>
              <w:rPr>
                <w:rFonts w:ascii="Arial" w:cs="Arial" w:eastAsia="Arial" w:hAnsi="Arial"/>
                <w:sz w:val="18"/>
                <w:szCs w:val="18"/>
                <w:color w:val="auto"/>
              </w:rPr>
              <w:t>6</w:t>
            </w:r>
          </w:p>
        </w:tc>
        <w:tc>
          <w:tcPr>
            <w:tcW w:w="2580" w:type="dxa"/>
            <w:vAlign w:val="bottom"/>
            <w:tcBorders>
              <w:bottom w:val="single" w:sz="8" w:color="E6E6E6"/>
            </w:tcBorders>
            <w:shd w:val="clear" w:color="auto" w:fill="CFF0FC"/>
          </w:tcPr>
          <w:p>
            <w:pPr>
              <w:ind w:left="960"/>
              <w:spacing w:after="0"/>
              <w:rPr>
                <w:sz w:val="20"/>
                <w:szCs w:val="20"/>
                <w:color w:val="auto"/>
              </w:rPr>
            </w:pPr>
            <w:r>
              <w:rPr>
                <w:rFonts w:ascii="Arial" w:cs="Arial" w:eastAsia="Arial" w:hAnsi="Arial"/>
                <w:sz w:val="18"/>
                <w:szCs w:val="18"/>
                <w:color w:val="auto"/>
              </w:rPr>
              <w:t>12 months</w:t>
            </w:r>
          </w:p>
        </w:tc>
        <w:tc>
          <w:tcPr>
            <w:tcW w:w="2580" w:type="dxa"/>
            <w:vAlign w:val="bottom"/>
            <w:tcBorders>
              <w:bottom w:val="single" w:sz="8" w:color="E6E6E6"/>
            </w:tcBorders>
            <w:shd w:val="clear" w:color="auto" w:fill="CFF0FC"/>
          </w:tcPr>
          <w:p>
            <w:pPr>
              <w:jc w:val="center"/>
              <w:ind w:right="30"/>
              <w:spacing w:after="0"/>
              <w:rPr>
                <w:sz w:val="20"/>
                <w:szCs w:val="20"/>
                <w:color w:val="auto"/>
              </w:rPr>
            </w:pPr>
            <w:r>
              <w:rPr>
                <w:rFonts w:ascii="Arial" w:cs="Arial" w:eastAsia="Arial" w:hAnsi="Arial"/>
                <w:sz w:val="18"/>
                <w:szCs w:val="18"/>
                <w:color w:val="auto"/>
                <w:w w:val="88"/>
              </w:rPr>
              <w:t>20.30%</w:t>
            </w:r>
          </w:p>
        </w:tc>
        <w:tc>
          <w:tcPr>
            <w:tcW w:w="80" w:type="dxa"/>
            <w:vAlign w:val="bottom"/>
            <w:gridSpan w:val="2"/>
            <w:shd w:val="clear" w:color="auto" w:fill="CFF0FC"/>
          </w:tcPr>
          <w:p>
            <w:pPr>
              <w:spacing w:after="0"/>
              <w:rPr>
                <w:sz w:val="19"/>
                <w:szCs w:val="19"/>
                <w:color w:val="auto"/>
              </w:rPr>
            </w:pPr>
          </w:p>
        </w:tc>
        <w:tc>
          <w:tcPr>
            <w:tcW w:w="258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0"/>
              </w:rPr>
              <w:t>50-60%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*Below the limit of quantification (5%)</w:t>
      </w:r>
    </w:p>
    <w:p>
      <w:pPr>
        <w:spacing w:after="0" w:line="211" w:lineRule="exact"/>
        <w:rPr>
          <w:rFonts w:ascii="Arial" w:cs="Arial" w:eastAsia="Arial" w:hAnsi="Arial"/>
          <w:sz w:val="17"/>
          <w:szCs w:val="17"/>
          <w:b w:val="1"/>
          <w:bCs w:val="1"/>
          <w:color w:val="auto"/>
        </w:rPr>
      </w:pPr>
    </w:p>
    <w:p>
      <w:pPr>
        <w:jc w:val="both"/>
        <w:ind w:right="620" w:firstLine="551"/>
        <w:spacing w:after="0" w:line="286" w:lineRule="auto"/>
        <w:rPr>
          <w:sz w:val="20"/>
          <w:szCs w:val="20"/>
          <w:color w:val="auto"/>
        </w:rPr>
      </w:pPr>
      <w:r>
        <w:rPr>
          <w:rFonts w:ascii="Arial" w:cs="Arial" w:eastAsia="Arial" w:hAnsi="Arial"/>
          <w:sz w:val="17"/>
          <w:szCs w:val="17"/>
          <w:color w:val="auto"/>
        </w:rPr>
        <w:t>Further morphological analysis of the muscle biopsies indicated that sustained microdystrophin protein expression and function resulted in membrane stabilization, evidenced by minimal progression of muscle deterioration since the day 90 timepoint. These long-term pathophysiological improvements support the recently reported positive trends in the clinical biomarker and functional data.</w:t>
      </w:r>
    </w:p>
    <w:p>
      <w:pPr>
        <w:spacing w:after="0" w:line="165" w:lineRule="exact"/>
        <w:rPr>
          <w:rFonts w:ascii="Arial" w:cs="Arial" w:eastAsia="Arial" w:hAnsi="Arial"/>
          <w:sz w:val="17"/>
          <w:szCs w:val="17"/>
          <w:b w:val="1"/>
          <w:bCs w:val="1"/>
          <w:color w:val="auto"/>
        </w:rPr>
      </w:pPr>
    </w:p>
    <w:p>
      <w:pPr>
        <w:ind w:right="20" w:firstLine="546"/>
        <w:spacing w:after="0" w:line="255" w:lineRule="auto"/>
        <w:rPr>
          <w:sz w:val="20"/>
          <w:szCs w:val="20"/>
          <w:color w:val="auto"/>
        </w:rPr>
      </w:pPr>
      <w:r>
        <w:rPr>
          <w:rFonts w:ascii="Arial" w:cs="Arial" w:eastAsia="Arial" w:hAnsi="Arial"/>
          <w:sz w:val="18"/>
          <w:szCs w:val="18"/>
          <w:color w:val="auto"/>
        </w:rPr>
        <w:t>In September 2021, we announced interim data collected from the first three patients infused in the high dose cohort (2E14 vg/kg) in IGNITE DMD 18-months months after treatment. The average age at baseline of Patients 4-6 was 8.4 years. Data collected from 6MWT, NSAA and PFTs provided evidence of continued potential benefit in functional endpoints 18-months after a single infusion of SGT-001 at a dose of 2E14 vg/kg. Patient reported outcome measures showed meaningful sustained improvements at 18-months compared with baseline and natural history as assessed using the PODCI Global Functions, PODCI Transfer/Basic Mobility and PODCI Sports/Physical Functioning over the same period of time. These data are consistent with results reported at the 12-month time period for the same patients.</w:t>
      </w:r>
    </w:p>
    <w:p>
      <w:pPr>
        <w:spacing w:after="0" w:line="192" w:lineRule="exact"/>
        <w:rPr>
          <w:rFonts w:ascii="Arial" w:cs="Arial" w:eastAsia="Arial" w:hAnsi="Arial"/>
          <w:sz w:val="17"/>
          <w:szCs w:val="17"/>
          <w:b w:val="1"/>
          <w:bCs w:val="1"/>
          <w:color w:val="auto"/>
        </w:rPr>
      </w:pPr>
    </w:p>
    <w:p>
      <w:pPr>
        <w:ind w:left="560"/>
        <w:spacing w:after="0"/>
        <w:rPr>
          <w:sz w:val="20"/>
          <w:szCs w:val="20"/>
          <w:color w:val="auto"/>
        </w:rPr>
      </w:pPr>
      <w:r>
        <w:rPr>
          <w:rFonts w:ascii="Arial" w:cs="Arial" w:eastAsia="Arial" w:hAnsi="Arial"/>
          <w:sz w:val="18"/>
          <w:szCs w:val="18"/>
          <w:color w:val="auto"/>
        </w:rPr>
        <w:t>The following table summarizes the interim efficacy results for Patients 4-6 in IGNITE DMD at 18-months post-doing:</w:t>
      </w:r>
    </w:p>
    <w:p>
      <w:pPr>
        <w:spacing w:after="0" w:line="235" w:lineRule="exact"/>
        <w:rPr>
          <w:rFonts w:ascii="Arial" w:cs="Arial" w:eastAsia="Arial" w:hAnsi="Arial"/>
          <w:sz w:val="17"/>
          <w:szCs w:val="17"/>
          <w:b w:val="1"/>
          <w:bCs w:val="1"/>
          <w:color w:val="auto"/>
        </w:rPr>
      </w:pPr>
    </w:p>
    <w:p>
      <w:pPr>
        <w:jc w:val="center"/>
        <w:spacing w:after="0"/>
        <w:rPr>
          <w:sz w:val="20"/>
          <w:szCs w:val="20"/>
          <w:color w:val="auto"/>
        </w:rPr>
      </w:pPr>
      <w:r>
        <w:rPr>
          <w:rFonts w:ascii="Arial" w:cs="Arial" w:eastAsia="Arial" w:hAnsi="Arial"/>
          <w:sz w:val="18"/>
          <w:szCs w:val="18"/>
          <w:b w:val="1"/>
          <w:bCs w:val="1"/>
          <w:color w:val="auto"/>
        </w:rPr>
        <w:t>Summary of 18-Month Interim Efficacy Results of IGNITE DMD for Patients 4-6 (2E14 vg/kg cohort)</w:t>
      </w:r>
    </w:p>
    <w:p>
      <w:pPr>
        <w:spacing w:after="0" w:line="27" w:lineRule="exact"/>
        <w:rPr>
          <w:rFonts w:ascii="Arial" w:cs="Arial" w:eastAsia="Arial" w:hAnsi="Arial"/>
          <w:sz w:val="17"/>
          <w:szCs w:val="17"/>
          <w:b w:val="1"/>
          <w:bCs w:val="1"/>
          <w:color w:val="auto"/>
        </w:rPr>
      </w:pPr>
    </w:p>
    <w:p>
      <w:pPr>
        <w:jc w:val="center"/>
        <w:ind w:left="3780" w:right="3360"/>
        <w:spacing w:after="0" w:line="291" w:lineRule="auto"/>
        <w:rPr>
          <w:sz w:val="20"/>
          <w:szCs w:val="20"/>
          <w:color w:val="auto"/>
        </w:rPr>
      </w:pPr>
      <w:r>
        <w:rPr>
          <w:rFonts w:ascii="Arial" w:cs="Arial" w:eastAsia="Arial" w:hAnsi="Arial"/>
          <w:sz w:val="16"/>
          <w:szCs w:val="16"/>
          <w:b w:val="1"/>
          <w:bCs w:val="1"/>
          <w:color w:val="auto"/>
        </w:rPr>
        <w:t>Mean Change from Baseline (Range)</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3853815</wp:posOffset>
            </wp:positionH>
            <wp:positionV relativeFrom="paragraph">
              <wp:posOffset>-4445</wp:posOffset>
            </wp:positionV>
            <wp:extent cx="32829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jc w:val="center"/>
        <w:ind w:left="6040"/>
        <w:spacing w:after="0"/>
        <w:rPr>
          <w:sz w:val="20"/>
          <w:szCs w:val="20"/>
          <w:color w:val="auto"/>
        </w:rPr>
      </w:pPr>
      <w:r>
        <w:rPr>
          <w:rFonts w:ascii="Arial" w:cs="Arial" w:eastAsia="Arial" w:hAnsi="Arial"/>
          <w:sz w:val="18"/>
          <w:szCs w:val="18"/>
          <w:b w:val="1"/>
          <w:bCs w:val="1"/>
          <w:color w:val="auto"/>
        </w:rPr>
        <w:t>Mean Age at Baseline: 8.4 years</w:t>
      </w:r>
    </w:p>
    <w:p>
      <w:pPr>
        <w:spacing w:after="0" w:line="27" w:lineRule="exact"/>
        <w:rPr>
          <w:rFonts w:ascii="Arial" w:cs="Arial" w:eastAsia="Arial" w:hAnsi="Arial"/>
          <w:sz w:val="17"/>
          <w:szCs w:val="17"/>
          <w:b w:val="1"/>
          <w:bCs w:val="1"/>
          <w:color w:val="auto"/>
        </w:rPr>
      </w:pPr>
    </w:p>
    <w:p>
      <w:pPr>
        <w:jc w:val="center"/>
        <w:ind w:left="6040"/>
        <w:spacing w:after="0"/>
        <w:rPr>
          <w:sz w:val="20"/>
          <w:szCs w:val="20"/>
          <w:color w:val="auto"/>
        </w:rPr>
      </w:pPr>
      <w:r>
        <w:rPr>
          <w:rFonts w:ascii="Arial" w:cs="Arial" w:eastAsia="Arial" w:hAnsi="Arial"/>
          <w:sz w:val="18"/>
          <w:szCs w:val="18"/>
          <w:b w:val="1"/>
          <w:bCs w:val="1"/>
          <w:color w:val="auto"/>
        </w:rPr>
        <w:t>(Range: 6.8 to 10.7 years)</w:t>
      </w:r>
    </w:p>
    <w:p>
      <w:pPr>
        <w:spacing w:after="0" w:line="9" w:lineRule="exact"/>
        <w:rPr>
          <w:rFonts w:ascii="Arial" w:cs="Arial" w:eastAsia="Arial" w:hAnsi="Arial"/>
          <w:sz w:val="17"/>
          <w:szCs w:val="17"/>
          <w:b w:val="1"/>
          <w:bCs w:val="1"/>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6 Minute Walk Test (meter)</w:t>
            </w:r>
          </w:p>
        </w:tc>
        <w:tc>
          <w:tcPr>
            <w:tcW w:w="2820" w:type="dxa"/>
            <w:vAlign w:val="bottom"/>
            <w:tcBorders>
              <w:top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91"/>
              </w:rPr>
              <w:t>+15.3 (-17.0 to 56.0)</w:t>
            </w:r>
          </w:p>
        </w:tc>
        <w:tc>
          <w:tcPr>
            <w:tcW w:w="2360" w:type="dxa"/>
            <w:vAlign w:val="bottom"/>
            <w:tcBorders>
              <w:top w:val="single" w:sz="8" w:color="auto"/>
            </w:tcBorders>
            <w:shd w:val="clear" w:color="auto" w:fill="CFF0FC"/>
          </w:tcPr>
          <w:p>
            <w:pPr>
              <w:jc w:val="center"/>
              <w:ind w:right="150"/>
              <w:spacing w:after="0"/>
              <w:rPr>
                <w:sz w:val="20"/>
                <w:szCs w:val="20"/>
                <w:color w:val="auto"/>
              </w:rPr>
            </w:pPr>
            <w:r>
              <w:rPr>
                <w:rFonts w:ascii="Arial" w:cs="Arial" w:eastAsia="Arial" w:hAnsi="Arial"/>
                <w:sz w:val="18"/>
                <w:szCs w:val="18"/>
                <w:color w:val="auto"/>
                <w:w w:val="93"/>
              </w:rPr>
              <w:t>+78.8</w:t>
            </w:r>
            <w:r>
              <w:rPr>
                <w:rFonts w:ascii="Arial" w:cs="Arial" w:eastAsia="Arial" w:hAnsi="Arial"/>
                <w:sz w:val="15"/>
                <w:szCs w:val="15"/>
                <w:color w:val="auto"/>
                <w:w w:val="93"/>
              </w:rPr>
              <w:t>(1)</w:t>
            </w: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North Star Ambulatory Assessment (units)</w:t>
            </w:r>
          </w:p>
        </w:tc>
        <w:tc>
          <w:tcPr>
            <w:tcW w:w="2820" w:type="dxa"/>
            <w:vAlign w:val="bottom"/>
          </w:tcPr>
          <w:p>
            <w:pPr>
              <w:jc w:val="center"/>
              <w:ind w:right="150"/>
              <w:spacing w:after="0"/>
              <w:rPr>
                <w:sz w:val="20"/>
                <w:szCs w:val="20"/>
                <w:color w:val="auto"/>
              </w:rPr>
            </w:pPr>
            <w:r>
              <w:rPr>
                <w:rFonts w:ascii="Arial" w:cs="Arial" w:eastAsia="Arial" w:hAnsi="Arial"/>
                <w:sz w:val="18"/>
                <w:szCs w:val="18"/>
                <w:color w:val="auto"/>
                <w:w w:val="91"/>
              </w:rPr>
              <w:t>-1.7 (-3.0 to 0.0)</w:t>
            </w:r>
          </w:p>
        </w:tc>
        <w:tc>
          <w:tcPr>
            <w:tcW w:w="2360" w:type="dxa"/>
            <w:vAlign w:val="bottom"/>
          </w:tcPr>
          <w:p>
            <w:pPr>
              <w:jc w:val="center"/>
              <w:ind w:right="170"/>
              <w:spacing w:after="0"/>
              <w:rPr>
                <w:sz w:val="20"/>
                <w:szCs w:val="20"/>
                <w:color w:val="auto"/>
              </w:rPr>
            </w:pPr>
            <w:r>
              <w:rPr>
                <w:rFonts w:ascii="Arial" w:cs="Arial" w:eastAsia="Arial" w:hAnsi="Arial"/>
                <w:sz w:val="18"/>
                <w:szCs w:val="18"/>
                <w:color w:val="auto"/>
                <w:w w:val="92"/>
              </w:rPr>
              <w:t>+2.8</w:t>
            </w:r>
            <w:r>
              <w:rPr>
                <w:rFonts w:ascii="Arial" w:cs="Arial" w:eastAsia="Arial" w:hAnsi="Arial"/>
                <w:sz w:val="15"/>
                <w:szCs w:val="15"/>
                <w:color w:val="auto"/>
                <w:w w:val="92"/>
              </w:rPr>
              <w:t>(2)</w:t>
            </w:r>
          </w:p>
        </w:tc>
      </w:tr>
      <w:tr>
        <w:trPr>
          <w:trHeight w:val="230"/>
        </w:trPr>
        <w:tc>
          <w:tcPr>
            <w:tcW w:w="6060" w:type="dxa"/>
            <w:vAlign w:val="bottom"/>
            <w:tcBorders>
              <w:bottom w:val="single" w:sz="8" w:color="E6E6E6"/>
            </w:tcBorders>
            <w:shd w:val="clear" w:color="auto" w:fill="CFF0FC"/>
          </w:tcPr>
          <w:p>
            <w:pPr>
              <w:spacing w:after="0"/>
              <w:rPr>
                <w:sz w:val="20"/>
                <w:szCs w:val="20"/>
                <w:color w:val="auto"/>
              </w:rPr>
            </w:pPr>
            <w:r>
              <w:rPr>
                <w:rFonts w:ascii="Arial" w:cs="Arial" w:eastAsia="Arial" w:hAnsi="Arial"/>
                <w:sz w:val="18"/>
                <w:szCs w:val="18"/>
                <w:color w:val="auto"/>
              </w:rPr>
              <w:t>Forced Vital Capacity (%p)</w:t>
            </w:r>
          </w:p>
        </w:tc>
        <w:tc>
          <w:tcPr>
            <w:tcW w:w="282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91"/>
              </w:rPr>
              <w:t>+8.5 (0.6 to 22.5)</w:t>
            </w:r>
          </w:p>
        </w:tc>
        <w:tc>
          <w:tcPr>
            <w:tcW w:w="236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93"/>
              </w:rPr>
              <w:t>+16.0</w:t>
            </w:r>
            <w:r>
              <w:rPr>
                <w:rFonts w:ascii="Arial" w:cs="Arial" w:eastAsia="Arial" w:hAnsi="Arial"/>
                <w:sz w:val="15"/>
                <w:szCs w:val="15"/>
                <w:color w:val="auto"/>
                <w:w w:val="93"/>
              </w:rPr>
              <w:t>(3)</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Peak Expiratory Flow (%p)</w:t>
            </w:r>
          </w:p>
        </w:tc>
        <w:tc>
          <w:tcPr>
            <w:tcW w:w="2820" w:type="dxa"/>
            <w:vAlign w:val="bottom"/>
          </w:tcPr>
          <w:p>
            <w:pPr>
              <w:jc w:val="center"/>
              <w:ind w:right="150"/>
              <w:spacing w:after="0"/>
              <w:rPr>
                <w:sz w:val="20"/>
                <w:szCs w:val="20"/>
                <w:color w:val="auto"/>
              </w:rPr>
            </w:pPr>
            <w:r>
              <w:rPr>
                <w:rFonts w:ascii="Arial" w:cs="Arial" w:eastAsia="Arial" w:hAnsi="Arial"/>
                <w:sz w:val="18"/>
                <w:szCs w:val="18"/>
                <w:color w:val="auto"/>
                <w:w w:val="90"/>
              </w:rPr>
              <w:t>+11.2 (7.9 to 13.1)</w:t>
            </w:r>
          </w:p>
        </w:tc>
        <w:tc>
          <w:tcPr>
            <w:tcW w:w="2360" w:type="dxa"/>
            <w:vAlign w:val="bottom"/>
          </w:tcPr>
          <w:p>
            <w:pPr>
              <w:jc w:val="center"/>
              <w:ind w:right="150"/>
              <w:spacing w:after="0"/>
              <w:rPr>
                <w:sz w:val="20"/>
                <w:szCs w:val="20"/>
                <w:color w:val="auto"/>
              </w:rPr>
            </w:pPr>
            <w:r>
              <w:rPr>
                <w:rFonts w:ascii="Arial" w:cs="Arial" w:eastAsia="Arial" w:hAnsi="Arial"/>
                <w:sz w:val="18"/>
                <w:szCs w:val="18"/>
                <w:color w:val="auto"/>
                <w:w w:val="93"/>
              </w:rPr>
              <w:t>+18.7</w:t>
            </w:r>
            <w:r>
              <w:rPr>
                <w:rFonts w:ascii="Arial" w:cs="Arial" w:eastAsia="Arial" w:hAnsi="Arial"/>
                <w:sz w:val="15"/>
                <w:szCs w:val="15"/>
                <w:color w:val="auto"/>
                <w:w w:val="93"/>
              </w:rPr>
              <w:t>(4)</w:t>
            </w:r>
          </w:p>
        </w:tc>
      </w:tr>
      <w:tr>
        <w:trPr>
          <w:trHeight w:val="230"/>
        </w:trPr>
        <w:tc>
          <w:tcPr>
            <w:tcW w:w="6060" w:type="dxa"/>
            <w:vAlign w:val="bottom"/>
            <w:tcBorders>
              <w:bottom w:val="single" w:sz="8" w:color="E6E6E6"/>
            </w:tcBorders>
            <w:shd w:val="clear" w:color="auto" w:fill="CFF0FC"/>
          </w:tcPr>
          <w:p>
            <w:pPr>
              <w:spacing w:after="0"/>
              <w:rPr>
                <w:sz w:val="20"/>
                <w:szCs w:val="20"/>
                <w:color w:val="auto"/>
              </w:rPr>
            </w:pPr>
            <w:r>
              <w:rPr>
                <w:rFonts w:ascii="Arial" w:cs="Arial" w:eastAsia="Arial" w:hAnsi="Arial"/>
                <w:sz w:val="18"/>
                <w:szCs w:val="18"/>
                <w:color w:val="auto"/>
              </w:rPr>
              <w:t>PODCI Global Function (points)</w:t>
            </w:r>
          </w:p>
        </w:tc>
        <w:tc>
          <w:tcPr>
            <w:tcW w:w="282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90"/>
              </w:rPr>
              <w:t>+11.0 (7.0 to 18.0)</w:t>
            </w:r>
          </w:p>
        </w:tc>
        <w:tc>
          <w:tcPr>
            <w:tcW w:w="236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93"/>
              </w:rPr>
              <w:t>+18.6</w:t>
            </w:r>
            <w:r>
              <w:rPr>
                <w:rFonts w:ascii="Arial" w:cs="Arial" w:eastAsia="Arial" w:hAnsi="Arial"/>
                <w:sz w:val="15"/>
                <w:szCs w:val="15"/>
                <w:color w:val="auto"/>
                <w:w w:val="93"/>
              </w:rPr>
              <w:t>(5)</w:t>
            </w: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PODCI Transfer/Basic Mobility (points)</w:t>
            </w:r>
          </w:p>
        </w:tc>
        <w:tc>
          <w:tcPr>
            <w:tcW w:w="2820" w:type="dxa"/>
            <w:vAlign w:val="bottom"/>
          </w:tcPr>
          <w:p>
            <w:pPr>
              <w:jc w:val="center"/>
              <w:ind w:right="150"/>
              <w:spacing w:after="0"/>
              <w:rPr>
                <w:sz w:val="20"/>
                <w:szCs w:val="20"/>
                <w:color w:val="auto"/>
              </w:rPr>
            </w:pPr>
            <w:r>
              <w:rPr>
                <w:rFonts w:ascii="Arial" w:cs="Arial" w:eastAsia="Arial" w:hAnsi="Arial"/>
                <w:sz w:val="18"/>
                <w:szCs w:val="18"/>
                <w:color w:val="auto"/>
                <w:w w:val="92"/>
              </w:rPr>
              <w:t>0.0 (-6.0 to 3.0)</w:t>
            </w:r>
          </w:p>
        </w:tc>
        <w:tc>
          <w:tcPr>
            <w:tcW w:w="2360" w:type="dxa"/>
            <w:vAlign w:val="bottom"/>
          </w:tcPr>
          <w:p>
            <w:pPr>
              <w:jc w:val="center"/>
              <w:ind w:right="150"/>
              <w:spacing w:after="0"/>
              <w:rPr>
                <w:sz w:val="20"/>
                <w:szCs w:val="20"/>
                <w:color w:val="auto"/>
              </w:rPr>
            </w:pPr>
            <w:r>
              <w:rPr>
                <w:rFonts w:ascii="Arial" w:cs="Arial" w:eastAsia="Arial" w:hAnsi="Arial"/>
                <w:sz w:val="18"/>
                <w:szCs w:val="18"/>
                <w:color w:val="auto"/>
                <w:w w:val="93"/>
              </w:rPr>
              <w:t>+14.9</w:t>
            </w:r>
            <w:r>
              <w:rPr>
                <w:rFonts w:ascii="Arial" w:cs="Arial" w:eastAsia="Arial" w:hAnsi="Arial"/>
                <w:sz w:val="15"/>
                <w:szCs w:val="15"/>
                <w:color w:val="auto"/>
                <w:w w:val="93"/>
              </w:rPr>
              <w:t>(6)</w:t>
            </w:r>
          </w:p>
        </w:tc>
      </w:tr>
      <w:tr>
        <w:trPr>
          <w:trHeight w:val="230"/>
        </w:trPr>
        <w:tc>
          <w:tcPr>
            <w:tcW w:w="6060" w:type="dxa"/>
            <w:vAlign w:val="bottom"/>
            <w:tcBorders>
              <w:bottom w:val="single" w:sz="8" w:color="E6E6E6"/>
            </w:tcBorders>
            <w:shd w:val="clear" w:color="auto" w:fill="CFF0FC"/>
          </w:tcPr>
          <w:p>
            <w:pPr>
              <w:spacing w:after="0"/>
              <w:rPr>
                <w:sz w:val="20"/>
                <w:szCs w:val="20"/>
                <w:color w:val="auto"/>
              </w:rPr>
            </w:pPr>
            <w:r>
              <w:rPr>
                <w:rFonts w:ascii="Arial" w:cs="Arial" w:eastAsia="Arial" w:hAnsi="Arial"/>
                <w:sz w:val="18"/>
                <w:szCs w:val="18"/>
                <w:color w:val="auto"/>
              </w:rPr>
              <w:t>PODCI Sports/Physical Functioning (points)</w:t>
            </w:r>
          </w:p>
        </w:tc>
        <w:tc>
          <w:tcPr>
            <w:tcW w:w="2820" w:type="dxa"/>
            <w:vAlign w:val="bottom"/>
            <w:shd w:val="clear" w:color="auto" w:fill="CFF0FC"/>
          </w:tcPr>
          <w:p>
            <w:pPr>
              <w:jc w:val="center"/>
              <w:ind w:right="130"/>
              <w:spacing w:after="0"/>
              <w:rPr>
                <w:sz w:val="20"/>
                <w:szCs w:val="20"/>
                <w:color w:val="auto"/>
              </w:rPr>
            </w:pPr>
            <w:r>
              <w:rPr>
                <w:rFonts w:ascii="Arial" w:cs="Arial" w:eastAsia="Arial" w:hAnsi="Arial"/>
                <w:sz w:val="18"/>
                <w:szCs w:val="18"/>
                <w:color w:val="auto"/>
                <w:w w:val="91"/>
              </w:rPr>
              <w:t>+19.0 (14.0 to 23.0)</w:t>
            </w:r>
          </w:p>
        </w:tc>
        <w:tc>
          <w:tcPr>
            <w:tcW w:w="236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93"/>
              </w:rPr>
              <w:t>+23.7</w:t>
            </w:r>
            <w:r>
              <w:rPr>
                <w:rFonts w:ascii="Arial" w:cs="Arial" w:eastAsia="Arial" w:hAnsi="Arial"/>
                <w:sz w:val="15"/>
                <w:szCs w:val="15"/>
                <w:color w:val="auto"/>
                <w:w w:val="93"/>
              </w:rPr>
              <w:t>(7)</w:t>
            </w:r>
          </w:p>
        </w:tc>
      </w:tr>
      <w:tr>
        <w:trPr>
          <w:trHeight w:val="156"/>
        </w:trPr>
        <w:tc>
          <w:tcPr>
            <w:tcW w:w="6060" w:type="dxa"/>
            <w:vAlign w:val="bottom"/>
          </w:tcPr>
          <w:p>
            <w:pPr>
              <w:spacing w:after="0" w:line="156" w:lineRule="exact"/>
              <w:rPr>
                <w:sz w:val="20"/>
                <w:szCs w:val="20"/>
                <w:color w:val="auto"/>
              </w:rPr>
            </w:pPr>
            <w:r>
              <w:rPr>
                <w:rFonts w:ascii="Arial" w:cs="Arial" w:eastAsia="Arial" w:hAnsi="Arial"/>
                <w:sz w:val="15"/>
                <w:szCs w:val="15"/>
                <w:color w:val="auto"/>
              </w:rPr>
              <w:t>(1). -63.5m expected decline in 18 months after age 7 (Mercuri et al 2016)</w:t>
            </w:r>
          </w:p>
        </w:tc>
        <w:tc>
          <w:tcPr>
            <w:tcW w:w="28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88"/>
        </w:trPr>
        <w:tc>
          <w:tcPr>
            <w:tcW w:w="6060" w:type="dxa"/>
            <w:vAlign w:val="bottom"/>
          </w:tcPr>
          <w:p>
            <w:pPr>
              <w:spacing w:after="0"/>
              <w:rPr>
                <w:sz w:val="20"/>
                <w:szCs w:val="20"/>
                <w:color w:val="auto"/>
              </w:rPr>
            </w:pPr>
            <w:r>
              <w:rPr>
                <w:rFonts w:ascii="Arial" w:cs="Arial" w:eastAsia="Arial" w:hAnsi="Arial"/>
                <w:sz w:val="15"/>
                <w:szCs w:val="15"/>
                <w:color w:val="auto"/>
              </w:rPr>
              <w:t>(2). -4.5 unit expected decline in 18 months after age 6.3 (Muntoni eta al 2019)</w:t>
            </w:r>
          </w:p>
        </w:tc>
        <w:tc>
          <w:tcPr>
            <w:tcW w:w="282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15"/>
          <w:szCs w:val="15"/>
          <w:color w:val="auto"/>
        </w:rPr>
        <w:t>(3). -7.5%p expected decline in 18 months after age 6 (Mayer et al 2015)</w:t>
      </w:r>
    </w:p>
    <w:p>
      <w:pPr>
        <w:spacing w:after="0" w:line="3"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5"/>
          <w:szCs w:val="15"/>
          <w:color w:val="auto"/>
        </w:rPr>
        <w:t>(4). -7.5%p expected decline in 18 months after age 6 (Mayer et al 2015)</w:t>
      </w:r>
    </w:p>
    <w:p>
      <w:pPr>
        <w:spacing w:after="0" w:line="3"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5"/>
          <w:szCs w:val="15"/>
          <w:color w:val="auto"/>
        </w:rPr>
        <w:t>(5). -7.6 point expected decline in 18 months (Henricson et al 2013)</w:t>
      </w:r>
    </w:p>
    <w:p>
      <w:pPr>
        <w:spacing w:after="0" w:line="3"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5"/>
          <w:szCs w:val="15"/>
          <w:color w:val="auto"/>
        </w:rPr>
        <w:t>(6). -14.9 point expected decline in 18 months (Henricson et al 2013)</w:t>
      </w:r>
    </w:p>
    <w:p>
      <w:pPr>
        <w:spacing w:after="0" w:line="3"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5"/>
          <w:szCs w:val="15"/>
          <w:color w:val="auto"/>
        </w:rPr>
        <w:t>(7). -4.7 point expected decline in 18 months (Henricson et al 2013)</w:t>
      </w:r>
    </w:p>
    <w:p>
      <w:pPr>
        <w:spacing w:after="0" w:line="206" w:lineRule="exact"/>
        <w:rPr>
          <w:rFonts w:ascii="Arial" w:cs="Arial" w:eastAsia="Arial" w:hAnsi="Arial"/>
          <w:sz w:val="17"/>
          <w:szCs w:val="17"/>
          <w:b w:val="1"/>
          <w:bCs w:val="1"/>
          <w:color w:val="auto"/>
        </w:rPr>
      </w:pPr>
    </w:p>
    <w:p>
      <w:pPr>
        <w:ind w:right="20" w:firstLine="546"/>
        <w:spacing w:after="0" w:line="259" w:lineRule="auto"/>
        <w:rPr>
          <w:sz w:val="20"/>
          <w:szCs w:val="20"/>
          <w:color w:val="auto"/>
        </w:rPr>
      </w:pPr>
      <w:r>
        <w:rPr>
          <w:rFonts w:ascii="Arial" w:cs="Arial" w:eastAsia="Arial" w:hAnsi="Arial"/>
          <w:sz w:val="18"/>
          <w:szCs w:val="18"/>
          <w:color w:val="auto"/>
        </w:rPr>
        <w:t>In March 2022, we announced two-year interim safety and efficacy data from the first three Patients (Patients 4-6) treated with SGT-001 in the 2E14 vg/kg dose cohort of IGNITE DMD. Results suggested durable benefit 24-months post-administration of SGT-001, when compared to natural history. These data were consistent with results reported at the 12-month and 18-month time periods for the same patients. The average age of Patients 4-6 at the two year timepoint was 10.4 years.</w:t>
      </w:r>
    </w:p>
    <w:p>
      <w:pPr>
        <w:spacing w:after="0" w:line="187" w:lineRule="exact"/>
        <w:rPr>
          <w:rFonts w:ascii="Arial" w:cs="Arial" w:eastAsia="Arial" w:hAnsi="Arial"/>
          <w:sz w:val="17"/>
          <w:szCs w:val="17"/>
          <w:b w:val="1"/>
          <w:bCs w:val="1"/>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line="209" w:lineRule="auto"/>
        <w:framePr w:w="1560" w:h="160" w:wrap="auto" w:vAnchor="page" w:hAnchor="page" w:x="9480" w:y="2005"/>
        <w:rPr>
          <w:rFonts w:ascii="Arial" w:cs="Arial" w:eastAsia="Arial" w:hAnsi="Arial"/>
          <w:sz w:val="16"/>
          <w:szCs w:val="16"/>
          <w:b w:val="1"/>
          <w:bCs w:val="1"/>
          <w:color w:val="auto"/>
        </w:rPr>
      </w:pPr>
      <w:r>
        <w:rPr>
          <w:rFonts w:ascii="Arial" w:cs="Arial" w:eastAsia="Arial" w:hAnsi="Arial"/>
          <w:sz w:val="16"/>
          <w:szCs w:val="16"/>
          <w:b w:val="1"/>
          <w:bCs w:val="1"/>
          <w:color w:val="auto"/>
        </w:rPr>
        <w:t>Mean Difference vs</w:t>
      </w:r>
    </w:p>
    <w:p>
      <w:pPr>
        <w:spacing w:after="0" w:line="196" w:lineRule="auto"/>
        <w:framePr w:w="1300" w:h="160" w:wrap="auto" w:vAnchor="page" w:hAnchor="page" w:x="9620" w:y="2221"/>
        <w:rPr>
          <w:rFonts w:ascii="Arial" w:cs="Arial" w:eastAsia="Arial" w:hAnsi="Arial"/>
          <w:sz w:val="17"/>
          <w:szCs w:val="17"/>
          <w:b w:val="1"/>
          <w:bCs w:val="1"/>
          <w:color w:val="auto"/>
        </w:rPr>
      </w:pPr>
      <w:r>
        <w:rPr>
          <w:rFonts w:ascii="Arial" w:cs="Arial" w:eastAsia="Arial" w:hAnsi="Arial"/>
          <w:sz w:val="17"/>
          <w:szCs w:val="17"/>
          <w:b w:val="1"/>
          <w:bCs w:val="1"/>
          <w:color w:val="auto"/>
        </w:rPr>
        <w:t>Natural History</w:t>
      </w:r>
    </w:p>
    <w:p>
      <w:pPr>
        <w:ind w:right="200" w:firstLine="546"/>
        <w:spacing w:after="0" w:line="263" w:lineRule="auto"/>
        <w:rPr>
          <w:sz w:val="20"/>
          <w:szCs w:val="20"/>
          <w:color w:val="auto"/>
        </w:rPr>
      </w:pPr>
      <w:r>
        <w:rPr>
          <w:rFonts w:ascii="Arial" w:cs="Arial" w:eastAsia="Arial" w:hAnsi="Arial"/>
          <w:sz w:val="18"/>
          <w:szCs w:val="18"/>
          <w:color w:val="auto"/>
        </w:rPr>
        <w:t>Data from Patients 4-6 suggested sustained motor function at two years post-infusion, as assessed by 6MWT and NSAA, against expected natural history declines. In addition, the data suggested improved pulmonary function, as measured by FVC and PEF, and sustained or improved PROMs as assessed in key functional domains of the PODCI when compared to both baseline and natural history.</w:t>
      </w:r>
    </w:p>
    <w:p>
      <w:pPr>
        <w:spacing w:after="0" w:line="184" w:lineRule="exact"/>
        <w:rPr>
          <w:rFonts w:ascii="Arial" w:cs="Arial" w:eastAsia="Arial" w:hAnsi="Arial"/>
          <w:sz w:val="17"/>
          <w:szCs w:val="17"/>
          <w:b w:val="1"/>
          <w:bCs w:val="1"/>
          <w:color w:val="auto"/>
        </w:rPr>
      </w:pPr>
    </w:p>
    <w:p>
      <w:pPr>
        <w:ind w:left="560"/>
        <w:spacing w:after="0"/>
        <w:rPr>
          <w:sz w:val="20"/>
          <w:szCs w:val="20"/>
          <w:color w:val="auto"/>
        </w:rPr>
      </w:pPr>
      <w:r>
        <w:rPr>
          <w:rFonts w:ascii="Arial" w:cs="Arial" w:eastAsia="Arial" w:hAnsi="Arial"/>
          <w:sz w:val="18"/>
          <w:szCs w:val="18"/>
          <w:color w:val="auto"/>
        </w:rPr>
        <w:t>The following table summarizes the interim efficacy results for Patients 4-6 in IGNITE DMD at 24-months post-dosing:</w:t>
      </w:r>
    </w:p>
    <w:p>
      <w:pPr>
        <w:spacing w:after="0" w:line="235" w:lineRule="exact"/>
        <w:rPr>
          <w:rFonts w:ascii="Arial" w:cs="Arial" w:eastAsia="Arial" w:hAnsi="Arial"/>
          <w:sz w:val="17"/>
          <w:szCs w:val="17"/>
          <w:b w:val="1"/>
          <w:bCs w:val="1"/>
          <w:color w:val="auto"/>
        </w:rPr>
      </w:pPr>
    </w:p>
    <w:p>
      <w:pPr>
        <w:jc w:val="center"/>
        <w:spacing w:after="0"/>
        <w:rPr>
          <w:sz w:val="20"/>
          <w:szCs w:val="20"/>
          <w:color w:val="auto"/>
        </w:rPr>
      </w:pPr>
      <w:r>
        <w:rPr>
          <w:rFonts w:ascii="Arial" w:cs="Arial" w:eastAsia="Arial" w:hAnsi="Arial"/>
          <w:sz w:val="18"/>
          <w:szCs w:val="18"/>
          <w:b w:val="1"/>
          <w:bCs w:val="1"/>
          <w:color w:val="auto"/>
        </w:rPr>
        <w:t>Summary of 24-Month Interim Efficacy Results of IGNITE DMD for Patients 4-6 (2E14 vg/kg cohort)</w:t>
      </w:r>
    </w:p>
    <w:p>
      <w:pPr>
        <w:spacing w:after="0" w:line="27" w:lineRule="exact"/>
        <w:rPr>
          <w:rFonts w:ascii="Arial" w:cs="Arial" w:eastAsia="Arial" w:hAnsi="Arial"/>
          <w:sz w:val="17"/>
          <w:szCs w:val="17"/>
          <w:b w:val="1"/>
          <w:bCs w:val="1"/>
          <w:color w:val="auto"/>
        </w:rPr>
      </w:pPr>
    </w:p>
    <w:p>
      <w:pPr>
        <w:jc w:val="center"/>
        <w:ind w:left="3820" w:right="3340"/>
        <w:spacing w:after="0" w:line="291" w:lineRule="auto"/>
        <w:rPr>
          <w:sz w:val="20"/>
          <w:szCs w:val="20"/>
          <w:color w:val="auto"/>
        </w:rPr>
      </w:pPr>
      <w:r>
        <w:rPr>
          <w:rFonts w:ascii="Arial" w:cs="Arial" w:eastAsia="Arial" w:hAnsi="Arial"/>
          <w:sz w:val="16"/>
          <w:szCs w:val="16"/>
          <w:b w:val="1"/>
          <w:bCs w:val="1"/>
          <w:color w:val="auto"/>
        </w:rPr>
        <w:t>Mean Change from Baseline (Range)</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3870960</wp:posOffset>
            </wp:positionH>
            <wp:positionV relativeFrom="paragraph">
              <wp:posOffset>-4445</wp:posOffset>
            </wp:positionV>
            <wp:extent cx="32658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8"/>
          <w:szCs w:val="18"/>
          <w:b w:val="1"/>
          <w:bCs w:val="1"/>
          <w:color w:val="auto"/>
        </w:rPr>
        <w:t>Mean Age at Baseline: 8.4 years</w:t>
      </w:r>
    </w:p>
    <w:p>
      <w:pPr>
        <w:spacing w:after="0" w:line="27" w:lineRule="exact"/>
        <w:rPr>
          <w:rFonts w:ascii="Arial" w:cs="Arial" w:eastAsia="Arial" w:hAnsi="Arial"/>
          <w:sz w:val="17"/>
          <w:szCs w:val="17"/>
          <w:b w:val="1"/>
          <w:bCs w:val="1"/>
          <w:color w:val="auto"/>
        </w:rPr>
      </w:pPr>
    </w:p>
    <w:p>
      <w:pPr>
        <w:jc w:val="center"/>
        <w:ind w:left="6060"/>
        <w:spacing w:after="0"/>
        <w:rPr>
          <w:sz w:val="20"/>
          <w:szCs w:val="20"/>
          <w:color w:val="auto"/>
        </w:rPr>
      </w:pPr>
      <w:r>
        <w:rPr>
          <w:rFonts w:ascii="Arial" w:cs="Arial" w:eastAsia="Arial" w:hAnsi="Arial"/>
          <w:sz w:val="18"/>
          <w:szCs w:val="18"/>
          <w:b w:val="1"/>
          <w:bCs w:val="1"/>
          <w:color w:val="auto"/>
        </w:rPr>
        <w:t>(Range: 6.8 to 10.7 years)</w:t>
      </w:r>
    </w:p>
    <w:p>
      <w:pPr>
        <w:spacing w:after="0" w:line="9" w:lineRule="exact"/>
        <w:rPr>
          <w:rFonts w:ascii="Arial" w:cs="Arial" w:eastAsia="Arial" w:hAnsi="Arial"/>
          <w:sz w:val="17"/>
          <w:szCs w:val="17"/>
          <w:b w:val="1"/>
          <w:bCs w:val="1"/>
          <w:color w:val="auto"/>
        </w:rPr>
      </w:pPr>
    </w:p>
    <w:tbl>
      <w:tblPr>
        <w:tblLayout w:type="fixed"/>
        <w:tblInd w:w="0" w:type="dxa"/>
        <w:tblCellMar>
          <w:top w:w="0" w:type="dxa"/>
          <w:left w:w="0" w:type="dxa"/>
          <w:bottom w:w="0" w:type="dxa"/>
          <w:right w:w="0" w:type="dxa"/>
        </w:tblCellMar>
      </w:tblP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6 Minute Walk Test (meter)</w:t>
            </w:r>
          </w:p>
        </w:tc>
        <w:tc>
          <w:tcPr>
            <w:tcW w:w="25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+16.0 (-12 to 39)</w:t>
            </w:r>
          </w:p>
        </w:tc>
        <w:tc>
          <w:tcPr>
            <w:tcW w:w="2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+100.6</w:t>
            </w:r>
            <w:r>
              <w:rPr>
                <w:rFonts w:ascii="Arial" w:cs="Arial" w:eastAsia="Arial" w:hAnsi="Arial"/>
                <w:sz w:val="15"/>
                <w:szCs w:val="15"/>
                <w:color w:val="auto"/>
                <w:w w:val="91"/>
              </w:rPr>
              <w:t>(1)</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North Star Ambulatory Assessment (units)</w:t>
            </w: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-1.7 (-3 to -1)</w:t>
            </w:r>
          </w:p>
        </w:tc>
        <w:tc>
          <w:tcPr>
            <w:tcW w:w="2580" w:type="dxa"/>
            <w:vAlign w:val="bottom"/>
          </w:tcPr>
          <w:p>
            <w:pPr>
              <w:jc w:val="center"/>
              <w:spacing w:after="0"/>
              <w:rPr>
                <w:sz w:val="20"/>
                <w:szCs w:val="20"/>
                <w:color w:val="auto"/>
              </w:rPr>
            </w:pPr>
            <w:r>
              <w:rPr>
                <w:rFonts w:ascii="Arial" w:cs="Arial" w:eastAsia="Arial" w:hAnsi="Arial"/>
                <w:sz w:val="18"/>
                <w:szCs w:val="18"/>
                <w:color w:val="auto"/>
                <w:w w:val="92"/>
              </w:rPr>
              <w:t>+4.3</w:t>
            </w:r>
            <w:r>
              <w:rPr>
                <w:rFonts w:ascii="Arial" w:cs="Arial" w:eastAsia="Arial" w:hAnsi="Arial"/>
                <w:sz w:val="15"/>
                <w:szCs w:val="15"/>
                <w:color w:val="auto"/>
                <w:w w:val="92"/>
              </w:rPr>
              <w:t>(2)</w:t>
            </w:r>
          </w:p>
        </w:tc>
      </w:tr>
      <w:tr>
        <w:trPr>
          <w:trHeight w:val="229"/>
        </w:trPr>
        <w:tc>
          <w:tcPr>
            <w:tcW w:w="6100" w:type="dxa"/>
            <w:vAlign w:val="bottom"/>
            <w:tcBorders>
              <w:bottom w:val="single" w:sz="8" w:color="E6E6E6"/>
            </w:tcBorders>
            <w:shd w:val="clear" w:color="auto" w:fill="CFF0FC"/>
          </w:tcPr>
          <w:p>
            <w:pPr>
              <w:spacing w:after="0"/>
              <w:rPr>
                <w:sz w:val="20"/>
                <w:szCs w:val="20"/>
                <w:color w:val="auto"/>
              </w:rPr>
            </w:pPr>
            <w:r>
              <w:rPr>
                <w:rFonts w:ascii="Arial" w:cs="Arial" w:eastAsia="Arial" w:hAnsi="Arial"/>
                <w:sz w:val="18"/>
                <w:szCs w:val="18"/>
                <w:color w:val="auto"/>
              </w:rPr>
              <w:t>Forced Vital Capacity (%p)</w:t>
            </w:r>
          </w:p>
        </w:tc>
        <w:tc>
          <w:tcPr>
            <w:tcW w:w="2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+9.2 (-1.4 to 29.0)</w:t>
            </w:r>
          </w:p>
        </w:tc>
        <w:tc>
          <w:tcPr>
            <w:tcW w:w="258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3"/>
              </w:rPr>
              <w:t>+19.2</w:t>
            </w:r>
            <w:r>
              <w:rPr>
                <w:rFonts w:ascii="Arial" w:cs="Arial" w:eastAsia="Arial" w:hAnsi="Arial"/>
                <w:sz w:val="15"/>
                <w:szCs w:val="15"/>
                <w:color w:val="auto"/>
                <w:w w:val="93"/>
              </w:rPr>
              <w:t>(3)</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Peak Expiratory Flow (%p)</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+6.5 (-5.8 to 14.8)</w:t>
            </w:r>
          </w:p>
        </w:tc>
        <w:tc>
          <w:tcPr>
            <w:tcW w:w="2580" w:type="dxa"/>
            <w:vAlign w:val="bottom"/>
          </w:tcPr>
          <w:p>
            <w:pPr>
              <w:jc w:val="center"/>
              <w:spacing w:after="0"/>
              <w:rPr>
                <w:sz w:val="20"/>
                <w:szCs w:val="20"/>
                <w:color w:val="auto"/>
              </w:rPr>
            </w:pPr>
            <w:r>
              <w:rPr>
                <w:rFonts w:ascii="Arial" w:cs="Arial" w:eastAsia="Arial" w:hAnsi="Arial"/>
                <w:sz w:val="18"/>
                <w:szCs w:val="18"/>
                <w:color w:val="auto"/>
                <w:w w:val="93"/>
              </w:rPr>
              <w:t>+16.5</w:t>
            </w:r>
            <w:r>
              <w:rPr>
                <w:rFonts w:ascii="Arial" w:cs="Arial" w:eastAsia="Arial" w:hAnsi="Arial"/>
                <w:sz w:val="15"/>
                <w:szCs w:val="15"/>
                <w:color w:val="auto"/>
                <w:w w:val="93"/>
              </w:rPr>
              <w:t>(4)</w:t>
            </w:r>
          </w:p>
        </w:tc>
      </w:tr>
      <w:tr>
        <w:trPr>
          <w:trHeight w:val="229"/>
        </w:trPr>
        <w:tc>
          <w:tcPr>
            <w:tcW w:w="6100" w:type="dxa"/>
            <w:vAlign w:val="bottom"/>
            <w:tcBorders>
              <w:bottom w:val="single" w:sz="8" w:color="E6E6E6"/>
            </w:tcBorders>
            <w:shd w:val="clear" w:color="auto" w:fill="CFF0FC"/>
          </w:tcPr>
          <w:p>
            <w:pPr>
              <w:spacing w:after="0"/>
              <w:rPr>
                <w:sz w:val="20"/>
                <w:szCs w:val="20"/>
                <w:color w:val="auto"/>
              </w:rPr>
            </w:pPr>
            <w:r>
              <w:rPr>
                <w:rFonts w:ascii="Arial" w:cs="Arial" w:eastAsia="Arial" w:hAnsi="Arial"/>
                <w:sz w:val="18"/>
                <w:szCs w:val="18"/>
                <w:color w:val="auto"/>
              </w:rPr>
              <w:t>PODCI Global Function (points)</w:t>
            </w:r>
          </w:p>
        </w:tc>
        <w:tc>
          <w:tcPr>
            <w:tcW w:w="2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+6.3 (0 to 13)</w:t>
            </w:r>
          </w:p>
        </w:tc>
        <w:tc>
          <w:tcPr>
            <w:tcW w:w="258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3"/>
              </w:rPr>
              <w:t>+16.4</w:t>
            </w:r>
            <w:r>
              <w:rPr>
                <w:rFonts w:ascii="Arial" w:cs="Arial" w:eastAsia="Arial" w:hAnsi="Arial"/>
                <w:sz w:val="15"/>
                <w:szCs w:val="15"/>
                <w:color w:val="auto"/>
                <w:w w:val="93"/>
              </w:rPr>
              <w:t>(5)</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PODCI Transfer/Basic Mobility (points)</w:t>
            </w:r>
          </w:p>
        </w:tc>
        <w:tc>
          <w:tcPr>
            <w:tcW w:w="2560" w:type="dxa"/>
            <w:vAlign w:val="bottom"/>
          </w:tcPr>
          <w:p>
            <w:pPr>
              <w:jc w:val="center"/>
              <w:spacing w:after="0"/>
              <w:rPr>
                <w:sz w:val="20"/>
                <w:szCs w:val="20"/>
                <w:color w:val="auto"/>
              </w:rPr>
            </w:pPr>
            <w:r>
              <w:rPr>
                <w:rFonts w:ascii="Arial" w:cs="Arial" w:eastAsia="Arial" w:hAnsi="Arial"/>
                <w:sz w:val="18"/>
                <w:szCs w:val="18"/>
                <w:color w:val="auto"/>
                <w:w w:val="92"/>
              </w:rPr>
              <w:t>+0.7 (-4 to 6)</w:t>
            </w:r>
          </w:p>
        </w:tc>
        <w:tc>
          <w:tcPr>
            <w:tcW w:w="2580" w:type="dxa"/>
            <w:vAlign w:val="bottom"/>
          </w:tcPr>
          <w:p>
            <w:pPr>
              <w:jc w:val="center"/>
              <w:spacing w:after="0"/>
              <w:rPr>
                <w:sz w:val="20"/>
                <w:szCs w:val="20"/>
                <w:color w:val="auto"/>
              </w:rPr>
            </w:pPr>
            <w:r>
              <w:rPr>
                <w:rFonts w:ascii="Arial" w:cs="Arial" w:eastAsia="Arial" w:hAnsi="Arial"/>
                <w:sz w:val="18"/>
                <w:szCs w:val="18"/>
                <w:color w:val="auto"/>
                <w:w w:val="93"/>
              </w:rPr>
              <w:t>+20.6</w:t>
            </w:r>
            <w:r>
              <w:rPr>
                <w:rFonts w:ascii="Arial" w:cs="Arial" w:eastAsia="Arial" w:hAnsi="Arial"/>
                <w:sz w:val="15"/>
                <w:szCs w:val="15"/>
                <w:color w:val="auto"/>
                <w:w w:val="93"/>
              </w:rPr>
              <w:t>(6)</w:t>
            </w:r>
          </w:p>
        </w:tc>
      </w:tr>
      <w:tr>
        <w:trPr>
          <w:trHeight w:val="229"/>
        </w:trPr>
        <w:tc>
          <w:tcPr>
            <w:tcW w:w="6100" w:type="dxa"/>
            <w:vAlign w:val="bottom"/>
            <w:tcBorders>
              <w:bottom w:val="single" w:sz="8" w:color="E6E6E6"/>
            </w:tcBorders>
            <w:shd w:val="clear" w:color="auto" w:fill="CFF0FC"/>
          </w:tcPr>
          <w:p>
            <w:pPr>
              <w:spacing w:after="0"/>
              <w:rPr>
                <w:sz w:val="20"/>
                <w:szCs w:val="20"/>
                <w:color w:val="auto"/>
              </w:rPr>
            </w:pPr>
            <w:r>
              <w:rPr>
                <w:rFonts w:ascii="Arial" w:cs="Arial" w:eastAsia="Arial" w:hAnsi="Arial"/>
                <w:sz w:val="18"/>
                <w:szCs w:val="18"/>
                <w:color w:val="auto"/>
              </w:rPr>
              <w:t>PODCI Sports/Physical Functioning (points)</w:t>
            </w:r>
          </w:p>
        </w:tc>
        <w:tc>
          <w:tcPr>
            <w:tcW w:w="2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+13.3 (12 to 15)</w:t>
            </w:r>
          </w:p>
        </w:tc>
        <w:tc>
          <w:tcPr>
            <w:tcW w:w="2580" w:type="dxa"/>
            <w:vAlign w:val="bottom"/>
            <w:tcBorders>
              <w:bottom w:val="single" w:sz="8" w:color="E6E6E6"/>
            </w:tcBorders>
            <w:shd w:val="clear" w:color="auto" w:fill="CFF0FC"/>
          </w:tcPr>
          <w:p>
            <w:pPr>
              <w:jc w:val="center"/>
              <w:spacing w:after="0"/>
              <w:rPr>
                <w:sz w:val="20"/>
                <w:szCs w:val="20"/>
                <w:color w:val="auto"/>
              </w:rPr>
            </w:pPr>
            <w:r>
              <w:rPr>
                <w:rFonts w:ascii="Arial" w:cs="Arial" w:eastAsia="Arial" w:hAnsi="Arial"/>
                <w:sz w:val="18"/>
                <w:szCs w:val="18"/>
                <w:color w:val="auto"/>
                <w:w w:val="93"/>
              </w:rPr>
              <w:t>+19.5</w:t>
            </w:r>
            <w:r>
              <w:rPr>
                <w:rFonts w:ascii="Arial" w:cs="Arial" w:eastAsia="Arial" w:hAnsi="Arial"/>
                <w:sz w:val="15"/>
                <w:szCs w:val="15"/>
                <w:color w:val="auto"/>
                <w:w w:val="93"/>
              </w:rPr>
              <w:t>(7)</w:t>
            </w:r>
          </w:p>
        </w:tc>
      </w:tr>
      <w:tr>
        <w:trPr>
          <w:trHeight w:val="168"/>
        </w:trPr>
        <w:tc>
          <w:tcPr>
            <w:tcW w:w="6100" w:type="dxa"/>
            <w:vAlign w:val="bottom"/>
          </w:tcPr>
          <w:p>
            <w:pPr>
              <w:spacing w:after="0" w:line="168" w:lineRule="exact"/>
              <w:rPr>
                <w:sz w:val="20"/>
                <w:szCs w:val="20"/>
                <w:color w:val="auto"/>
              </w:rPr>
            </w:pPr>
            <w:r>
              <w:rPr>
                <w:rFonts w:ascii="Arial" w:cs="Arial" w:eastAsia="Arial" w:hAnsi="Arial"/>
                <w:sz w:val="15"/>
                <w:szCs w:val="15"/>
                <w:color w:val="auto"/>
              </w:rPr>
              <w:t>(1): -84.6m expected decline in 24 months after age 7 (Mercuri et al 2016)</w:t>
            </w:r>
          </w:p>
        </w:tc>
        <w:tc>
          <w:tcPr>
            <w:tcW w:w="2560" w:type="dxa"/>
            <w:vAlign w:val="bottom"/>
          </w:tcPr>
          <w:p>
            <w:pPr>
              <w:spacing w:after="0"/>
              <w:rPr>
                <w:sz w:val="14"/>
                <w:szCs w:val="14"/>
                <w:color w:val="auto"/>
              </w:rPr>
            </w:pPr>
          </w:p>
        </w:tc>
        <w:tc>
          <w:tcPr>
            <w:tcW w:w="2580" w:type="dxa"/>
            <w:vAlign w:val="bottom"/>
          </w:tcPr>
          <w:p>
            <w:pPr>
              <w:spacing w:after="0"/>
              <w:rPr>
                <w:sz w:val="14"/>
                <w:szCs w:val="14"/>
                <w:color w:val="auto"/>
              </w:rPr>
            </w:pPr>
          </w:p>
        </w:tc>
      </w:tr>
    </w:tbl>
    <w:p>
      <w:pPr>
        <w:spacing w:after="0"/>
        <w:rPr>
          <w:sz w:val="20"/>
          <w:szCs w:val="20"/>
          <w:color w:val="auto"/>
        </w:rPr>
      </w:pPr>
      <w:r>
        <w:rPr>
          <w:rFonts w:ascii="Arial" w:cs="Arial" w:eastAsia="Arial" w:hAnsi="Arial"/>
          <w:sz w:val="15"/>
          <w:szCs w:val="15"/>
          <w:color w:val="auto"/>
        </w:rPr>
        <w:t>(2): -6.0 unit expected decline in 24 months after age 6.3 (Muntoni eta al 2019)</w:t>
      </w:r>
    </w:p>
    <w:p>
      <w:pPr>
        <w:spacing w:after="0" w:line="3"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5"/>
          <w:szCs w:val="15"/>
          <w:color w:val="auto"/>
        </w:rPr>
        <w:t>(3): -10.0%p expected decline in 24 months after age 6 (Mayer et al 2015)</w:t>
      </w:r>
    </w:p>
    <w:p>
      <w:pPr>
        <w:spacing w:after="0" w:line="3"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5"/>
          <w:szCs w:val="15"/>
          <w:color w:val="auto"/>
        </w:rPr>
        <w:t>(4): -10.0%p expected decline in 24 months after age 6 (Mayer et al 2015)</w:t>
      </w:r>
    </w:p>
    <w:p>
      <w:pPr>
        <w:spacing w:after="0" w:line="3"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5"/>
          <w:szCs w:val="15"/>
          <w:color w:val="auto"/>
        </w:rPr>
        <w:t>(5): -10.1 point expected decline in 24 months (Henricson et al 2013)</w:t>
      </w:r>
    </w:p>
    <w:p>
      <w:pPr>
        <w:spacing w:after="0" w:line="3"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5"/>
          <w:szCs w:val="15"/>
          <w:color w:val="auto"/>
        </w:rPr>
        <w:t>(6): -19.9 point expected decline in 24 months (Henricson et al 2013)</w:t>
      </w:r>
    </w:p>
    <w:p>
      <w:pPr>
        <w:spacing w:after="0" w:line="3"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5"/>
          <w:szCs w:val="15"/>
          <w:color w:val="auto"/>
        </w:rPr>
        <w:t>(7): -6.2 point expected decline in 24 months (Henricson et al 2013)</w:t>
      </w:r>
    </w:p>
    <w:p>
      <w:pPr>
        <w:spacing w:after="0" w:line="206" w:lineRule="exact"/>
        <w:rPr>
          <w:rFonts w:ascii="Arial" w:cs="Arial" w:eastAsia="Arial" w:hAnsi="Arial"/>
          <w:sz w:val="17"/>
          <w:szCs w:val="17"/>
          <w:b w:val="1"/>
          <w:bCs w:val="1"/>
          <w:color w:val="auto"/>
        </w:rPr>
      </w:pPr>
    </w:p>
    <w:p>
      <w:pPr>
        <w:ind w:right="180" w:firstLine="546"/>
        <w:spacing w:after="0" w:line="275" w:lineRule="auto"/>
        <w:rPr>
          <w:sz w:val="20"/>
          <w:szCs w:val="20"/>
          <w:color w:val="auto"/>
        </w:rPr>
      </w:pPr>
      <w:r>
        <w:rPr>
          <w:rFonts w:ascii="Arial" w:cs="Arial" w:eastAsia="Arial" w:hAnsi="Arial"/>
          <w:sz w:val="17"/>
          <w:szCs w:val="17"/>
          <w:color w:val="auto"/>
        </w:rPr>
        <w:t>In March 2022, we reported data from skeletal muscle biopsies collected three months after infusion of SGT-001 from the most recently dosed Patients 7-9. The range by immunofluorescence of 1% to 50% and by western blot of Below the 5% Limit of Quantification (BLQ) to 6.8%, were within the range of previously dosed Patients 4-6 in the high dose cohort. Microdystrophin expression levels for all six patients dosed in the high dose cohort (Patients 4-9) ranged from 1 to 70% by immunofluorescence and BLQ to 17.5% by western blot. All six patients dosed with SGT-001 in the high dose cohort have demonstrated microdystrophin expression and proper membrane localization.</w:t>
      </w:r>
    </w:p>
    <w:p>
      <w:pPr>
        <w:spacing w:after="0" w:line="176" w:lineRule="exact"/>
        <w:rPr>
          <w:rFonts w:ascii="Arial" w:cs="Arial" w:eastAsia="Arial" w:hAnsi="Arial"/>
          <w:sz w:val="17"/>
          <w:szCs w:val="17"/>
          <w:b w:val="1"/>
          <w:bCs w:val="1"/>
          <w:color w:val="auto"/>
        </w:rPr>
      </w:pPr>
    </w:p>
    <w:p>
      <w:pPr>
        <w:ind w:right="220" w:firstLine="551"/>
        <w:spacing w:after="0" w:line="257" w:lineRule="auto"/>
        <w:rPr>
          <w:sz w:val="20"/>
          <w:szCs w:val="20"/>
          <w:color w:val="auto"/>
        </w:rPr>
      </w:pPr>
      <w:r>
        <w:rPr>
          <w:rFonts w:ascii="Arial" w:cs="Arial" w:eastAsia="Arial" w:hAnsi="Arial"/>
          <w:sz w:val="18"/>
          <w:szCs w:val="18"/>
          <w:color w:val="auto"/>
        </w:rPr>
        <w:t>We believe the unique functionality of our SGT-001 microdystrophin may result in functional benefits including diminished muscle fatigue and protection against ischemic muscle damage, which can lead to loss of functional muscle. Collectively, we believe these data provide evidence supporting the biological activity of SGT-001 and provide support for continued development. Based on data from the clinical trial, we will determine next steps for SGT-001 clinical development, including additional clinical trials that may include other patient populations, as well as the need for larger confirmatory clinical trials.</w:t>
      </w:r>
    </w:p>
    <w:p>
      <w:pPr>
        <w:spacing w:after="0" w:line="188" w:lineRule="exact"/>
        <w:rPr>
          <w:rFonts w:ascii="Arial" w:cs="Arial" w:eastAsia="Arial" w:hAnsi="Arial"/>
          <w:sz w:val="17"/>
          <w:szCs w:val="17"/>
          <w:b w:val="1"/>
          <w:bCs w:val="1"/>
          <w:color w:val="auto"/>
        </w:rPr>
      </w:pPr>
    </w:p>
    <w:p>
      <w:pPr>
        <w:ind w:right="40" w:firstLine="546"/>
        <w:spacing w:after="0" w:line="277" w:lineRule="auto"/>
        <w:rPr>
          <w:sz w:val="20"/>
          <w:szCs w:val="20"/>
          <w:color w:val="auto"/>
        </w:rPr>
      </w:pPr>
      <w:r>
        <w:rPr>
          <w:rFonts w:ascii="Arial" w:cs="Arial" w:eastAsia="Arial" w:hAnsi="Arial"/>
          <w:sz w:val="18"/>
          <w:szCs w:val="18"/>
          <w:color w:val="auto"/>
        </w:rPr>
        <w:t>No new drug-related safety findings have been identified in Patients 1-9 in post-dosing periods of 90 days to approximately four years. We continue to follow dosed patients and collect data to support the potential benefit of SGT-001.</w:t>
      </w:r>
    </w:p>
    <w:p>
      <w:pPr>
        <w:spacing w:after="0" w:line="170" w:lineRule="exact"/>
        <w:rPr>
          <w:rFonts w:ascii="Arial" w:cs="Arial" w:eastAsia="Arial" w:hAnsi="Arial"/>
          <w:sz w:val="17"/>
          <w:szCs w:val="17"/>
          <w:b w:val="1"/>
          <w:bCs w:val="1"/>
          <w:color w:val="auto"/>
        </w:rPr>
      </w:pPr>
    </w:p>
    <w:p>
      <w:pPr>
        <w:ind w:right="140" w:firstLine="546"/>
        <w:spacing w:after="0" w:line="273" w:lineRule="auto"/>
        <w:rPr>
          <w:sz w:val="20"/>
          <w:szCs w:val="20"/>
          <w:color w:val="auto"/>
        </w:rPr>
      </w:pPr>
      <w:r>
        <w:rPr>
          <w:rFonts w:ascii="Arial" w:cs="Arial" w:eastAsia="Arial" w:hAnsi="Arial"/>
          <w:sz w:val="17"/>
          <w:szCs w:val="17"/>
          <w:color w:val="auto"/>
        </w:rPr>
        <w:t>The most common drug related clinical adverse reactions at the time of initial dosing were nausea, experienced by the nine patients dosed; fever experienced by seven of the nine patients dosed; and vomiting, experienced by eight of the nine patients dosed. The most common drug related laboratory abnormalities were thrombocytopenia, increased fibrin D-dimer, increased soluble C5b9, increased lactate dehydrogenase, and proteinuria. Activation of the terminal pathway (sC5b9) of the classical complement system occurred in all nine patients resulting in three serious adverse events, which were previously resolved. Two other serious adverse events included an episode of immune hepatitis four weeks post dosing which resolved rapidly after a transient increase of corticosteroids, and giardiasis determined to be unrelated to SGT-001.</w:t>
      </w:r>
    </w:p>
    <w:p>
      <w:pPr>
        <w:spacing w:after="0" w:line="286"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8"/>
          <w:szCs w:val="18"/>
          <w:b w:val="1"/>
          <w:bCs w:val="1"/>
          <w:i w:val="1"/>
          <w:iCs w:val="1"/>
          <w:color w:val="auto"/>
        </w:rPr>
        <w:t>Manufacturing SGT-001</w:t>
      </w:r>
    </w:p>
    <w:p>
      <w:pPr>
        <w:spacing w:after="0" w:line="117" w:lineRule="exact"/>
        <w:rPr>
          <w:rFonts w:ascii="Arial" w:cs="Arial" w:eastAsia="Arial" w:hAnsi="Arial"/>
          <w:sz w:val="17"/>
          <w:szCs w:val="17"/>
          <w:b w:val="1"/>
          <w:bCs w:val="1"/>
          <w:color w:val="auto"/>
        </w:rPr>
      </w:pPr>
    </w:p>
    <w:p>
      <w:pPr>
        <w:ind w:right="180" w:firstLine="546"/>
        <w:spacing w:after="0" w:line="263" w:lineRule="auto"/>
        <w:rPr>
          <w:sz w:val="20"/>
          <w:szCs w:val="20"/>
          <w:color w:val="auto"/>
        </w:rPr>
      </w:pPr>
      <w:r>
        <w:rPr>
          <w:rFonts w:ascii="Arial" w:cs="Arial" w:eastAsia="Arial" w:hAnsi="Arial"/>
          <w:sz w:val="18"/>
          <w:szCs w:val="18"/>
          <w:color w:val="auto"/>
        </w:rPr>
        <w:t>The prevalence and incidence of Duchenne, combined with average patient weight and anticipated dosing requirements for SGT-001, result in a substantial supply need for clinical trials and, if approved, for commercial markets. To address this challenge, we developed a manufacturing process that we believe will be scalable to support clinical and commercial production needs for SGT-001.</w:t>
      </w:r>
    </w:p>
    <w:p>
      <w:pPr>
        <w:spacing w:after="0" w:line="184" w:lineRule="exact"/>
        <w:rPr>
          <w:rFonts w:ascii="Arial" w:cs="Arial" w:eastAsia="Arial" w:hAnsi="Arial"/>
          <w:sz w:val="17"/>
          <w:szCs w:val="17"/>
          <w:b w:val="1"/>
          <w:bCs w:val="1"/>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right="60" w:firstLine="546"/>
        <w:spacing w:after="0" w:line="291" w:lineRule="auto"/>
        <w:rPr>
          <w:sz w:val="20"/>
          <w:szCs w:val="20"/>
          <w:color w:val="auto"/>
        </w:rPr>
      </w:pPr>
      <w:r>
        <w:rPr>
          <w:rFonts w:ascii="Arial" w:cs="Arial" w:eastAsia="Arial" w:hAnsi="Arial"/>
          <w:sz w:val="16"/>
          <w:szCs w:val="16"/>
          <w:color w:val="auto"/>
        </w:rPr>
        <w:t>Our suspension-based process is founded on seminal work by scientists at the University of Florida and has been optimized for manufacturability by our internal process development scientists with the support of our CDMO partners. The process consists of three steps. First, we produce two replication-incompetent Herpes Simplex Virus, or HSV, stocks, one containing our microdystrophin construct and the other containing the critical elements of the AAV9. Second, we then use these two HSV stocks to coinfect suspension-adapted human embryonic kidney cells (HEK-293). Third, these cells are then purified and concentrated in our downstream process to produce our gene transfer candidate. Our team has developed the analytical testing methods needed to support consistency and strict standards of quality and potency. We believe that this approach will increase our speed of development, ensure consistent quality and regulatory compliance, and reduce the risk of delay or unexpected production costs.</w:t>
      </w:r>
    </w:p>
    <w:p>
      <w:pPr>
        <w:spacing w:after="0" w:line="166"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In 2020, we implemented our second generation manufacturing process which collectively includes improvements to our AAV manufacturing methods as well as the introduction of a refined set of analytical methods for product release. Our second generation AAV manufacturing process includes a scalable purification step which results in a significant enrichment of microdystrophin-containing “full” capsids and elimination of empty capsids. On average, drug product produced by the second generation manufacturing method contains 90% full capsids as measured by Transmission Electron Microscopy, whereas drug product produced by the first generation process is on average 50% full. This improvement in purification methods significantly reduces the total capsid load administered at any given dose level, allowing us to achieve the same effective dose of drug product with fewer total capsids. Since the first quarter of 2021, and following lift of the clinical hold, all patients dosed in IGNITE DMD have been dosed with material produced using our second generation manufacturing process.</w:t>
      </w:r>
    </w:p>
    <w:p>
      <w:pPr>
        <w:spacing w:after="0" w:line="178" w:lineRule="exact"/>
        <w:rPr>
          <w:sz w:val="20"/>
          <w:szCs w:val="20"/>
          <w:color w:val="auto"/>
        </w:rPr>
      </w:pPr>
    </w:p>
    <w:p>
      <w:pPr>
        <w:ind w:right="280" w:firstLine="546"/>
        <w:spacing w:after="0" w:line="257" w:lineRule="auto"/>
        <w:rPr>
          <w:sz w:val="20"/>
          <w:szCs w:val="20"/>
          <w:color w:val="auto"/>
        </w:rPr>
      </w:pPr>
      <w:r>
        <w:rPr>
          <w:rFonts w:ascii="Arial" w:cs="Arial" w:eastAsia="Arial" w:hAnsi="Arial"/>
          <w:sz w:val="18"/>
          <w:szCs w:val="18"/>
          <w:color w:val="auto"/>
        </w:rPr>
        <w:t>We believe that our decision to invest early in our manufacturing process was key to developing a scalable process designed to support clinical development and potential commercialization. We are supplying our clinical development program for SGT-001 with drug product produced at current good manufacturing practices, or cGMP, - compliant facilities located at partner CDMOs. We have operated at 250-liter scale and have successfully produced multiple drug product batches at this scale. Our in-house scientists are continuing to work to increase the productivity, efficiency and purity of our manufacturing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SGT-003</w:t>
      </w:r>
    </w:p>
    <w:p>
      <w:pPr>
        <w:spacing w:after="0" w:line="229"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SGT-003 is our next-generation gene transfer candidate. It is comprised of our nNOS binding domain microdystrophin transgene and muscle-specific promoter present in SGT-001 and uses a lead candidate novel, rationally designed AAV capsid, developed for enhanced muscle tropism, to deliver these components to target tissues. We believe that the properties of this novel capsid may allow for enhanced benefit over therapies using traditional capsids, potentially both in terms of efficacy and safety.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SGT-003 preclinical program</w:t>
      </w:r>
    </w:p>
    <w:p>
      <w:pPr>
        <w:spacing w:after="0" w:line="225" w:lineRule="exact"/>
        <w:rPr>
          <w:sz w:val="20"/>
          <w:szCs w:val="20"/>
          <w:color w:val="auto"/>
        </w:rPr>
      </w:pPr>
    </w:p>
    <w:p>
      <w:pPr>
        <w:ind w:right="560" w:firstLine="546"/>
        <w:spacing w:after="0" w:line="258" w:lineRule="auto"/>
        <w:rPr>
          <w:sz w:val="20"/>
          <w:szCs w:val="20"/>
          <w:color w:val="auto"/>
        </w:rPr>
      </w:pPr>
      <w:r>
        <w:rPr>
          <w:rFonts w:ascii="Arial" w:cs="Arial" w:eastAsia="Arial" w:hAnsi="Arial"/>
          <w:sz w:val="18"/>
          <w:szCs w:val="18"/>
          <w:color w:val="auto"/>
        </w:rPr>
        <w:t>We identified a lead novel capsid candidate through evaluation of muscle tropic AAV screening, in which increased muscle transduction was observed.</w:t>
      </w:r>
    </w:p>
    <w:p>
      <w:pPr>
        <w:spacing w:after="0" w:line="1" w:lineRule="exact"/>
        <w:rPr>
          <w:sz w:val="20"/>
          <w:szCs w:val="20"/>
          <w:color w:val="auto"/>
        </w:rPr>
      </w:pPr>
    </w:p>
    <w:p>
      <w:pPr>
        <w:ind w:right="60" w:firstLine="546"/>
        <w:spacing w:after="0" w:line="286" w:lineRule="auto"/>
        <w:rPr>
          <w:sz w:val="20"/>
          <w:szCs w:val="20"/>
          <w:color w:val="auto"/>
        </w:rPr>
      </w:pPr>
      <w:r>
        <w:rPr>
          <w:rFonts w:ascii="Arial" w:cs="Arial" w:eastAsia="Arial" w:hAnsi="Arial"/>
          <w:sz w:val="16"/>
          <w:szCs w:val="16"/>
          <w:color w:val="auto"/>
        </w:rPr>
        <w:t xml:space="preserve">Translatability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to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systems was assessed in preclinical studies using the novel capsid. It was evaluated in a head-to-head study with AAV9-CK8-microdystrophin in the dystrophin-negative mouse model of DMD (mdx mouse). Separate groups of animals were administered a single intravenous dose of either construct and the biodistribution, microdystrophin protein expression, and biomarker analyses were performed at the conclusion of the study. Overall,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study data supported the results seen from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and further demonstrated the potential benefits. The mdx mice dosed with the novel capsid showed increased biodistribution (vector genome copies) in representative muscle tissues and increased microdystrophin expression compared to those administered the AAV9 vector. In addition, lower vector genome copies in the liver compared to AAV9-administered animals, with the data supporting a preferential distribution of the novel capsid towards muscle tissue and away from the liver. These data supported the proof of concept for the novel capsid microdystrophin construct in Duchenne and formed a basis for establishing and advancing the SGT-003 program. We intend to initiate IND-enabling studies for SGT-003 in 2022 to support a planned IND submission in early 2023.</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SGT-003</w:t>
      </w:r>
    </w:p>
    <w:p>
      <w:pPr>
        <w:spacing w:after="0" w:line="23" w:lineRule="exact"/>
        <w:rPr>
          <w:sz w:val="20"/>
          <w:szCs w:val="20"/>
          <w:color w:val="auto"/>
        </w:rPr>
      </w:pPr>
    </w:p>
    <w:p>
      <w:pPr>
        <w:ind w:right="320" w:firstLine="802"/>
        <w:spacing w:after="0" w:line="260" w:lineRule="auto"/>
        <w:rPr>
          <w:sz w:val="20"/>
          <w:szCs w:val="20"/>
          <w:color w:val="auto"/>
        </w:rPr>
      </w:pPr>
      <w:r>
        <w:rPr>
          <w:rFonts w:ascii="Arial" w:cs="Arial" w:eastAsia="Arial" w:hAnsi="Arial"/>
          <w:sz w:val="18"/>
          <w:szCs w:val="18"/>
          <w:color w:val="auto"/>
        </w:rPr>
        <w:t>We selected a manufacturing process that we believe will be scalable to support clinical and commercial production needs for SGT-003. The transient transfection process was selected in order to efficiently advance SGT-003 along its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right="80"/>
        <w:spacing w:after="0" w:line="258" w:lineRule="auto"/>
        <w:rPr>
          <w:sz w:val="20"/>
          <w:szCs w:val="20"/>
          <w:color w:val="auto"/>
        </w:rPr>
      </w:pPr>
      <w:r>
        <w:rPr>
          <w:rFonts w:ascii="Arial" w:cs="Arial" w:eastAsia="Arial" w:hAnsi="Arial"/>
          <w:sz w:val="18"/>
          <w:szCs w:val="18"/>
          <w:color w:val="auto"/>
        </w:rPr>
        <w:t>development timeline. . In October 2021, we announced a partnership with a cell and gene therapy-focused CDMO, for the development and clinical stage manufacture of SGT-003.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Technologies</w:t>
      </w:r>
    </w:p>
    <w:p>
      <w:pPr>
        <w:spacing w:after="0" w:line="9" w:lineRule="exact"/>
        <w:rPr>
          <w:sz w:val="20"/>
          <w:szCs w:val="20"/>
          <w:color w:val="auto"/>
        </w:rPr>
      </w:pPr>
    </w:p>
    <w:p>
      <w:pPr>
        <w:ind w:right="40" w:firstLine="802"/>
        <w:spacing w:after="0" w:line="302" w:lineRule="auto"/>
        <w:rPr>
          <w:sz w:val="20"/>
          <w:szCs w:val="20"/>
          <w:color w:val="auto"/>
        </w:rPr>
      </w:pPr>
      <w:r>
        <w:rPr>
          <w:rFonts w:ascii="Arial" w:cs="Arial" w:eastAsia="Arial" w:hAnsi="Arial"/>
          <w:sz w:val="16"/>
          <w:szCs w:val="16"/>
          <w:color w:val="auto"/>
        </w:rPr>
        <w:t>In addition to our gene transfer candidates, we have development programs focusing on platform technologies, including novel capsids and dual gene expression, a technology that allows us to package multiple transgenes into one vector. These programs are part of our ongoing research efforts to develop innovative technologies that we believe may hold potential to translate into meaningful treatments and drive our future pipeline expansion.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Tools to accelerate discovery and development</w:t>
      </w:r>
    </w:p>
    <w:p>
      <w:pPr>
        <w:spacing w:after="0" w:line="11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In conjunction with our development of SGT-001 and SGT-003, we believe it is critical to continue to investigate tools and technologies designed to help us more effectively understand Duchenne, accurately monitor disease progression and assist patients in daily life. As part of this goal, we are evaluating the use of sensor-based technologies to potentially identify biomarkers that may allow us to better measure the therapeutic impact of potential product candidates.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Novel Capsids</w:t>
      </w:r>
    </w:p>
    <w:p>
      <w:pPr>
        <w:spacing w:after="0" w:line="117" w:lineRule="exact"/>
        <w:rPr>
          <w:sz w:val="20"/>
          <w:szCs w:val="20"/>
          <w:color w:val="auto"/>
        </w:rPr>
      </w:pPr>
    </w:p>
    <w:p>
      <w:pPr>
        <w:ind w:right="60" w:firstLine="802"/>
        <w:spacing w:after="0" w:line="284" w:lineRule="auto"/>
        <w:rPr>
          <w:sz w:val="20"/>
          <w:szCs w:val="20"/>
          <w:color w:val="auto"/>
        </w:rPr>
      </w:pPr>
      <w:r>
        <w:rPr>
          <w:rFonts w:ascii="Arial" w:cs="Arial" w:eastAsia="Arial" w:hAnsi="Arial"/>
          <w:sz w:val="16"/>
          <w:szCs w:val="16"/>
          <w:color w:val="auto"/>
        </w:rPr>
        <w:t xml:space="preserve">We have developed a library of novel capsids through the insertion of unique peptide sequences into traditional capsids and initially evaluated these candidates through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screening platform. The primary goal of developing this library was to generate capsids that preferentially target and transduce muscle cells, compared to traditional capsids such as AAV9. Candidate novel capsids were packaged with our microdystrophin under the control of a muscle-specific promoter, such as CK8, and used to transduce muscle cells. Evaluation of microdystrophin expression from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performed in mouse muscle cell lines showed multiple-fold increases in numerous novel capsid candidates over AAV9. Further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characterization of these capsids was performed in human Duchenne muscle cell lines. Results from these studies showed similar findings of multiple-fold increases in expression for novel capsid candidates over AAV9. We are continuing to further develop our novel capsid library.</w:t>
      </w:r>
    </w:p>
    <w:p>
      <w:pPr>
        <w:spacing w:after="0" w:line="2" w:lineRule="exact"/>
        <w:rPr>
          <w:sz w:val="20"/>
          <w:szCs w:val="20"/>
          <w:color w:val="auto"/>
        </w:rPr>
      </w:pPr>
    </w:p>
    <w:p>
      <w:pPr>
        <w:ind w:right="80" w:firstLine="546"/>
        <w:spacing w:after="0" w:line="292" w:lineRule="auto"/>
        <w:rPr>
          <w:sz w:val="20"/>
          <w:szCs w:val="20"/>
          <w:color w:val="auto"/>
        </w:rPr>
      </w:pPr>
      <w:r>
        <w:rPr>
          <w:rFonts w:ascii="Arial" w:cs="Arial" w:eastAsia="Arial" w:hAnsi="Arial"/>
          <w:sz w:val="16"/>
          <w:szCs w:val="16"/>
          <w:color w:val="auto"/>
        </w:rPr>
        <w:t xml:space="preserve">Non-specific novel capsids were packaged comprised of a bioluminescent protein (luciferase) under the control of a ubiquitous promoter (CMV) able to allow expression across a wide range of tissue types. These constructs were further evaluated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both mdx and wild-type mice to understand the potential broader applicability of these capsids for other indications. Results from this study support preferential targeting of muscle, with increases in biodistribution and expression over AAV9 across muscle tissues and decreased biodistribution and expression compared to AAV9 in the liver, and the potential applicability to a wide variety of indications that may benefit from such a targeting profile, in addition to Duchenne.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Tools to accelerate discovery and development</w:t>
      </w:r>
    </w:p>
    <w:p>
      <w:pPr>
        <w:spacing w:after="0" w:line="23" w:lineRule="exact"/>
        <w:rPr>
          <w:sz w:val="20"/>
          <w:szCs w:val="20"/>
          <w:color w:val="auto"/>
        </w:rPr>
      </w:pPr>
    </w:p>
    <w:p>
      <w:pPr>
        <w:ind w:firstLine="546"/>
        <w:spacing w:after="0" w:line="253" w:lineRule="auto"/>
        <w:rPr>
          <w:sz w:val="20"/>
          <w:szCs w:val="20"/>
          <w:color w:val="auto"/>
        </w:rPr>
      </w:pPr>
      <w:r>
        <w:rPr>
          <w:rFonts w:ascii="Arial" w:cs="Arial" w:eastAsia="Arial" w:hAnsi="Arial"/>
          <w:sz w:val="18"/>
          <w:szCs w:val="18"/>
          <w:color w:val="auto"/>
        </w:rPr>
        <w:t>In conjunction with our development of SGT-001 and SGT-003, we believe it is critical to continue to investigate tools and technologies designed to help us more effectively understand Duchenne, accurately monitor disease progression and assist patients in daily life. As part of this goal, we are evaluating the use of sensor-based technologies to potentially identify biomarkers that may allow us to better measure the therapeutic impact of potential product candidates.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Non-invasive biochemical and imaging biomarkers</w:t>
      </w:r>
    </w:p>
    <w:p>
      <w:pPr>
        <w:spacing w:after="0" w:line="117" w:lineRule="exact"/>
        <w:rPr>
          <w:sz w:val="20"/>
          <w:szCs w:val="20"/>
          <w:color w:val="auto"/>
        </w:rPr>
      </w:pPr>
    </w:p>
    <w:p>
      <w:pPr>
        <w:ind w:right="260" w:firstLine="546"/>
        <w:spacing w:after="0" w:line="296" w:lineRule="auto"/>
        <w:rPr>
          <w:sz w:val="20"/>
          <w:szCs w:val="20"/>
          <w:color w:val="auto"/>
        </w:rPr>
      </w:pPr>
      <w:r>
        <w:rPr>
          <w:rFonts w:ascii="Arial" w:cs="Arial" w:eastAsia="Arial" w:hAnsi="Arial"/>
          <w:sz w:val="16"/>
          <w:szCs w:val="16"/>
          <w:color w:val="auto"/>
        </w:rPr>
        <w:t>We are working to identify non-invasive biochemical and imaging biomarkers that could potentially reduce or eliminate the need for muscle biopsies in clinical trials, reducing stress on patients and allowing better evaluation of potential product candidates. We are developing a platform technology that may enable the non-invasive measurement of changes associated with increased dystrophin and dystrophin-like protein expression in Duchenne patients by using established imaging techniques, as well as methods still under development. We are also currently using robust platforms to perform extensive analysis on patient samples to establish molecular signatures based on various stages of Duchenne disease progression.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640" w:firstLine="546"/>
        <w:spacing w:after="0" w:line="277"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for our product candidates, including SGT-001 and SGT-003, our platform technologies and other know-how,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ind w:right="380"/>
        <w:spacing w:after="0" w:line="263" w:lineRule="auto"/>
        <w:rPr>
          <w:sz w:val="20"/>
          <w:szCs w:val="20"/>
          <w:color w:val="auto"/>
        </w:rPr>
      </w:pPr>
      <w:r>
        <w:rPr>
          <w:rFonts w:ascii="Arial" w:cs="Arial" w:eastAsia="Arial" w:hAnsi="Arial"/>
          <w:sz w:val="18"/>
          <w:szCs w:val="18"/>
          <w:color w:val="auto"/>
        </w:rPr>
        <w:t>operate without infringing, misappropriating or otherwise violating the intellectual property rights of others, and to prevent others from infringing, misappropriating or otherwise violating our intellectual property rights. We also rely on patents, trade secrets, know-how and continuing technological innovation to develop and maintain our proprietary and intellectual property position.</w:t>
      </w:r>
    </w:p>
    <w:p>
      <w:pPr>
        <w:spacing w:after="0" w:line="184" w:lineRule="exact"/>
        <w:rPr>
          <w:sz w:val="20"/>
          <w:szCs w:val="20"/>
          <w:color w:val="auto"/>
        </w:rPr>
      </w:pPr>
    </w:p>
    <w:p>
      <w:pPr>
        <w:ind w:right="160" w:firstLine="546"/>
        <w:spacing w:after="0" w:line="273" w:lineRule="auto"/>
        <w:rPr>
          <w:sz w:val="20"/>
          <w:szCs w:val="20"/>
          <w:color w:val="auto"/>
        </w:rPr>
      </w:pPr>
      <w:r>
        <w:rPr>
          <w:rFonts w:ascii="Arial" w:cs="Arial" w:eastAsia="Arial" w:hAnsi="Arial"/>
          <w:sz w:val="17"/>
          <w:szCs w:val="17"/>
          <w:color w:val="auto"/>
        </w:rPr>
        <w:t>As of February 16, 2022, we have filed three pending PCT international patent applications, two pending U.S. non-provisional patent applications and eighteen pending patent applications in foreign jurisdictions. For our gene transfer programs, we have exclusively licensed three issued U.S. patents, three pending U.S. non-provisional patent applications, and eleven granted patents and thirteen pending patent applications in foreign jurisdictions. The issued U.S. patents are projected to expire between 2023 and 2036, excluding any patent term adjustments and any patent term extensions, and any U.S. patents that may issue from the pending U.S. non-provisional patent applications would be projected to expire between 2036 and 2040, excluding any patent term adjustments and any patent term extensions.</w:t>
      </w:r>
    </w:p>
    <w:p>
      <w:pPr>
        <w:spacing w:after="0" w:line="178"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With respect to our gene transfer programs, we exclusively licensed patent families that relate to microdystrophin genes. With respect to SGT-001 and SGT-003, we exclusively licensed two issued U.S. patents and two pending U.S. non-provisional patent applications, which generally claim the structural elements of SGT-001 and SGT-003 and the promoter sequences used in each. These issued U.S. patents are projected to expire in 2028 and 2036, excluding any patent term adjustments and any patent term extensions.</w:t>
      </w:r>
    </w:p>
    <w:p>
      <w:pPr>
        <w:spacing w:after="0" w:line="187"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Relating to SGT-001, SGT-003 and our platform technologies, we also own three pending PCT international patent applications, two pending U.S. non-provisional patent applications and eighteen pending patent applications in foreign jurisdictions. Any patents that may be issued from the pending PCTs would be projected to expire between 2036 and 2041, excluding any patent term adjustments and any patent term extensions. Substantive prosecution of our patent applications has not yet commenced at the U.S. Patent and Trademark Office, or USPTO. We cannot predict whether such pending patent applications will result in the issuance of a patent that effectively protects SGT-001, SGT-003 and our platform technologies, or if such issued patent or any of our licensor’s issued patents will effectively prevent others from commercializing competitive products. In any event, patent prosecution is a lengthy process, during which the scope of the claims initially submitted for examination by the patent offices in various jurisdictions are often significantly narrowed by the time they issue, if they issue at all.</w:t>
      </w:r>
    </w:p>
    <w:p>
      <w:pPr>
        <w:spacing w:after="0" w:line="178"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subject to certain limitations and provided statutory and regulatory requirements are met (for more information, please see “Business— Government regulation and product approval —U.S. patent term restoration and marketing exclusivity”). In the future, if and when our product candidates receive approval from the FDA or foreign regulatory authorities, we expect to apply for patent term extensions on issued patents we may obtain in the future covering those products, depending upon the length of the clinical trials for each product and other factors. There can be no assurance that any of our pending patent applications will issue or that we will benefit from any patent term extension or favorable adjustment to the term of any of our patents.</w:t>
      </w:r>
    </w:p>
    <w:p>
      <w:pPr>
        <w:spacing w:after="0" w:line="185"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178" w:lineRule="exact"/>
        <w:rPr>
          <w:sz w:val="20"/>
          <w:szCs w:val="20"/>
          <w:color w:val="auto"/>
        </w:rPr>
      </w:pPr>
    </w:p>
    <w:p>
      <w:pPr>
        <w:ind w:right="120" w:firstLine="546"/>
        <w:spacing w:after="0" w:line="273" w:lineRule="auto"/>
        <w:rPr>
          <w:sz w:val="20"/>
          <w:szCs w:val="20"/>
          <w:color w:val="auto"/>
        </w:rPr>
      </w:pPr>
      <w:r>
        <w:rPr>
          <w:rFonts w:ascii="Arial" w:cs="Arial" w:eastAsia="Arial" w:hAnsi="Arial"/>
          <w:sz w:val="17"/>
          <w:szCs w:val="17"/>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1" w:name="page22"/>
    <w:bookmarkEnd w:id="21"/>
    <w:p>
      <w:pPr>
        <w:ind w:right="240"/>
        <w:spacing w:after="0" w:line="277" w:lineRule="auto"/>
        <w:rPr>
          <w:sz w:val="20"/>
          <w:szCs w:val="20"/>
          <w:color w:val="auto"/>
        </w:rPr>
      </w:pPr>
      <w:r>
        <w:rPr>
          <w:rFonts w:ascii="Arial" w:cs="Arial" w:eastAsia="Arial" w:hAnsi="Arial"/>
          <w:sz w:val="18"/>
          <w:szCs w:val="18"/>
          <w:color w:val="auto"/>
        </w:rPr>
        <w:t>with the respective counterparty. We cannot guarantee, however, that these agreements will afford us adequate protection of our intellectual property and proprietary information rights.</w:t>
      </w:r>
    </w:p>
    <w:p>
      <w:pPr>
        <w:spacing w:after="0" w:line="170" w:lineRule="exact"/>
        <w:rPr>
          <w:sz w:val="20"/>
          <w:szCs w:val="20"/>
          <w:color w:val="auto"/>
        </w:rPr>
      </w:pPr>
    </w:p>
    <w:p>
      <w:pPr>
        <w:jc w:val="both"/>
        <w:ind w:right="240" w:firstLine="546"/>
        <w:spacing w:after="0" w:line="263" w:lineRule="auto"/>
        <w:rPr>
          <w:sz w:val="20"/>
          <w:szCs w:val="20"/>
          <w:color w:val="auto"/>
        </w:rPr>
      </w:pPr>
      <w:r>
        <w:rPr>
          <w:rFonts w:ascii="Arial" w:cs="Arial" w:eastAsia="Arial" w:hAnsi="Arial"/>
          <w:sz w:val="18"/>
          <w:szCs w:val="18"/>
          <w:color w:val="auto"/>
        </w:rPr>
        <w:t>We also seek trademark protection in the United States and internationally where available and when appropriate. We currently own U.S. federal registrations for the marks SOLID, SOLID GT and SOLID BIOSCIENCES and a European Union registration for the mark SOLID BIOSCIENCES and SOLID GT.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partnerships and collaborations/licenses</w:t>
      </w:r>
    </w:p>
    <w:p>
      <w:pPr>
        <w:spacing w:after="0" w:line="121" w:lineRule="exact"/>
        <w:rPr>
          <w:sz w:val="20"/>
          <w:szCs w:val="20"/>
          <w:color w:val="auto"/>
        </w:rPr>
      </w:pPr>
    </w:p>
    <w:p>
      <w:pPr>
        <w:ind w:right="140" w:firstLine="546"/>
        <w:spacing w:after="0" w:line="275" w:lineRule="auto"/>
        <w:rPr>
          <w:sz w:val="20"/>
          <w:szCs w:val="20"/>
          <w:color w:val="auto"/>
        </w:rPr>
      </w:pPr>
      <w:r>
        <w:rPr>
          <w:rFonts w:ascii="Arial" w:cs="Arial" w:eastAsia="Arial" w:hAnsi="Arial"/>
          <w:sz w:val="17"/>
          <w:szCs w:val="17"/>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 of these license agreements, when and if commercial sales of a licensed product commence, we must pay royalties to our licensors on net sales of the respective licensed products.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Washington License Agreement</w:t>
      </w:r>
    </w:p>
    <w:p>
      <w:pPr>
        <w:spacing w:after="0" w:line="117"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In 2015, we entered into a license agreement with the University of Washington, acting through UW CoMotion, under which we obtained an exclusive, royalty-bearing, sublicensable, worldwide license under certain patent applications owned by the University of Washington relating to novel micro-dystrophins to develop, manufacture, and commercialize products for use in the treatment of Duchenne and related disease indications caused by a lack of functional dystrophin. We have the right to grant sublicenses to third parties contingent upon written approval by the University of Washington prior to executing such sublicense, which approval may not be unreasonably withheld.</w:t>
      </w:r>
    </w:p>
    <w:p>
      <w:pPr>
        <w:spacing w:after="0" w:line="188" w:lineRule="exact"/>
        <w:rPr>
          <w:sz w:val="20"/>
          <w:szCs w:val="20"/>
          <w:color w:val="auto"/>
        </w:rPr>
      </w:pPr>
    </w:p>
    <w:p>
      <w:pPr>
        <w:ind w:right="100" w:firstLine="546"/>
        <w:spacing w:after="0" w:line="287" w:lineRule="auto"/>
        <w:rPr>
          <w:sz w:val="20"/>
          <w:szCs w:val="20"/>
          <w:color w:val="auto"/>
        </w:rPr>
      </w:pPr>
      <w:r>
        <w:rPr>
          <w:rFonts w:ascii="Arial" w:cs="Arial" w:eastAsia="Arial" w:hAnsi="Arial"/>
          <w:sz w:val="16"/>
          <w:szCs w:val="16"/>
          <w:color w:val="auto"/>
        </w:rPr>
        <w:t>In consideration for the rights granted by the agreement, we paid a one-time, non-refundable license fee, which was recorded as a research and development expense in 2015. We are required to reimburse the University of Washington for costs incurred in applying for, prosecuting and maintaining patents and pay up to an aggregate of approximately $1 million upon the achievement of certain milestones. There were no milestones achieved during the years ended December 31, 2021, 2020, and 2019. In October 2017, the first milestone was achieved under this agreement. The milestone payment was recorded as a research and development expense in the fourth quarter of 2017. In October 2020, the license agreement was amended such that we were required to pay the University of Washington $375 thousand in connection with the execution of the collaboration and license agreement with Ultragenyx, or the Collaboration Agreement, in October 2020. This payment was recorded as a research and development expense in the fourth quarter of 2020. The license agreement was also amended such that we are required to pay an aggregate of approximately $3.4 million upon the achievement of certain milestones. We must also pay royalties of a low single digit percentage of future sales by us and our sublicensees of products developed under the licensed patent rights. In addition, we must pay an annual maintenance fee until certain milestones are achieved, at which time a minimum annual royalty requirement will replace such maintenance fee and will apply to us and our sublicensees.</w:t>
      </w:r>
    </w:p>
    <w:p>
      <w:pPr>
        <w:spacing w:after="0" w:line="172"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We are obligated to use our commercially reasonable efforts, consistent with sound and reasonable business practices and judgment, to commercialize the inventions covered by the licensed patent rights and to make and sell products based on that patent as soon as practicable and maximize sales thereof.</w:t>
      </w:r>
    </w:p>
    <w:p>
      <w:pPr>
        <w:spacing w:after="0" w:line="184" w:lineRule="exact"/>
        <w:rPr>
          <w:sz w:val="20"/>
          <w:szCs w:val="20"/>
          <w:color w:val="auto"/>
        </w:rPr>
      </w:pPr>
    </w:p>
    <w:p>
      <w:pPr>
        <w:ind w:right="180" w:firstLine="546"/>
        <w:spacing w:after="0" w:line="279" w:lineRule="auto"/>
        <w:rPr>
          <w:sz w:val="20"/>
          <w:szCs w:val="20"/>
          <w:color w:val="auto"/>
        </w:rPr>
      </w:pPr>
      <w:r>
        <w:rPr>
          <w:rFonts w:ascii="Arial" w:cs="Arial" w:eastAsia="Arial" w:hAnsi="Arial"/>
          <w:sz w:val="17"/>
          <w:szCs w:val="17"/>
          <w:color w:val="auto"/>
        </w:rPr>
        <w:t>The University of Washington controls the prosecution and maintenance of the licensed patents in consultation with us and at our expense. In countries in which we have not requested prosecution or maintenance of licensed patents, the University of Washington may prosecute and maintain such licensed patents at its own cost. We have the first right to enforce such licensed patents at our expense. However, we may not enter into any settlement in any manner relating to the licensed patents without the University of Washington’s prior written consent.</w:t>
      </w:r>
    </w:p>
    <w:p>
      <w:pPr>
        <w:spacing w:after="0" w:line="171" w:lineRule="exact"/>
        <w:rPr>
          <w:sz w:val="20"/>
          <w:szCs w:val="20"/>
          <w:color w:val="auto"/>
        </w:rPr>
      </w:pPr>
    </w:p>
    <w:p>
      <w:pPr>
        <w:jc w:val="both"/>
        <w:ind w:right="640" w:firstLine="546"/>
        <w:spacing w:after="0" w:line="286" w:lineRule="auto"/>
        <w:rPr>
          <w:sz w:val="20"/>
          <w:szCs w:val="20"/>
          <w:color w:val="auto"/>
        </w:rPr>
      </w:pPr>
      <w:r>
        <w:rPr>
          <w:rFonts w:ascii="Arial" w:cs="Arial" w:eastAsia="Arial" w:hAnsi="Arial"/>
          <w:sz w:val="17"/>
          <w:szCs w:val="17"/>
          <w:color w:val="auto"/>
        </w:rPr>
        <w:t>The license agreement remains in effect until the expiration of the last-to-expire patent licensed under the agreement. We may terminate the agreement at any time upon providing sixty days’ written notice to the University of Washington. The University of Washington may terminate the agreement upon our uncured, material breach of the agreement or if we enter into an insolvency-related event.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The University of Missouri License Agreement</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In 2015, we entered into a license agreement with the Curators of the University of Missouri, or the University of Missouri, a public corporation of Missouri, under which we obtained an exclusive, royalty-bearing, sublicensable, worldwide license under certain patents and patent applications owned by the University of Missouri relating to a novel synthetic microdystrophin gene to make, sell and distribute products for use in the treatment of Duchenne and related disease indications resulting from a lack of functional dystrophin.</w:t>
      </w:r>
    </w:p>
    <w:p>
      <w:pPr>
        <w:spacing w:after="0" w:line="18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In consideration for the rights granted by the agreement, we paid a one-time, non-refundable license fee, which was recorded as a research and development expense in 2015. We were required to reimburse the University of Missouri for costs incurred in applying for, prosecuting and maintaining the licensed patents and pay up to an aggregate of approximately $1 million upon the achievement of certain milestones for each product developed based on the licensed patents.</w:t>
      </w:r>
    </w:p>
    <w:p>
      <w:pPr>
        <w:spacing w:after="0" w:line="187" w:lineRule="exact"/>
        <w:rPr>
          <w:sz w:val="20"/>
          <w:szCs w:val="20"/>
          <w:color w:val="auto"/>
        </w:rPr>
      </w:pPr>
    </w:p>
    <w:p>
      <w:pPr>
        <w:jc w:val="both"/>
        <w:ind w:right="300" w:firstLine="546"/>
        <w:spacing w:after="0" w:line="296" w:lineRule="auto"/>
        <w:rPr>
          <w:sz w:val="20"/>
          <w:szCs w:val="20"/>
          <w:color w:val="auto"/>
        </w:rPr>
      </w:pPr>
      <w:r>
        <w:rPr>
          <w:rFonts w:ascii="Arial" w:cs="Arial" w:eastAsia="Arial" w:hAnsi="Arial"/>
          <w:sz w:val="16"/>
          <w:szCs w:val="16"/>
          <w:color w:val="auto"/>
        </w:rPr>
        <w:t>Under the agreement, in the event we grant a sublicense to another party, we are required to pay the University of Missouri a percentage of the consideration received. The license agreement was amended such that we were required to pay, and did pay, the University of Missouri $0.8 million in February 2021 and $1.3 million in February 2022 as a result of the execution of the Collaboration Agreement with Ultragenyx in October 2020. These amounts were recorded as a research and development expense in the fourth quarter of 2020. The license agreement was also amended such that we are required to make aggregate milestone payments of approximately $1.9 million upon the achievement of certain milestones.</w:t>
      </w:r>
    </w:p>
    <w:p>
      <w:pPr>
        <w:spacing w:after="0" w:line="161"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There were no milestones achieved during the years ended December 31, 2021, 2020, and 2019. We must pay a royalty of a low single digit percentage of future sales or by its sublicensees of products developed using the licensed patents. In addition, we must pay an annual maintenance fee until certain milestones are achieved, after which time a minimum annual royalty will replace such maintenance fee.</w:t>
      </w:r>
    </w:p>
    <w:p>
      <w:pPr>
        <w:spacing w:after="0" w:line="184" w:lineRule="exact"/>
        <w:rPr>
          <w:sz w:val="20"/>
          <w:szCs w:val="20"/>
          <w:color w:val="auto"/>
        </w:rPr>
      </w:pPr>
    </w:p>
    <w:p>
      <w:pPr>
        <w:jc w:val="both"/>
        <w:ind w:right="460" w:firstLine="546"/>
        <w:spacing w:after="0" w:line="263" w:lineRule="auto"/>
        <w:rPr>
          <w:sz w:val="20"/>
          <w:szCs w:val="20"/>
          <w:color w:val="auto"/>
        </w:rPr>
      </w:pPr>
      <w:r>
        <w:rPr>
          <w:rFonts w:ascii="Arial" w:cs="Arial" w:eastAsia="Arial" w:hAnsi="Arial"/>
          <w:sz w:val="18"/>
          <w:szCs w:val="18"/>
          <w:color w:val="auto"/>
        </w:rPr>
        <w:t>Under the agreement, we granted the University of Missouri a non-exclusive, royalty-free, irrevocable, paid-up license, with the right to grant sublicenses to non-profit, academic, educational or governmental institutions, to practice and use improvements made by us using the licensed patent rights, solely for non-commercial research purposes.</w:t>
      </w:r>
    </w:p>
    <w:p>
      <w:pPr>
        <w:spacing w:after="0" w:line="184" w:lineRule="exact"/>
        <w:rPr>
          <w:sz w:val="20"/>
          <w:szCs w:val="20"/>
          <w:color w:val="auto"/>
        </w:rPr>
      </w:pPr>
    </w:p>
    <w:p>
      <w:pPr>
        <w:ind w:right="140" w:firstLine="546"/>
        <w:spacing w:after="0" w:line="342" w:lineRule="auto"/>
        <w:rPr>
          <w:sz w:val="20"/>
          <w:szCs w:val="20"/>
          <w:color w:val="auto"/>
        </w:rPr>
      </w:pPr>
      <w:r>
        <w:rPr>
          <w:rFonts w:ascii="Arial" w:cs="Arial" w:eastAsia="Arial" w:hAnsi="Arial"/>
          <w:sz w:val="16"/>
          <w:szCs w:val="16"/>
          <w:color w:val="auto"/>
        </w:rPr>
        <w:t>We are obligated to use our reasonable best efforts to introduce products based on the licensed patent rights into the commercial market as soon as possible, consistent with sound and reasonable business practices and judgment, and thereafter to keep such products reasonably available to the public.</w:t>
      </w:r>
    </w:p>
    <w:p>
      <w:pPr>
        <w:spacing w:after="0" w:line="124"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The University of Missouri controls the prosecution and maintenance of the licensed patents in consultation with us and at our expense. In countries in which we have not requested prosecution or maintenance of licensed patents, the University of Missouri may prosecute and maintain such licensed patents at its own cost. We have the first right to enforce such licensed patents at our expense. However, any settlement, consent judgment or other voluntary disposition of litigation that materially limits the scope, validity or enforceability of the licensed patent or admits fault or wrongdoing on the part of the University of Missouri must be pre-approved in writing by the University of Missouri.</w:t>
      </w:r>
    </w:p>
    <w:p>
      <w:pPr>
        <w:spacing w:after="0" w:line="176"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The license agreement remains in effect until the expiration of the last-to-expire patent or the abandonment of the last to be abandoned patent application licensed under the agreement. The University of Missouri may terminate the agreement, or render the license granted thereunder non-exclusive, in individual countries if we and our sublicensees fail to achieve certain milestones. We may terminate the license agreement at any time upon providing six months’ written notice to the University of Missouri and paying a termination fee. Each of the University of Missouri and we may also terminate the agreement for an uncured default or breach of the agreement by the other party. Our ability to cure such breach only applies to the first two notices of such breach provided by the University of Missouri, and thereafter, the University of Missouri may terminate the agreement for our default or breach of the agreement upon thirty days’ written notice without an opportunity to cure such default or breach.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Harvard College License Agreements</w:t>
      </w:r>
    </w:p>
    <w:p>
      <w:pPr>
        <w:spacing w:after="0" w:line="117" w:lineRule="exact"/>
        <w:rPr>
          <w:sz w:val="20"/>
          <w:szCs w:val="20"/>
          <w:color w:val="auto"/>
        </w:rPr>
      </w:pPr>
    </w:p>
    <w:p>
      <w:pPr>
        <w:jc w:val="both"/>
        <w:ind w:right="380" w:firstLine="546"/>
        <w:spacing w:after="0" w:line="263" w:lineRule="auto"/>
        <w:rPr>
          <w:sz w:val="20"/>
          <w:szCs w:val="20"/>
          <w:color w:val="auto"/>
        </w:rPr>
      </w:pPr>
      <w:r>
        <w:rPr>
          <w:rFonts w:ascii="Arial" w:cs="Arial" w:eastAsia="Arial" w:hAnsi="Arial"/>
          <w:sz w:val="18"/>
          <w:szCs w:val="18"/>
          <w:color w:val="auto"/>
        </w:rPr>
        <w:t>In 2016 and 2017, we entered into license agreements with the President and Fellows of Harvard College, or Harvard College, under which we obtained non-exclusive, royalty-bearing, sublicensable, worldwide licenses to use certain intellectual property owned by Harvard College to develop, manufacture, and commercialize products for use in the treatment of Duchenne.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ind w:right="40" w:firstLine="546"/>
        <w:spacing w:after="0" w:line="254" w:lineRule="auto"/>
        <w:rPr>
          <w:sz w:val="20"/>
          <w:szCs w:val="20"/>
          <w:color w:val="auto"/>
        </w:rPr>
      </w:pPr>
      <w:r>
        <w:rPr>
          <w:rFonts w:ascii="Arial" w:cs="Arial" w:eastAsia="Arial" w:hAnsi="Arial"/>
          <w:sz w:val="18"/>
          <w:szCs w:val="18"/>
          <w:color w:val="auto"/>
        </w:rPr>
        <w:t>In consideration for the rights granted by each agreement, we paid one-time, non-refundable license fees, which were recorded as a research and development expense in 2016 and 2017. We are required to pay an annual license maintenance fee until certain milestones are achieved, after which time the annual maintenance fee will increase annually. Such annual maintenance fees will further increase if we grant certain rights to a sublicensee or strategic partner with whom we collaborate on the development and commercialization of licensed products. The annual maintenance fees are creditable against royalty payments. We also must pay milestone payments within thirty days after achieving certain milestones. There were no milestones achieved during the years ended December 31, 2021, 2020 and 2019 under either agreement. We must pay a royalty on future sales by us or our sublicensees of products developed using the licensed technology.</w:t>
      </w:r>
    </w:p>
    <w:p>
      <w:pPr>
        <w:spacing w:after="0" w:line="195"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The license agreements each remain in effect for an initial term of fifteen years, with automatic three-year renewal periods thereafter unless one of the parties provides notice of non-renewal. We may terminate the license agreements at any time upon providing sixty days’ written notice to Harvard College. Harvard College may terminate the agreements in the event we become bankrupt or insolvent. Both Harvard College and we may also terminate the agreements for an uncured material breach of the agreements by the other party.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Ultragenyx Collaboration Agreement</w:t>
      </w:r>
    </w:p>
    <w:p>
      <w:pPr>
        <w:spacing w:after="0" w:line="225" w:lineRule="exact"/>
        <w:rPr>
          <w:sz w:val="20"/>
          <w:szCs w:val="20"/>
          <w:color w:val="auto"/>
        </w:rPr>
      </w:pPr>
    </w:p>
    <w:p>
      <w:pPr>
        <w:ind w:firstLine="802"/>
        <w:spacing w:after="0" w:line="272" w:lineRule="auto"/>
        <w:rPr>
          <w:sz w:val="20"/>
          <w:szCs w:val="20"/>
          <w:color w:val="auto"/>
        </w:rPr>
      </w:pPr>
      <w:r>
        <w:rPr>
          <w:rFonts w:ascii="Arial" w:cs="Arial" w:eastAsia="Arial" w:hAnsi="Arial"/>
          <w:sz w:val="17"/>
          <w:szCs w:val="17"/>
          <w:color w:val="auto"/>
        </w:rPr>
        <w:t>On October 22, 2020, or the Effective Date, we entered into a collaboration and license agreement with Ultragenyx, to focus on the development and commercialization of new gene therapies for Duchenne. We granted Ultragenyx an exclusive worldwide license for any pharmaceutical product that expresses our proprietary microdystrophin construct from AAV8 and variants thereof in clade E for the treatment of Duchenne and other diseases resulting from the lack of functional dystrophin. We are conducting certain activities agreed to by the parties with respect to the development of licensed products. Ultragenyx will reimburse us for personnel and out-of-pocket costs that we incur in conducting such development activities. Otherwise, Ultragenyx has decision-making authority with respect to the development, manufacturing and commercialization of licensed products. We retain exclusive rights to all other uses of our microdystrophin proteins, including under our existing SGT-001 program.</w:t>
      </w:r>
    </w:p>
    <w:p>
      <w:pPr>
        <w:spacing w:after="0" w:line="177" w:lineRule="exact"/>
        <w:rPr>
          <w:sz w:val="20"/>
          <w:szCs w:val="20"/>
          <w:color w:val="auto"/>
        </w:rPr>
      </w:pPr>
    </w:p>
    <w:p>
      <w:pPr>
        <w:ind w:firstLine="802"/>
        <w:spacing w:after="0" w:line="269" w:lineRule="auto"/>
        <w:rPr>
          <w:sz w:val="20"/>
          <w:szCs w:val="20"/>
          <w:color w:val="auto"/>
        </w:rPr>
      </w:pPr>
      <w:r>
        <w:rPr>
          <w:rFonts w:ascii="Arial" w:cs="Arial" w:eastAsia="Arial" w:hAnsi="Arial"/>
          <w:sz w:val="17"/>
          <w:szCs w:val="17"/>
          <w:color w:val="auto"/>
        </w:rPr>
        <w:t>We are conducting certain activities agreed to by the parties with respect to the development of licensed products. Ultragenyx is obligated to reimburse us for personnel and out-of-pocket costs that we incur in conducting such development activities. Otherwise, Ultragenyx has decision-making authority with respect to the development, manufacturing and commercialization of licensed products. In connection with the execution of the Collaboration Agreement, we also entered into a stock purchase agreement and an investor agreement with Ultragenyx, pursuant to which we issued and sold 7,825,797 shares of our common stock to Ultragenyx at a price of $5.1113 per share for an aggregate purchase price of approximately $40.0 million. The shares purchased by Ultragenyx are subject to a lock-up period until the earliest to occur of (i) 18 months from the closing date, (ii) the termination of the Collaboration Agreement or (iii) other specified events. Pursuant to the terms of the investor agreement, Ultragenyx agreed that, so long as it holds at least 10% of our outstanding common stock, the shares will be subject to a voting agreement, such that until the earliest to occur of certain specified events, and subject to specified conditions, Ultragenyx will, and will cause its permitted transferees to, vote in accordance with the recommendation of our Board of Directors with respect to specified matters.</w:t>
      </w:r>
    </w:p>
    <w:p>
      <w:pPr>
        <w:spacing w:after="0" w:line="185" w:lineRule="exact"/>
        <w:rPr>
          <w:sz w:val="20"/>
          <w:szCs w:val="20"/>
          <w:color w:val="auto"/>
        </w:rPr>
      </w:pPr>
    </w:p>
    <w:p>
      <w:pPr>
        <w:ind w:right="120" w:firstLine="802"/>
        <w:spacing w:after="0" w:line="259" w:lineRule="auto"/>
        <w:rPr>
          <w:sz w:val="20"/>
          <w:szCs w:val="20"/>
          <w:color w:val="auto"/>
        </w:rPr>
      </w:pPr>
      <w:r>
        <w:rPr>
          <w:rFonts w:ascii="Arial" w:cs="Arial" w:eastAsia="Arial" w:hAnsi="Arial"/>
          <w:sz w:val="18"/>
          <w:szCs w:val="18"/>
          <w:color w:val="auto"/>
        </w:rPr>
        <w:t>Ultragenyx also agreed to pay up to $255.0 million in cumulative milestone payments per product upon achievement of specified milestone events, and tiered royalties on worldwide net sales at low double digit to mid-teens percentages. Upon achievement of proof-of-concept, we have the right to opt-in to co-fund collaboration programs in return for participation in a profit share or increased royalty payments. None of the payments under the Collaboration Agreement are refundable.</w:t>
      </w:r>
    </w:p>
    <w:p>
      <w:pPr>
        <w:spacing w:after="0" w:line="187" w:lineRule="exact"/>
        <w:rPr>
          <w:sz w:val="20"/>
          <w:szCs w:val="20"/>
          <w:color w:val="auto"/>
        </w:rPr>
      </w:pPr>
    </w:p>
    <w:p>
      <w:pPr>
        <w:ind w:firstLine="802"/>
        <w:spacing w:after="0" w:line="257" w:lineRule="auto"/>
        <w:rPr>
          <w:sz w:val="20"/>
          <w:szCs w:val="20"/>
          <w:color w:val="auto"/>
        </w:rPr>
      </w:pPr>
      <w:r>
        <w:rPr>
          <w:rFonts w:ascii="Arial" w:cs="Arial" w:eastAsia="Arial" w:hAnsi="Arial"/>
          <w:sz w:val="18"/>
          <w:szCs w:val="18"/>
          <w:color w:val="auto"/>
        </w:rPr>
        <w:t>For each licensed product for which Ultragenyx decides to initiate a registrational trial in humans, we have the option to fund 30% of the development costs in the United States and European Union for such licensed product and forgo the development milestones and regulatory milestones, or the Development Option, and receive tiered royalties on a licensed product-by-licensed product and country-by-country basis ranging from a mid-teens percentage to a low twenties percentage based on Ultragenyx’s, and any of its affiliates’ and sublicensees’ annual worldwide net sales of each such licensed product.</w:t>
      </w:r>
    </w:p>
    <w:p>
      <w:pPr>
        <w:spacing w:after="0" w:line="188" w:lineRule="exact"/>
        <w:rPr>
          <w:sz w:val="20"/>
          <w:szCs w:val="20"/>
          <w:color w:val="auto"/>
        </w:rPr>
      </w:pPr>
    </w:p>
    <w:p>
      <w:pPr>
        <w:ind w:right="100" w:firstLine="802"/>
        <w:spacing w:after="0" w:line="296" w:lineRule="auto"/>
        <w:rPr>
          <w:sz w:val="20"/>
          <w:szCs w:val="20"/>
          <w:color w:val="auto"/>
        </w:rPr>
      </w:pPr>
      <w:r>
        <w:rPr>
          <w:rFonts w:ascii="Arial" w:cs="Arial" w:eastAsia="Arial" w:hAnsi="Arial"/>
          <w:sz w:val="16"/>
          <w:szCs w:val="16"/>
          <w:color w:val="auto"/>
        </w:rPr>
        <w:t>For each Licensed Product for which we exercise the Development Option, we may also elect to share 30% of the net income and net losses on net sales of such Licensed Product in the United States and European Union, or the Income Share Option. For licensed products for which we have exercised the Income Share Option, we will not be entitled to milestone payments and Ultragenyx will pay us tiered royalties on a licensed product-by-licensed product and country-by-country basis ranging from a mid-teens percentage to a low twenties percentage based on Ultragenyx’s, and any of its affiliates’ and sublicensees’, annual net sales of each such licensed product outside of the United States and European Union.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ind w:right="40" w:firstLine="802"/>
        <w:spacing w:after="0" w:line="263" w:lineRule="auto"/>
        <w:rPr>
          <w:sz w:val="20"/>
          <w:szCs w:val="20"/>
          <w:color w:val="auto"/>
        </w:rPr>
      </w:pPr>
      <w:r>
        <w:rPr>
          <w:rFonts w:ascii="Arial" w:cs="Arial" w:eastAsia="Arial" w:hAnsi="Arial"/>
          <w:sz w:val="18"/>
          <w:szCs w:val="18"/>
          <w:color w:val="auto"/>
        </w:rPr>
        <w:t>We and Ultragenyx established a Joint Steering Committee, or the JSC. The JSC will, among other responsibilities, review and oversee certain development activities performed under the Collaboration Agreement, including reviewing the development plan and budget for the development activities to be performed by us.</w:t>
      </w:r>
    </w:p>
    <w:p>
      <w:pPr>
        <w:spacing w:after="0" w:line="184" w:lineRule="exact"/>
        <w:rPr>
          <w:sz w:val="20"/>
          <w:szCs w:val="20"/>
          <w:color w:val="auto"/>
        </w:rPr>
      </w:pPr>
    </w:p>
    <w:p>
      <w:pPr>
        <w:ind w:right="20" w:firstLine="802"/>
        <w:spacing w:after="0" w:line="263" w:lineRule="auto"/>
        <w:rPr>
          <w:sz w:val="20"/>
          <w:szCs w:val="20"/>
          <w:color w:val="auto"/>
        </w:rPr>
      </w:pPr>
      <w:r>
        <w:rPr>
          <w:rFonts w:ascii="Arial" w:cs="Arial" w:eastAsia="Arial" w:hAnsi="Arial"/>
          <w:sz w:val="18"/>
          <w:szCs w:val="18"/>
          <w:color w:val="auto"/>
        </w:rPr>
        <w:t>The term of the Collaboration Agreement began on the Effective Date and expires upon the expiration of all payment obligations from Ultragenyx to us under the Collaboration Agreement. Ultragenyx also has the ability to terminate for convenience with prior written notice to us, and either party may terminate for an uncured material breach.</w:t>
      </w:r>
    </w:p>
    <w:p>
      <w:pPr>
        <w:spacing w:after="0" w:line="184" w:lineRule="exact"/>
        <w:rPr>
          <w:sz w:val="20"/>
          <w:szCs w:val="20"/>
          <w:color w:val="auto"/>
        </w:rPr>
      </w:pPr>
    </w:p>
    <w:p>
      <w:pPr>
        <w:ind w:firstLine="802"/>
        <w:spacing w:after="0" w:line="291" w:lineRule="auto"/>
        <w:rPr>
          <w:sz w:val="20"/>
          <w:szCs w:val="20"/>
          <w:color w:val="auto"/>
        </w:rPr>
      </w:pPr>
      <w:r>
        <w:rPr>
          <w:rFonts w:ascii="Arial" w:cs="Arial" w:eastAsia="Arial" w:hAnsi="Arial"/>
          <w:sz w:val="16"/>
          <w:szCs w:val="16"/>
          <w:color w:val="auto"/>
        </w:rPr>
        <w:t>As described in Note 3, in October 2020, the Company entered into the Collaboration Agreement with Ultragenyx for the research, development and commercialization of other pharmaceutical products that express the Company’s MD5 nNOS binding domain form of microdystrophin</w:t>
      </w:r>
    </w:p>
    <w:p>
      <w:pPr>
        <w:spacing w:after="0" w:line="253" w:lineRule="auto"/>
        <w:rPr>
          <w:sz w:val="20"/>
          <w:szCs w:val="20"/>
          <w:color w:val="auto"/>
        </w:rPr>
      </w:pPr>
      <w:r>
        <w:rPr>
          <w:rFonts w:ascii="Arial" w:cs="Arial" w:eastAsia="Arial" w:hAnsi="Arial"/>
          <w:sz w:val="18"/>
          <w:szCs w:val="18"/>
          <w:color w:val="auto"/>
        </w:rPr>
        <w:t>protein. Ultragenyx is a related party since Ultragenyx is one of the Company’s significant stockholders. During the year ended December 31, 2021, the Company recognized revenue of $13.6 million associated with the Collaboration Agreement. As of December 31, 2021, there was $8.1 million of deferred revenue related to the Collaboration Agreement, which is classified as current in the consolidated balance sheets. The Company has made no payments to Ultragenyx during the year ended December 31, 2021. There is $0.1 million and $0 due from Ultragenyx as of December 31, 2021 and December 31, 2020,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117" w:lineRule="exact"/>
        <w:rPr>
          <w:sz w:val="20"/>
          <w:szCs w:val="20"/>
          <w:color w:val="auto"/>
        </w:rPr>
      </w:pPr>
    </w:p>
    <w:p>
      <w:pPr>
        <w:ind w:right="200" w:firstLine="546"/>
        <w:spacing w:after="0" w:line="254" w:lineRule="auto"/>
        <w:rPr>
          <w:sz w:val="20"/>
          <w:szCs w:val="20"/>
          <w:color w:val="auto"/>
        </w:rPr>
      </w:pPr>
      <w:r>
        <w:rPr>
          <w:rFonts w:ascii="Arial" w:cs="Arial" w:eastAsia="Arial" w:hAnsi="Arial"/>
          <w:sz w:val="18"/>
          <w:szCs w:val="18"/>
          <w:color w:val="auto"/>
        </w:rPr>
        <w:t>In 2016, we entered into a license agreement with Life Technologies Corporation, or Life Technologies. In consideration for obtaining a non-exclusive, royalty-free, worldwide license to use certain technologies and associated know-how to develop our product candidates, we paid a one-time, non-refundable license fee. This fee was recorded as a research and development expense in 2016. The license agreement will remain effective in perpetuity unless earlier terminated. Life Technologies has the right to terminate the agreement upon our material, uncured breach of the agreement or in the event that it determines that continued performance of the agreement may violate any laws. We are obligated to diligently pursue regulatory approval necessary for the development, manufacture and sale of the licensed products. We have the right to terminate the agreement at any time upon providing thirty days’ written notice to Life Technologies.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20" w:firstLine="546"/>
        <w:spacing w:after="0" w:line="286" w:lineRule="auto"/>
        <w:rPr>
          <w:sz w:val="20"/>
          <w:szCs w:val="20"/>
          <w:color w:val="auto"/>
        </w:rPr>
      </w:pPr>
      <w:r>
        <w:rPr>
          <w:rFonts w:ascii="Arial" w:cs="Arial" w:eastAsia="Arial" w:hAnsi="Arial"/>
          <w:sz w:val="16"/>
          <w:szCs w:val="16"/>
          <w:color w:val="auto"/>
        </w:rPr>
        <w:t>The biotechnology and pharmaceutical industries are characterized by rapidly changing technologies, significant competition and a strong emphasis on intellectual property. This is also true in treatments of Duchenne, as well as in gene therapy. While we believe that our focus, strength of team, expertise in gene therapy, scientific knowledge and intellectual property provide us with competitive advantages, we face competition from several different sources, including large and small biopharmaceutical companies, academic research institutions, government agencies and public and private research institutions.</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Not only must we compete with other companies that are focused on gene transfer technology, but any product candidates that we successfully develop and commercialize will compete with existing therapies and new therapies that may become available in the future.</w:t>
      </w:r>
    </w:p>
    <w:p>
      <w:pPr>
        <w:spacing w:after="0" w:line="185"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Many of our competitors have significantly greater financial resources and expertise in research and development, manufacturing, preclinical testing, clinical trials, regulatory approvals and product marketing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286"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We are aware of several companies and research institutions conducting clinical trials of product candidates focused on systemic gene transfers for Duchenne, including Pfizer Inc. and Sarepta Therapeutics, Inc. with product candidates currently in Phase III clinical development, Genethon with a product candidate currently in Phase I/II/III clinical trial development, and REGENXBIO Inc. which has announced that it intends to start a Phase I/II clinical trial with its gene transfer product in the first half of 2022.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Government regulation and product licensure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 and product licensure</w:t>
      </w:r>
    </w:p>
    <w:p>
      <w:pPr>
        <w:spacing w:after="0" w:line="117"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In the United States, biologic products including gene therapy products, such as our lead product candidate, are licensed for marketing by the FDA under the Public Health Service Act, or PHS Act, and regulated by the FDA under the Federal Food, Drug, and Cosmetic Act, or FD&amp;C Act, as well as by other federal, state and local statutes and regulations. Both the FD&amp;C Act and the PHS Act and their corresponding rules and regulations govern, among other things, the testing, manufacturing, safety, efficacy, labeling, packaging, storage, record keeping, distribution, reporting, advertising and other promotional practices involving biologic products. FDA approval must be obtained before conducting human clinical testing of biologic products. Additionally, each clinical trial protocol for a gene therapy product candidate is reviewed by the FDA and, in limited instances, the U.S. National Institutes of Health, or the NIH, through its Office of Biotechnology Activities’ Recombinant DNA Advisory Committee, or RAC. FDA must license a biologic product before it may be marketed within the United States.</w:t>
      </w:r>
    </w:p>
    <w:p>
      <w:pPr>
        <w:spacing w:after="0" w:line="178"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Within the FDA, the Center for Biologics Evaluation and Research, or the CBER, regulates gene therapy products. Within CBER, the review of gene therapy and related products is consolidated in the Office of Tissues and Advanced Therapies, or the OTAT, and the FDA has established the Cellular, Tissue and Gene Therapies Advisory Committee to advise CBER on its reviews. CBER, which works closely with the NIH and the RAC, makes recommendations to the NIH on gene therapy issues and engages in a public discussion of scientific, safety, ethical and societal issues related to proposed and ongoing gene therapy protocols. The FDA has licensed human gene therapies products for sale in the United States, and the agency has provided guidance for the development of other gene therapy products. This guidance includes a growing body of guidance documents on chemistry, manufacturing and control, or CMC, clinical investigations and other areas of gene therapy development, all of which are intended to facilitate the industry’s development of gene therapy products.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biologic products development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biologic product may be marketed in the United States generally involves the following:</w:t>
      </w:r>
    </w:p>
    <w:p>
      <w:pPr>
        <w:spacing w:after="0" w:line="117" w:lineRule="exact"/>
        <w:rPr>
          <w:sz w:val="20"/>
          <w:szCs w:val="20"/>
          <w:color w:val="auto"/>
        </w:rPr>
      </w:pPr>
    </w:p>
    <w:p>
      <w:pPr>
        <w:ind w:left="960" w:right="260" w:hanging="41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completion of preclinical laboratory tests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according to the FDA’s GLP requirements and applicable requirements for the humane use of laboratory animals or other applicable regulations;</w:t>
      </w:r>
    </w:p>
    <w:p>
      <w:pPr>
        <w:spacing w:after="0" w:line="62" w:lineRule="exact"/>
        <w:rPr>
          <w:rFonts w:ascii="Arial" w:cs="Arial" w:eastAsia="Arial" w:hAnsi="Arial"/>
          <w:sz w:val="18"/>
          <w:szCs w:val="18"/>
          <w:color w:val="auto"/>
        </w:rPr>
      </w:pPr>
    </w:p>
    <w:p>
      <w:pPr>
        <w:ind w:left="960" w:right="200" w:hanging="41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of a clinical protocol and submission to the FDA of an application for an IND, which allows human clinical trials to begin unless the FDA objects within 30 days;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by an institutional review board, or IRB, reviewing each clinical site before each clinical trial may be initiated;</w:t>
      </w:r>
    </w:p>
    <w:p>
      <w:pPr>
        <w:spacing w:after="0" w:line="144" w:lineRule="exact"/>
        <w:rPr>
          <w:rFonts w:ascii="Arial" w:cs="Arial" w:eastAsia="Arial" w:hAnsi="Arial"/>
          <w:sz w:val="18"/>
          <w:szCs w:val="18"/>
          <w:color w:val="auto"/>
        </w:rPr>
      </w:pPr>
    </w:p>
    <w:p>
      <w:pPr>
        <w:ind w:left="960" w:right="400" w:hanging="41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by an institutional biosafety committee, or IBC, assessing the safety of the clinical research and identifying any potential risk to public health or the environment;</w:t>
      </w:r>
    </w:p>
    <w:p>
      <w:pPr>
        <w:spacing w:after="0" w:line="62" w:lineRule="exact"/>
        <w:rPr>
          <w:rFonts w:ascii="Arial" w:cs="Arial" w:eastAsia="Arial" w:hAnsi="Arial"/>
          <w:sz w:val="18"/>
          <w:szCs w:val="18"/>
          <w:color w:val="auto"/>
        </w:rPr>
      </w:pPr>
    </w:p>
    <w:p>
      <w:pPr>
        <w:ind w:left="960" w:hanging="412"/>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adequate and well controlled human clinical trials according to the FDA’s regulations commonly referred to as good clinical practices, or GCPs, and any additional requirements for the protection of human research subjects and their health information, to establish the safety, potency and purity of the proposed biologic product for its intended use;</w:t>
      </w:r>
    </w:p>
    <w:p>
      <w:pPr>
        <w:spacing w:after="0" w:line="75" w:lineRule="exact"/>
        <w:rPr>
          <w:rFonts w:ascii="Arial" w:cs="Arial" w:eastAsia="Arial" w:hAnsi="Arial"/>
          <w:sz w:val="18"/>
          <w:szCs w:val="18"/>
          <w:color w:val="auto"/>
        </w:rPr>
      </w:pPr>
    </w:p>
    <w:p>
      <w:pPr>
        <w:ind w:left="960" w:right="120" w:hanging="412"/>
        <w:spacing w:after="0" w:line="286"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preparation and submission to the FDA of a biologics license application, or BLA, for marketing approval that includes substantive evidence of safety, purity and potency from results of preclinical testing and clinical trials, and detailed information about the CMC for the product, reports of the outcomes and full data sets of the clinical trials and proposed labeling and packaging for the product;</w:t>
      </w:r>
    </w:p>
    <w:p>
      <w:pPr>
        <w:spacing w:after="0" w:line="57" w:lineRule="exact"/>
        <w:rPr>
          <w:rFonts w:ascii="Arial" w:cs="Arial" w:eastAsia="Arial" w:hAnsi="Arial"/>
          <w:sz w:val="17"/>
          <w:szCs w:val="17"/>
          <w:color w:val="auto"/>
        </w:rPr>
      </w:pPr>
    </w:p>
    <w:p>
      <w:pPr>
        <w:ind w:left="960" w:hanging="41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if applicable;</w:t>
      </w:r>
    </w:p>
    <w:p>
      <w:pPr>
        <w:spacing w:after="0" w:line="144" w:lineRule="exact"/>
        <w:rPr>
          <w:rFonts w:ascii="Arial" w:cs="Arial" w:eastAsia="Arial" w:hAnsi="Arial"/>
          <w:sz w:val="18"/>
          <w:szCs w:val="18"/>
          <w:color w:val="auto"/>
        </w:rPr>
      </w:pPr>
    </w:p>
    <w:p>
      <w:pPr>
        <w:ind w:left="960" w:right="240" w:hanging="412"/>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 product candidate is produced to assess compliance with cGMP requirements and to assure that the facilities, methods and controls are adequate to preserve the biologic product candidate’s identity, safety, strength, quality and purity;</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BLA;</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user fees;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licensure of the BLA; and</w:t>
      </w:r>
    </w:p>
    <w:p>
      <w:pPr>
        <w:spacing w:after="0" w:line="144" w:lineRule="exact"/>
        <w:rPr>
          <w:rFonts w:ascii="Arial" w:cs="Arial" w:eastAsia="Arial" w:hAnsi="Arial"/>
          <w:sz w:val="18"/>
          <w:szCs w:val="18"/>
          <w:color w:val="auto"/>
        </w:rPr>
      </w:pPr>
    </w:p>
    <w:p>
      <w:pPr>
        <w:ind w:left="960" w:right="20" w:hanging="41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Preclinical Studies and Investigational New Drug Application</w:t>
      </w:r>
    </w:p>
    <w:p>
      <w:pPr>
        <w:spacing w:after="0" w:line="225" w:lineRule="exact"/>
        <w:rPr>
          <w:sz w:val="20"/>
          <w:szCs w:val="20"/>
          <w:color w:val="auto"/>
        </w:rPr>
      </w:pPr>
    </w:p>
    <w:p>
      <w:pPr>
        <w:ind w:right="60" w:firstLine="546"/>
        <w:spacing w:after="0" w:line="257" w:lineRule="auto"/>
        <w:rPr>
          <w:sz w:val="20"/>
          <w:szCs w:val="20"/>
          <w:color w:val="auto"/>
        </w:rPr>
      </w:pPr>
      <w:r>
        <w:rPr>
          <w:rFonts w:ascii="Arial" w:cs="Arial" w:eastAsia="Arial" w:hAnsi="Arial"/>
          <w:sz w:val="18"/>
          <w:szCs w:val="18"/>
          <w:color w:val="auto"/>
        </w:rPr>
        <w:t xml:space="preserve">Before testing any biologic product candidate in humans, including a gene therapy product candidate, the product candidate must undergo preclinical testing. Preclinical tests, also referred to as nonclinical studies, include laboratory evaluations of product chemistry, toxicity and formulation, as well as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to assess the potential safety and activity of the product candidate and to establish a rationale for therapeutic use. The conduct of certain nonclinical studies must comply with federal regulations and requirements, including GLPs and the U.S. Department of Agriculture’s Animal Welfare Act, if applicable.</w:t>
      </w:r>
    </w:p>
    <w:p>
      <w:pPr>
        <w:spacing w:after="0" w:line="188"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If a gene therapy trial is conducted at, or sponsored by, institutions receiving NIH funding for recombinant DNA research, prior to the submission of an IND to the FDA, a protocol and related documents must be submitted to, and the study registered with, the NIH Office of Biotechnology Activities, or OBA, pursuant to the NIH Guidelines for Research Involving 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 NIH is responsible for convening the RAC that discusses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website and may be accessed by the public.</w:t>
      </w:r>
    </w:p>
    <w:p>
      <w:pPr>
        <w:spacing w:after="0" w:line="192"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The clinical trial sponsor must submit the results of the preclinical tests, together with manufacturing information, analytical data, any available clinical data or literature and a proposed clinical protocol, to the FDA as part of the IND. An IND is an exemption from the FD&amp;C Act that allows an unapproved product to be shipped in interstate commerce for use in an investigational clinical trial and a request for FDA authorization to administer an investigational product to humans. Some preclinical tests may continue even after the IND is submitted. The IND automatically becomes effective 30 days after receipt by the FDA, unless the FDA places the clinical trial on a full clinical hold or partial clinical hold. In such a case, the IND sponsor and the FDA must resolve any outstanding concerns before the clinical trial can begin. With gene therapy protocols, if the FDA allows the IND to proceed, but the RAC decides that full public review of the protocol is warranted, the FDA will request at the completion of its IND review that the sponsor delay initiation of the protocol until after completion of the RAC review process. The FDA also may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85" w:lineRule="exact"/>
        <w:rPr>
          <w:sz w:val="20"/>
          <w:szCs w:val="20"/>
          <w:color w:val="auto"/>
        </w:rPr>
      </w:pPr>
    </w:p>
    <w:p>
      <w:pPr>
        <w:ind w:right="20" w:firstLine="546"/>
        <w:spacing w:after="0" w:line="279" w:lineRule="auto"/>
        <w:rPr>
          <w:sz w:val="20"/>
          <w:szCs w:val="20"/>
          <w:color w:val="auto"/>
        </w:rPr>
      </w:pPr>
      <w:r>
        <w:rPr>
          <w:rFonts w:ascii="Arial" w:cs="Arial" w:eastAsia="Arial" w:hAnsi="Arial"/>
          <w:sz w:val="17"/>
          <w:szCs w:val="17"/>
          <w:color w:val="auto"/>
        </w:rPr>
        <w:t>In addition, the FDA may impose a partial clinical hold at any time before or during clinical trials. A partial clinical hold is a delay or suspension of only part of the clinical work requested under the IND (e.g., a specific protocol or part of a protocol is not allowed to proceed; however, other protocols or parts of the protocol are allowed to proceed under the IND). If the FDA requires that progress to the next study is contingent on (i) FDA review of additional data and (ii) subsequent specific permission for the study to proceed, this represents a partial clinical hold.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under an IND</w:t>
      </w:r>
    </w:p>
    <w:p>
      <w:pPr>
        <w:spacing w:after="0" w:line="117" w:lineRule="exact"/>
        <w:rPr>
          <w:sz w:val="20"/>
          <w:szCs w:val="20"/>
          <w:color w:val="auto"/>
        </w:rPr>
      </w:pPr>
    </w:p>
    <w:p>
      <w:pPr>
        <w:ind w:right="140" w:firstLine="546"/>
        <w:spacing w:after="0" w:line="293" w:lineRule="auto"/>
        <w:rPr>
          <w:sz w:val="20"/>
          <w:szCs w:val="20"/>
          <w:color w:val="auto"/>
        </w:rPr>
      </w:pPr>
      <w:r>
        <w:rPr>
          <w:rFonts w:ascii="Arial" w:cs="Arial" w:eastAsia="Arial" w:hAnsi="Arial"/>
          <w:sz w:val="16"/>
          <w:szCs w:val="16"/>
          <w:color w:val="auto"/>
        </w:rPr>
        <w:t>Clinical trials involve the administration of the biologic product candidate to healthy volunteers or subjects under the supervision of qualified investigators, generally physicians not employed by, or under the control of, the trial sponsor. Clinical trials are conducted under written study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w:t>
      </w:r>
    </w:p>
    <w:p>
      <w:pPr>
        <w:spacing w:after="0" w:line="164"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ind w:firstLine="546"/>
        <w:spacing w:after="0" w:line="275" w:lineRule="auto"/>
        <w:rPr>
          <w:sz w:val="20"/>
          <w:szCs w:val="20"/>
          <w:color w:val="auto"/>
        </w:rPr>
      </w:pPr>
      <w:r>
        <w:rPr>
          <w:rFonts w:ascii="Arial" w:cs="Arial" w:eastAsia="Arial" w:hAnsi="Arial"/>
          <w:sz w:val="17"/>
          <w:szCs w:val="17"/>
          <w:color w:val="auto"/>
        </w:rPr>
        <w:t>Additionally, some trials are overseen by an independent group of qualified experts organized by the trial sponsor, known as a data safety monitoring board or committee, or DSMB. This group provides authorization as to whether or not a trial may move forward at designated check points based on access that only the group maintains to available data from the study. Clinical trials involving recombinant DNA also must be reviewed by an IBC a local institutional committee that reviews and oversees basic and clinical research and utilizes recombinant DNA at that institution. The IBC assesses the safety of the research and identifies any potential risk to public health or the environment.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960" w:right="40" w:hanging="412"/>
        <w:spacing w:after="0" w:line="25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Phase I</w:t>
      </w:r>
      <w:r>
        <w:rPr>
          <w:rFonts w:ascii="Arial" w:cs="Arial" w:eastAsia="Arial" w:hAnsi="Arial"/>
          <w:sz w:val="18"/>
          <w:szCs w:val="18"/>
          <w:color w:val="auto"/>
        </w:rPr>
        <w:t>. The investigational biologic product is initially introduced into a small group of healthy human subjects and tested for safety, dosage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if possible, to gain an early understanding of its effectiveness. In the case of some product candidates for severe or life-threatening diseases, especially when the product candidate may be too inherently toxic to ethically administer to healthy volunteers, the initial human testing is often conducted in patients. Phase I clinical trials of gene therapies are typically conducted in patients rather than healthy volunteers.</w:t>
      </w:r>
    </w:p>
    <w:p>
      <w:pPr>
        <w:spacing w:after="0" w:line="79" w:lineRule="exact"/>
        <w:rPr>
          <w:rFonts w:ascii="Arial" w:cs="Arial" w:eastAsia="Arial" w:hAnsi="Arial"/>
          <w:sz w:val="18"/>
          <w:szCs w:val="18"/>
          <w:color w:val="auto"/>
        </w:rPr>
      </w:pPr>
    </w:p>
    <w:p>
      <w:pPr>
        <w:ind w:left="960" w:right="120" w:hanging="41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Phase II</w:t>
      </w:r>
      <w:r>
        <w:rPr>
          <w:rFonts w:ascii="Arial" w:cs="Arial" w:eastAsia="Arial" w:hAnsi="Arial"/>
          <w:sz w:val="18"/>
          <w:szCs w:val="18"/>
          <w:color w:val="auto"/>
        </w:rPr>
        <w:t>. The biologic product candidate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75" w:lineRule="exact"/>
        <w:rPr>
          <w:rFonts w:ascii="Arial" w:cs="Arial" w:eastAsia="Arial" w:hAnsi="Arial"/>
          <w:sz w:val="18"/>
          <w:szCs w:val="18"/>
          <w:color w:val="auto"/>
        </w:rPr>
      </w:pPr>
    </w:p>
    <w:p>
      <w:pPr>
        <w:ind w:left="960" w:right="20" w:hanging="412"/>
        <w:spacing w:after="0" w:line="255"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Phase III</w:t>
      </w:r>
      <w:r>
        <w:rPr>
          <w:rFonts w:ascii="Arial" w:cs="Arial" w:eastAsia="Arial" w:hAnsi="Arial"/>
          <w:sz w:val="18"/>
          <w:szCs w:val="18"/>
          <w:color w:val="auto"/>
        </w:rPr>
        <w:t>. Phase III clinical trials are commonly referred to as “pivotal” studies, which typically denotes a study that presents the data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FDA or other relevant regulatory agency will use to determine whether or not to approve a biologic product. In Phase III clinical trials, the investigational biologic product is administered to an expanded patient population, generally at multiple geographically dispersed clinical trial sites in adequate and well controlled clinical trials to generate sufficient data to statistically confirm the potency and safety of the product for approval. These clinical trials are intended to establish the overall risk/benefit ratio of the product candidate and provide an adequate basis for product labeling.</w:t>
      </w:r>
    </w:p>
    <w:p>
      <w:pPr>
        <w:spacing w:after="0" w:line="192" w:lineRule="exact"/>
        <w:rPr>
          <w:sz w:val="20"/>
          <w:szCs w:val="20"/>
          <w:color w:val="auto"/>
        </w:rPr>
      </w:pPr>
    </w:p>
    <w:p>
      <w:pPr>
        <w:ind w:right="100" w:firstLine="546"/>
        <w:spacing w:after="0" w:line="308" w:lineRule="auto"/>
        <w:rPr>
          <w:sz w:val="20"/>
          <w:szCs w:val="20"/>
          <w:color w:val="auto"/>
        </w:rPr>
      </w:pPr>
      <w:r>
        <w:rPr>
          <w:rFonts w:ascii="Arial" w:cs="Arial" w:eastAsia="Arial" w:hAnsi="Arial"/>
          <w:sz w:val="17"/>
          <w:szCs w:val="17"/>
          <w:color w:val="auto"/>
        </w:rPr>
        <w:t>Post-approval clinical trials, sometimes referred to as Phase IV clinical trials, may be conducted after initial approval. These clinical trials are used to gain additional experience from the treatment of patients in the intended therapeutic indication, particularly for long-term safety follow-up.</w:t>
      </w:r>
    </w:p>
    <w:p>
      <w:pPr>
        <w:spacing w:after="0" w:line="146"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A clinical trial may combine the elements of more than one phase and the FDA often requires more than one Phase III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Generally, pivotal trials are Phase III trials, but they may be Phase II trials if the design provides a well-controlled and reliable assessment of clinical benefit, particularly in an area of unmet medical need.</w:t>
      </w:r>
    </w:p>
    <w:p>
      <w:pPr>
        <w:spacing w:after="0" w:line="188" w:lineRule="exact"/>
        <w:rPr>
          <w:sz w:val="20"/>
          <w:szCs w:val="20"/>
          <w:color w:val="auto"/>
        </w:rPr>
      </w:pPr>
    </w:p>
    <w:p>
      <w:pPr>
        <w:jc w:val="both"/>
        <w:ind w:right="100" w:firstLine="546"/>
        <w:spacing w:after="0" w:line="259"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In addition, sponsors are given opportunities to meet with the FDA at certain points in the clinical development program, including prior to the submission of an IND (Pre-IND meeting), at the end of a Phase II clinical trial and before a BLA is submitted.</w:t>
      </w:r>
    </w:p>
    <w:p>
      <w:pPr>
        <w:spacing w:after="0" w:line="187"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color w:val="auto"/>
        </w:rPr>
        <w:t xml:space="preserve">Written IND safety reports must be promptly submitted to the FDA, the NIH and the investigators for serious and unexpected adverse events, any findings from other trials,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laboratory tests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76" w:lineRule="exact"/>
        <w:rPr>
          <w:sz w:val="20"/>
          <w:szCs w:val="20"/>
          <w:color w:val="auto"/>
        </w:rPr>
      </w:pPr>
    </w:p>
    <w:p>
      <w:pPr>
        <w:ind w:right="160" w:firstLine="546"/>
        <w:spacing w:after="0" w:line="259" w:lineRule="auto"/>
        <w:rPr>
          <w:sz w:val="20"/>
          <w:szCs w:val="20"/>
          <w:color w:val="auto"/>
        </w:rPr>
      </w:pPr>
      <w:r>
        <w:rPr>
          <w:rFonts w:ascii="Arial" w:cs="Arial" w:eastAsia="Arial" w:hAnsi="Arial"/>
          <w:sz w:val="18"/>
          <w:szCs w:val="18"/>
          <w:color w:val="auto"/>
        </w:rPr>
        <w:t>The FDA or the sponsor or its DSMB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product candidate has been associated with unexpected serious harm to patients.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ind w:right="20" w:firstLine="546"/>
        <w:spacing w:after="0" w:line="293" w:lineRule="auto"/>
        <w:rPr>
          <w:sz w:val="20"/>
          <w:szCs w:val="20"/>
          <w:color w:val="auto"/>
        </w:rPr>
      </w:pPr>
      <w:r>
        <w:rPr>
          <w:rFonts w:ascii="Arial" w:cs="Arial" w:eastAsia="Arial" w:hAnsi="Arial"/>
          <w:sz w:val="16"/>
          <w:szCs w:val="16"/>
          <w:color w:val="auto"/>
        </w:rPr>
        <w:t>Finally, sponsors of clinical trials are required to register and disclose certain clinical trial information on a public registry (clinicaltrials.gov) maintained by the NIH. In particular, information related to the product, patient population, phase of investigation, study sites and investigators and other aspects of the clinical trial is made public as part of the registration of the clinical trial. The NIH’s Final Rule on registration and reporting requirements for clinical trials became effective in 2017, and both NIH and the FDA have recently signaled the government’s willingness to begin enforcing those requirements against non-compliant clinical trial sponsors. The failure to submit clinical trial information to clinicaltrials.gov, as required, is a prohibited act under the FD&amp;C Act with violations subject to potential civil monetary penalties of up to $10,000 for each day the violation continues.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117" w:lineRule="exact"/>
        <w:rPr>
          <w:sz w:val="20"/>
          <w:szCs w:val="20"/>
          <w:color w:val="auto"/>
        </w:rPr>
      </w:pPr>
    </w:p>
    <w:p>
      <w:pPr>
        <w:ind w:right="140" w:firstLine="546"/>
        <w:spacing w:after="0" w:line="293"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64" w:lineRule="exact"/>
        <w:rPr>
          <w:sz w:val="20"/>
          <w:szCs w:val="20"/>
          <w:color w:val="auto"/>
        </w:rPr>
      </w:pPr>
    </w:p>
    <w:p>
      <w:pPr>
        <w:ind w:right="20" w:firstLine="546"/>
        <w:spacing w:after="0" w:line="293" w:lineRule="auto"/>
        <w:rPr>
          <w:sz w:val="20"/>
          <w:szCs w:val="20"/>
          <w:color w:val="auto"/>
        </w:rPr>
      </w:pPr>
      <w:r>
        <w:rPr>
          <w:rFonts w:ascii="Arial" w:cs="Arial" w:eastAsia="Arial" w:hAnsi="Arial"/>
          <w:sz w:val="16"/>
          <w:szCs w:val="16"/>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w:t>
      </w:r>
    </w:p>
    <w:p>
      <w:pPr>
        <w:spacing w:after="0" w:line="164"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There is no obligation for a sponsor to make its investigational products available for expanded access; however, as required by the 21st Century Cures Act, or the Cures Act, passed in 2016, if a sponsor has a policy regarding how it responds to expanded access requests, it must make that policy publicly available. Although these requirements were rolled out over time, they have now come into full effect. Sponsors are required to make such policies publicly available upon the earlier of initiation of a Phase II or Phase III study; or 15 days after the drug or biologic receives designation as a breakthrough therapy, fast track product, or regenerative medicine advanced therapy.</w:t>
      </w:r>
    </w:p>
    <w:p>
      <w:pPr>
        <w:spacing w:after="0" w:line="188" w:lineRule="exact"/>
        <w:rPr>
          <w:sz w:val="20"/>
          <w:szCs w:val="20"/>
          <w:color w:val="auto"/>
        </w:rPr>
      </w:pPr>
    </w:p>
    <w:p>
      <w:pPr>
        <w:ind w:right="60" w:firstLine="546"/>
        <w:spacing w:after="0" w:line="296"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Regulations and Guidance Governing Gene Therapy Products</w:t>
      </w:r>
    </w:p>
    <w:p>
      <w:pPr>
        <w:spacing w:after="0" w:line="117" w:lineRule="exact"/>
        <w:rPr>
          <w:sz w:val="20"/>
          <w:szCs w:val="20"/>
          <w:color w:val="auto"/>
        </w:rPr>
      </w:pPr>
    </w:p>
    <w:p>
      <w:pPr>
        <w:ind w:right="80" w:firstLine="546"/>
        <w:spacing w:after="0" w:line="289" w:lineRule="auto"/>
        <w:rPr>
          <w:sz w:val="20"/>
          <w:szCs w:val="20"/>
          <w:color w:val="auto"/>
        </w:rPr>
      </w:pPr>
      <w:r>
        <w:rPr>
          <w:rFonts w:ascii="Arial" w:cs="Arial" w:eastAsia="Arial" w:hAnsi="Arial"/>
          <w:sz w:val="16"/>
          <w:szCs w:val="16"/>
          <w:color w:val="auto"/>
        </w:rPr>
        <w:t xml:space="preserve">The FDA has defined a gene therapy product as one that mediates its effects by transcription and/or translation of transferred genetic material and/or by integrating into the host genome and which is administered as nucleic acids, viruses, or genetically engineered microorganisms. The products may be used to modify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transferred to cells ex vivo prior to administration to the recipient. Within the FDA, the Center for Biologics Evaluation and Research, or CBER, regulates gene therapy products. Within CBER, the review of gene therapy and related products is consolidated in the OTAT, and the FDA has established the Cellular, Tissue and Gene Therapies Advisory Committee to advise CBER on its reviews. CBER works closely with the Local Biosafety Board, a federal advisory committee, in reviewing proposed and ongoing gene therapy protocols and engaging in a public discussion of scientific, safety, ethical, and societal issues related to those protocols. The NIH and the Recombinant DNA Advisory Committee, or RAC, a federal advisory committee, also advise the FDA on gene therapy issues and other issues related to emerging technologies. The FDA and the NIH have published guidance documents with respect to the development and submission of gene therapy protocols.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9" w:name="page30"/>
    <w:bookmarkEnd w:id="29"/>
    <w:p>
      <w:pPr>
        <w:ind w:right="20" w:firstLine="546"/>
        <w:spacing w:after="0" w:line="288" w:lineRule="auto"/>
        <w:rPr>
          <w:sz w:val="20"/>
          <w:szCs w:val="20"/>
          <w:color w:val="auto"/>
        </w:rPr>
      </w:pPr>
      <w:r>
        <w:rPr>
          <w:rFonts w:ascii="Arial" w:cs="Arial" w:eastAsia="Arial" w:hAnsi="Arial"/>
          <w:sz w:val="16"/>
          <w:szCs w:val="16"/>
          <w:color w:val="auto"/>
        </w:rPr>
        <w:t>The FDA has issued various guidance documents regarding gene therapies, including final guidance documents released in January 2020 relating to chemistry, manufacturing and controls information for gene therapy INDs, gene therapies for rare diseases and gene therapies for retinal disorders, as well as draft guidance in January 2021 for Human Gene Therapy for Neurodegenerative Diseases.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w:t>
      </w:r>
    </w:p>
    <w:p>
      <w:pPr>
        <w:spacing w:after="0" w:line="168" w:lineRule="exact"/>
        <w:rPr>
          <w:sz w:val="20"/>
          <w:szCs w:val="20"/>
          <w:color w:val="auto"/>
        </w:rPr>
      </w:pPr>
    </w:p>
    <w:p>
      <w:pPr>
        <w:ind w:firstLine="551"/>
        <w:spacing w:after="0" w:line="263" w:lineRule="auto"/>
        <w:rPr>
          <w:sz w:val="20"/>
          <w:szCs w:val="20"/>
          <w:color w:val="auto"/>
        </w:rPr>
      </w:pPr>
      <w:r>
        <w:rPr>
          <w:rFonts w:ascii="Arial" w:cs="Arial" w:eastAsia="Arial" w:hAnsi="Arial"/>
          <w:sz w:val="18"/>
          <w:szCs w:val="18"/>
          <w:color w:val="auto"/>
        </w:rPr>
        <w:t>Further, to facilitate adverse event reporting and dissemination of additional information about gene therapy trials, the FDA and the NIH established the Genetic Modification Clinical Research Information System, or GeMCRIS. Investigators and sponsors of human gene transfer trials can utilize this web-based system to report serious adverse events and to provide annual reports.</w:t>
      </w:r>
    </w:p>
    <w:p>
      <w:pPr>
        <w:spacing w:after="0" w:line="184" w:lineRule="exact"/>
        <w:rPr>
          <w:sz w:val="20"/>
          <w:szCs w:val="20"/>
          <w:color w:val="auto"/>
        </w:rPr>
      </w:pPr>
    </w:p>
    <w:p>
      <w:pPr>
        <w:ind w:right="180" w:firstLine="551"/>
        <w:spacing w:after="0" w:line="293" w:lineRule="auto"/>
        <w:rPr>
          <w:sz w:val="20"/>
          <w:szCs w:val="20"/>
          <w:color w:val="auto"/>
        </w:rPr>
      </w:pPr>
      <w:r>
        <w:rPr>
          <w:rFonts w:ascii="Arial" w:cs="Arial" w:eastAsia="Arial" w:hAnsi="Arial"/>
          <w:sz w:val="16"/>
          <w:szCs w:val="16"/>
          <w:color w:val="auto"/>
        </w:rPr>
        <w:t>Finally, for a gene therapy product, the FDA also will not approve the product if the manufacturer is not in compliance with good tissue practices, or GTP. These standards are found in FDA regulations and guidances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w:t>
      </w:r>
    </w:p>
    <w:p>
      <w:pPr>
        <w:spacing w:after="0" w:line="225" w:lineRule="exact"/>
        <w:rPr>
          <w:sz w:val="20"/>
          <w:szCs w:val="20"/>
          <w:color w:val="auto"/>
        </w:rPr>
      </w:pPr>
    </w:p>
    <w:p>
      <w:pPr>
        <w:ind w:right="60" w:firstLine="546"/>
        <w:spacing w:after="0" w:line="293" w:lineRule="auto"/>
        <w:rPr>
          <w:sz w:val="20"/>
          <w:szCs w:val="20"/>
          <w:color w:val="auto"/>
        </w:rPr>
      </w:pPr>
      <w:r>
        <w:rPr>
          <w:rFonts w:ascii="Arial" w:cs="Arial" w:eastAsia="Arial" w:hAnsi="Arial"/>
          <w:sz w:val="16"/>
          <w:szCs w:val="16"/>
          <w:color w:val="auto"/>
        </w:rPr>
        <w:t>Under the Pediatric Research Equity Act of 2003, or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164" w:lineRule="exact"/>
        <w:rPr>
          <w:sz w:val="20"/>
          <w:szCs w:val="20"/>
          <w:color w:val="auto"/>
        </w:rPr>
      </w:pPr>
    </w:p>
    <w:p>
      <w:pPr>
        <w:ind w:right="420" w:firstLine="546"/>
        <w:spacing w:after="0" w:line="279" w:lineRule="auto"/>
        <w:rPr>
          <w:sz w:val="20"/>
          <w:szCs w:val="20"/>
          <w:color w:val="auto"/>
        </w:rPr>
      </w:pPr>
      <w:r>
        <w:rPr>
          <w:rFonts w:ascii="Arial" w:cs="Arial" w:eastAsia="Arial" w:hAnsi="Arial"/>
          <w:sz w:val="17"/>
          <w:szCs w:val="17"/>
          <w:color w:val="auto"/>
        </w:rPr>
        <w:t>For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FDA must meet with sponsors by no later than the end-of-phase 1 meeting for serious or life-threatening diseases and by no later than 90 days after the FDA’s receipt of the study plan.</w:t>
      </w:r>
    </w:p>
    <w:p>
      <w:pPr>
        <w:spacing w:after="0" w:line="279" w:lineRule="exact"/>
        <w:rPr>
          <w:sz w:val="20"/>
          <w:szCs w:val="20"/>
          <w:color w:val="auto"/>
        </w:rPr>
      </w:pPr>
    </w:p>
    <w:p>
      <w:pPr>
        <w:ind w:right="160" w:firstLine="546"/>
        <w:spacing w:after="0" w:line="253" w:lineRule="auto"/>
        <w:rPr>
          <w:sz w:val="20"/>
          <w:szCs w:val="20"/>
          <w:color w:val="auto"/>
        </w:rPr>
      </w:pPr>
      <w:r>
        <w:rPr>
          <w:rFonts w:ascii="Arial" w:cs="Arial" w:eastAsia="Arial" w:hAnsi="Arial"/>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The law now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sponsor’s response. Unless otherwise required by regulation, the pediatric data requirements do not apply to products with orphan designation, although FDA has recently taken steps to limit what it considers abuse of this statutory exemption. Additional requirements and procedures relating to deferral requests and requests for extension of deferrals are contained in the Food and Drug Administration Safety and Innovation Act, or FDASIA. The FDA also maintains a list of diseases that are exempt from the requirements PREA, due to low prevalence of disease in the pediatric population.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Compliance with cGMP requirements</w:t>
      </w:r>
    </w:p>
    <w:p>
      <w:pPr>
        <w:spacing w:after="0" w:line="117"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 requiring withdrawal of the product from the market. The FDA will not approve a BLA unless it determines that the manufacturing processes and facilities are in compliance with cGMP requirements and adequate to assure consistent production of the product within required specification.</w:t>
      </w:r>
    </w:p>
    <w:p>
      <w:pPr>
        <w:spacing w:after="0" w:line="178"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Concurrent with clinical trials, companies usually complete additional preclinical studies and must also develop additional information about the physical characteristics of the biologic product candidate as well as finalize a process for manufacturing the product candidate in commercial quantities in accordance with cGMP requirements. To help reduce the risk of the introduction of adventitious agents or of causing other adverse events with the use of biologic products, the PHS Act emphasizes the importance of manufacturing control for products whose attributes cannot be precisely defined. The manufacturing process must be capable of consistently producing quality batches of the product candidate and, among other requirements, the sponsor must develop methods for testing the identity, strength, quality, potency and purity of the final biologic product. Additionally, appropriate packaging must be selected and tested, and stability studies must be conducted to demonstrate that the biologic product candidate does not undergo unacceptable deterioration over its shelf life.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and filing of a BLA</w:t>
      </w:r>
    </w:p>
    <w:p>
      <w:pPr>
        <w:spacing w:after="0" w:line="117"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After the completion of clinical trials of a biologic product, FDA licensure of a BLA must be obtained before commercial marketing of the biologic product. The BLA must include results of product development, laboratory and animal studies, human studies, information on the manufacture and composition of the product, proposed labeling and other relevant information. In addition, under the Pediatric Research Equity Act, a BLA or supplement to a BLA must contain data to assess the safety and effectiveness of the biologic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92" w:lineRule="exact"/>
        <w:rPr>
          <w:sz w:val="20"/>
          <w:szCs w:val="20"/>
          <w:color w:val="auto"/>
        </w:rPr>
      </w:pPr>
    </w:p>
    <w:p>
      <w:pPr>
        <w:ind w:right="180" w:firstLine="546"/>
        <w:spacing w:after="0" w:line="255" w:lineRule="auto"/>
        <w:rPr>
          <w:sz w:val="20"/>
          <w:szCs w:val="20"/>
          <w:color w:val="auto"/>
        </w:rPr>
      </w:pPr>
      <w:r>
        <w:rPr>
          <w:rFonts w:ascii="Arial" w:cs="Arial" w:eastAsia="Arial" w:hAnsi="Arial"/>
          <w:sz w:val="18"/>
          <w:szCs w:val="18"/>
          <w:color w:val="auto"/>
        </w:rPr>
        <w:t>Under the Prescription Drug User Fee Act, or PDUFA, as amended, each BLA must be accompanied by a significant user fee. Under federal law, the submission of most NDAs is subject to an application user fee, which for federal fiscal year 2022 is approximately $3.1 million for an application requiring clinical data. The sponsor of an approved NDA is also subject to an annual program fee, which for federal fiscal year 2022 is more than $0.3 million.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92"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The FDA reviews a BLA within 60 days of submission to determine if it is substantially complete before the agency accepts it for filing, and it must so notify the sponsor of that determination within the 60 days. The FDA may refuse to file any BLA that it deems incomplete or not properly reviewable at the time of submission and may request additional information. In the event that FDA determines that an application does not satisfy this standard, it will issue a Refuse to File, or RTF, determination to the sponsor. The BLA may be resubmitted with the additional information. The resubmitted application also is subject to review before the FDA accepts it for filing. Once the submission is accepted for filing, the FDA begins an in-depth substantive review of the BLA.</w:t>
      </w:r>
    </w:p>
    <w:p>
      <w:pPr>
        <w:spacing w:after="0" w:line="192" w:lineRule="exact"/>
        <w:rPr>
          <w:sz w:val="20"/>
          <w:szCs w:val="20"/>
          <w:color w:val="auto"/>
        </w:rPr>
      </w:pPr>
    </w:p>
    <w:p>
      <w:pPr>
        <w:ind w:right="100" w:firstLine="546"/>
        <w:spacing w:after="0" w:line="273" w:lineRule="auto"/>
        <w:rPr>
          <w:sz w:val="20"/>
          <w:szCs w:val="20"/>
          <w:color w:val="auto"/>
        </w:rPr>
      </w:pPr>
      <w:r>
        <w:rPr>
          <w:rFonts w:ascii="Arial" w:cs="Arial" w:eastAsia="Arial" w:hAnsi="Arial"/>
          <w:sz w:val="17"/>
          <w:szCs w:val="17"/>
          <w:color w:val="auto"/>
        </w:rPr>
        <w:t>With filing of the application,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78"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During the biologic product approval process, the FDA also will determine whether a REMS, is necessary to assure the safe use of the biologic product.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40"/>
        <w:spacing w:after="0" w:line="259" w:lineRule="auto"/>
        <w:rPr>
          <w:sz w:val="20"/>
          <w:szCs w:val="20"/>
          <w:color w:val="auto"/>
        </w:rPr>
      </w:pPr>
      <w:r>
        <w:rPr>
          <w:rFonts w:ascii="Arial" w:cs="Arial" w:eastAsia="Arial" w:hAnsi="Arial"/>
          <w:sz w:val="18"/>
          <w:szCs w:val="18"/>
          <w:color w:val="auto"/>
        </w:rPr>
        <w:t>treatment, seriousness of known or potential adverse events and whether the product is a new molecular entity. A REMS could include medication guides, physician communication plans and elements to assure safe use, such as restricted distribution methods, patient registries and other risk minimization tools. If the FDA concludes a REMS is needed, the sponsor of the BLA must submit a proposed REMS; the FDA will not approve the BLA without a REMS, if required.</w:t>
      </w:r>
    </w:p>
    <w:p>
      <w:pPr>
        <w:spacing w:after="0" w:line="187" w:lineRule="exact"/>
        <w:rPr>
          <w:sz w:val="20"/>
          <w:szCs w:val="20"/>
          <w:color w:val="auto"/>
        </w:rPr>
      </w:pPr>
    </w:p>
    <w:p>
      <w:pPr>
        <w:ind w:right="40" w:firstLine="551"/>
        <w:spacing w:after="0" w:line="255" w:lineRule="auto"/>
        <w:rPr>
          <w:sz w:val="20"/>
          <w:szCs w:val="20"/>
          <w:color w:val="auto"/>
        </w:rPr>
      </w:pPr>
      <w:r>
        <w:rPr>
          <w:rFonts w:ascii="Arial" w:cs="Arial" w:eastAsia="Arial" w:hAnsi="Arial"/>
          <w:sz w:val="18"/>
          <w:szCs w:val="18"/>
          <w:color w:val="auto"/>
        </w:rPr>
        <w:t>In connection with its review of a BLA, the FDA will inspect the facilities at which the product candidate is manufactured. The FDA will not approve the product candidate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 to ensure the integrity of the clinical data. cGMP, GLP and GCP compliance requires significant expenditure of time, money and effort in the areas of training, recordkeeping, production and quality control.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Decisions on a BLA</w:t>
      </w:r>
    </w:p>
    <w:p>
      <w:pPr>
        <w:spacing w:after="0" w:line="225" w:lineRule="exact"/>
        <w:rPr>
          <w:sz w:val="20"/>
          <w:szCs w:val="20"/>
          <w:color w:val="auto"/>
        </w:rPr>
      </w:pPr>
    </w:p>
    <w:p>
      <w:pPr>
        <w:ind w:right="260" w:firstLine="546"/>
        <w:spacing w:after="0" w:line="259" w:lineRule="auto"/>
        <w:rPr>
          <w:sz w:val="20"/>
          <w:szCs w:val="20"/>
          <w:color w:val="auto"/>
        </w:rPr>
      </w:pPr>
      <w:r>
        <w:rPr>
          <w:rFonts w:ascii="Arial" w:cs="Arial" w:eastAsia="Arial" w:hAnsi="Arial"/>
          <w:sz w:val="18"/>
          <w:szCs w:val="18"/>
          <w:color w:val="auto"/>
        </w:rPr>
        <w:t>After evaluating the application and all related information, including the advisory committee recommendations, if any, and inspection reports of manufacturing facilities and clinical trial sites, the FDA will issue either a Complete Response Letter, or CRL, or an approval letter. To reach this determination, the FDA must determine that the expected benefits of the proposed product outweigh its potential risks to patients. This “benefit-risk” assessment is informed by the extensive body of evidence about the product in the BLA.</w:t>
      </w:r>
    </w:p>
    <w:p>
      <w:pPr>
        <w:spacing w:after="0" w:line="187"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A CRL generally outlines the deficiencies in the submission and may require substantial additional testing or information in order for the FDA to reconsider the application. The deficiencies identified may be minor, for example, requiring labeling changes; or major, for example, requiring additional clinical trials. Additionally, the CRL may include recommended actions that the sponsor might take to place the application in a condition for approval. If a CRL is issued, the sponsor may either resubmit the BLA, addressing all of the deficiencies identified in the letter, or withdraw the application.</w:t>
      </w:r>
    </w:p>
    <w:p>
      <w:pPr>
        <w:spacing w:after="0" w:line="164" w:lineRule="exact"/>
        <w:rPr>
          <w:sz w:val="20"/>
          <w:szCs w:val="20"/>
          <w:color w:val="auto"/>
        </w:rPr>
      </w:pPr>
    </w:p>
    <w:p>
      <w:pPr>
        <w:ind w:right="180" w:firstLine="546"/>
        <w:spacing w:after="0" w:line="273" w:lineRule="auto"/>
        <w:rPr>
          <w:sz w:val="20"/>
          <w:szCs w:val="20"/>
          <w:color w:val="auto"/>
        </w:rPr>
      </w:pPr>
      <w:r>
        <w:rPr>
          <w:rFonts w:ascii="Arial" w:cs="Arial" w:eastAsia="Arial" w:hAnsi="Arial"/>
          <w:sz w:val="17"/>
          <w:szCs w:val="17"/>
          <w:color w:val="auto"/>
        </w:rPr>
        <w:t>If a product receives regulatory approval, the FDA will issue an approval letter.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sometimes referred to as Phase IV clinical trials, designed to further assess a biologic product’s safety and effectiveness, and testing and surveillance programs to monitor the safety of approved products that have been commercialized.</w:t>
      </w:r>
    </w:p>
    <w:p>
      <w:pPr>
        <w:spacing w:after="0" w:line="178"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color w:val="auto"/>
        </w:rPr>
        <w:t>The FDA has agreed to specified performance goals in the review of BLAs under the PDUFA. One such goal is to review standard BLAs in ten months after the FDA accepts the BLA for filing, and priority BLAs in six months,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7" w:lineRule="exact"/>
        <w:rPr>
          <w:sz w:val="20"/>
          <w:szCs w:val="20"/>
          <w:color w:val="auto"/>
        </w:rPr>
      </w:pPr>
    </w:p>
    <w:p>
      <w:pPr>
        <w:jc w:val="both"/>
        <w:ind w:right="40" w:firstLine="546"/>
        <w:spacing w:after="0" w:line="263" w:lineRule="auto"/>
        <w:rPr>
          <w:sz w:val="20"/>
          <w:szCs w:val="20"/>
          <w:color w:val="auto"/>
        </w:rPr>
      </w:pPr>
      <w:r>
        <w:rPr>
          <w:rFonts w:ascii="Arial" w:cs="Arial" w:eastAsia="Arial" w:hAnsi="Arial"/>
          <w:sz w:val="18"/>
          <w:szCs w:val="18"/>
          <w:color w:val="auto"/>
        </w:rPr>
        <w:t>The Patient Protection and Affordable Care Act and the companion Health Care and Education Reconciliation Act, or the Health Care Reform Law, which was signed into law on March 23, 2010, included a subtitle called the Biologics Price Competition and Innovation Act of 2009, or BPCIA. That Act established a regulatory scheme authorizing the FDA to approve biosimilars and interchangeable biosimilars.</w:t>
      </w:r>
    </w:p>
    <w:p>
      <w:pPr>
        <w:spacing w:after="0" w:line="184"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right="20" w:firstLine="546"/>
        <w:spacing w:after="0" w:line="284"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There have been recent government proposals to reduce the 12-year reference product exclusivity period, but none has been enacted to</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date. Since passage of the BPCIA, many states have passed laws or amendments to laws, which address pharmacy practices involving biosimilar products.</w:t>
      </w:r>
    </w:p>
    <w:p>
      <w:pPr>
        <w:spacing w:after="0" w:line="234"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As of December 27, 2020 (enacted as part of the Consolidated Appropriations Act, 2021), the “patent dance” lists became public information as listed in the Purple Book (FDA’s “Database of Licensed Biological Products”). In particular, reference product BLA holders must submit to the FDA within 30 days of exchanging a patent list (patents with expiry dates) with a biosimilar applicant, as well as any supplemental lists. This information was previously maintained a confidential as between the BLA holder and biosimilar applicant. Despite publication of these lists, a BLA holder may assert other patents against future filers, and does not exclude enforcement of newly granted patents.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Additionally, under the Act, the FDA must now publish in the Purple Book the following information about patented biological products:</w:t>
      </w:r>
    </w:p>
    <w:p>
      <w:pPr>
        <w:spacing w:after="0" w:line="117" w:lineRule="exact"/>
        <w:rPr>
          <w:sz w:val="20"/>
          <w:szCs w:val="20"/>
          <w:color w:val="auto"/>
        </w:rPr>
      </w:pPr>
    </w:p>
    <w:p>
      <w:pPr>
        <w:ind w:left="960" w:hanging="41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list of each biological product, by nonproprietary name, for which a biologics license is in effect;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of licensure and the application number;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licensure status and, as available, the marketing status;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exclusivity periods.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FDA must publish in the Purple Book all of the above information in the first instance within 180 days of enactment and update every 30 days.</w:t>
      </w:r>
    </w:p>
    <w:p>
      <w:pPr>
        <w:spacing w:after="0" w:line="248" w:lineRule="exact"/>
        <w:rPr>
          <w:sz w:val="20"/>
          <w:szCs w:val="20"/>
          <w:color w:val="auto"/>
        </w:rPr>
      </w:pPr>
    </w:p>
    <w:p>
      <w:pPr>
        <w:ind w:right="120" w:firstLine="546"/>
        <w:spacing w:after="0" w:line="279" w:lineRule="auto"/>
        <w:rPr>
          <w:sz w:val="20"/>
          <w:szCs w:val="20"/>
          <w:color w:val="auto"/>
        </w:rPr>
      </w:pPr>
      <w:r>
        <w:rPr>
          <w:rFonts w:ascii="Arial" w:cs="Arial" w:eastAsia="Arial" w:hAnsi="Arial"/>
          <w:sz w:val="17"/>
          <w:szCs w:val="17"/>
          <w:color w:val="auto"/>
        </w:rPr>
        <w:t>The FDA has approved a number of biosimilars and the first interchangeable biosimilar product was approved on July 30, 2021 and a second product previously approved as a biosimilar was designated as interchangeable in October 2021. The FDA has also issued numerous guidance documents outlining its approach to reviewing and licensing biosimilars and interchangeable biosimilars under the PHSA, including a draft guidance issued in November 2020 that seeks to provide additional clarity to manufacturers of interchangeable biosimilars.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117"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Pediatric exclusivity is another type of non-patent exclusivity in the United States and, if granted, provides for the attachment of an additional six months of regulatory exclusivity to the term of any existing regulatory exclusivity, including reference product and orphan exclusivity. This six-month exclusivity may be granted if an application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cover the product are extended by six months. Thus, pediatric exclusivity adds six months to existing exclusivity periods applicable to biological products under the BPCIA—namely, the four-year period during which the FDA will not consider an application for a biosimilar product, and the 12-year period during which the FDA will not approve a biosimilar application.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17"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Under the Orphan Drug Act, the FDA may designate a biologic product as an “orphan drug” if it is intended to treat a rare disease or condition (generally meaning that it affects fewer than 200,000 individuals in the United States, or more in cases in which there is no reasonable expectation that the cost of developing and making a biologic product available in the United States for treatment of the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3" w:name="page34"/>
    <w:bookmarkEnd w:id="33"/>
    <w:p>
      <w:pPr>
        <w:ind w:firstLine="546"/>
        <w:spacing w:after="0" w:line="271"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the product is entitled to orphan product exclusivity, meaning that the FDA may not approve any other applications to market the same drug or biologic product for the same indication for seven years, except in limited circumstances, such as if the party holding the exclusivity fails to assure the availability of sufficient quantities of the drug to meet the needs of patients with the disease or condition for which the drug was designated. In addition, the FDA may not approve other applications to market the same drug or biologic product for the same indication for seven years unless the sponsor of the other product demonstrates that its product is clinically superior to the product with orphan drug exclusivity. Under Omnibus legislation enacted in December 2020, this clinical superiority requirement applies to drugs and biologics that received orphan drug designation before enactment of the FDA Reauthorization Act in 2017, but have not yet been approved or licensed by FDA.</w:t>
      </w:r>
    </w:p>
    <w:p>
      <w:pPr>
        <w:spacing w:after="0" w:line="178" w:lineRule="exact"/>
        <w:rPr>
          <w:sz w:val="20"/>
          <w:szCs w:val="20"/>
          <w:color w:val="auto"/>
        </w:rPr>
      </w:pPr>
    </w:p>
    <w:p>
      <w:pPr>
        <w:ind w:firstLine="802"/>
        <w:spacing w:after="0" w:line="273" w:lineRule="auto"/>
        <w:rPr>
          <w:sz w:val="20"/>
          <w:szCs w:val="20"/>
          <w:color w:val="auto"/>
        </w:rPr>
      </w:pPr>
      <w:r>
        <w:rPr>
          <w:rFonts w:ascii="Arial" w:cs="Arial" w:eastAsia="Arial" w:hAnsi="Arial"/>
          <w:sz w:val="17"/>
          <w:szCs w:val="17"/>
          <w:color w:val="auto"/>
        </w:rPr>
        <w:t>Orphan exclusivity does not block the approval of a different product for the same rare disease or condition, nor does it block the approval of the same product for different indications. In particular, the concept of what constitutes the "same drug" for purposes of orphan drug exclusivity remains in flux in the context of gene therapies, and the FDA issued final guidance in September 2021 suggesting that it would not consider two gene therapy products to be different drugs solely based on minor differences in the transgenes or vectors. If a product designated as an orphan drug ultimately receives marketing approval for an indication broader than what was designated in its orphan drug application, it may not be entitled to exclusivity. Orphan medicinal product status in the European Union has similar, but not identical, benefits.</w:t>
      </w:r>
    </w:p>
    <w:p>
      <w:pPr>
        <w:spacing w:after="0" w:line="178"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In September 2021, the Court of Appeals for the 11th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It is unclear how this court decision will be implemented by the FDA.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The FDA is authorized to expedite the review of BLAs in several ways. Under the Fast Track program, the sponsor of a biologic product candidate may request the FDA to designate the product for a specific indication as a Fast Track product concurrent with or after the filing of the IND. Biologic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BLA before the application is complete, a process known as rolling review.</w:t>
      </w:r>
    </w:p>
    <w:p>
      <w:pPr>
        <w:spacing w:after="0" w:line="178" w:lineRule="exact"/>
        <w:rPr>
          <w:sz w:val="20"/>
          <w:szCs w:val="20"/>
          <w:color w:val="auto"/>
        </w:rPr>
      </w:pPr>
    </w:p>
    <w:p>
      <w:pPr>
        <w:ind w:right="60" w:firstLine="546"/>
        <w:spacing w:after="0" w:line="308"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38" w:lineRule="exact"/>
        <w:rPr>
          <w:sz w:val="20"/>
          <w:szCs w:val="20"/>
          <w:color w:val="auto"/>
        </w:rPr>
      </w:pPr>
    </w:p>
    <w:p>
      <w:pPr>
        <w:ind w:left="960" w:right="60" w:hanging="412"/>
        <w:spacing w:after="0" w:line="296"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Breakthrough therapy designation. </w:t>
      </w:r>
      <w:r>
        <w:rPr>
          <w:rFonts w:ascii="Arial" w:cs="Arial" w:eastAsia="Arial" w:hAnsi="Arial"/>
          <w:sz w:val="16"/>
          <w:szCs w:val="16"/>
          <w:color w:val="auto"/>
        </w:rPr>
        <w:t>To qualify for the breakthrough therapy program, product candidates must be intended to treat a serious or</w:t>
      </w:r>
      <w:r>
        <w:rPr>
          <w:rFonts w:ascii="Arial" w:cs="Arial" w:eastAsia="Arial" w:hAnsi="Arial"/>
          <w:sz w:val="16"/>
          <w:szCs w:val="16"/>
          <w:i w:val="1"/>
          <w:iCs w:val="1"/>
          <w:color w:val="auto"/>
        </w:rPr>
        <w:t xml:space="preserve"> </w:t>
      </w:r>
      <w:r>
        <w:rPr>
          <w:rFonts w:ascii="Arial" w:cs="Arial" w:eastAsia="Arial" w:hAnsi="Arial"/>
          <w:sz w:val="16"/>
          <w:szCs w:val="16"/>
          <w:color w:val="auto"/>
        </w:rPr>
        <w:t>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53" w:lineRule="exact"/>
        <w:rPr>
          <w:rFonts w:ascii="Arial" w:cs="Arial" w:eastAsia="Arial" w:hAnsi="Arial"/>
          <w:sz w:val="16"/>
          <w:szCs w:val="16"/>
          <w:color w:val="auto"/>
        </w:rPr>
      </w:pPr>
    </w:p>
    <w:p>
      <w:pPr>
        <w:ind w:left="960" w:hanging="412"/>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Priority review. </w:t>
      </w:r>
      <w:r>
        <w:rPr>
          <w:rFonts w:ascii="Arial" w:cs="Arial" w:eastAsia="Arial" w:hAnsi="Arial"/>
          <w:sz w:val="18"/>
          <w:szCs w:val="18"/>
          <w:color w:val="auto"/>
        </w:rPr>
        <w:t>A product candidate is eligible for priority review if it treats a serious condition and, if approved, it would be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in the safety or effectiveness of the treatment, diagnosis or prevention compared to marketed products. FDA aims to complete its review of priority review applications within six months as opposed to 10 months for standard review.</w:t>
      </w:r>
    </w:p>
    <w:p>
      <w:pPr>
        <w:spacing w:after="0" w:line="75" w:lineRule="exact"/>
        <w:rPr>
          <w:rFonts w:ascii="Arial" w:cs="Arial" w:eastAsia="Arial" w:hAnsi="Arial"/>
          <w:sz w:val="18"/>
          <w:szCs w:val="18"/>
          <w:color w:val="auto"/>
        </w:rPr>
      </w:pPr>
    </w:p>
    <w:p>
      <w:pPr>
        <w:ind w:left="960" w:right="40" w:hanging="412"/>
        <w:spacing w:after="0" w:line="272"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Accelerated approval. </w:t>
      </w:r>
      <w:r>
        <w:rPr>
          <w:rFonts w:ascii="Arial" w:cs="Arial" w:eastAsia="Arial" w:hAnsi="Arial"/>
          <w:sz w:val="17"/>
          <w:szCs w:val="17"/>
          <w:color w:val="auto"/>
        </w:rPr>
        <w:t>Drug or biologic products studied for their safety and effectiveness in treating serious or life-threatening illnesses and</w:t>
      </w:r>
      <w:r>
        <w:rPr>
          <w:rFonts w:ascii="Arial" w:cs="Arial" w:eastAsia="Arial" w:hAnsi="Arial"/>
          <w:sz w:val="17"/>
          <w:szCs w:val="17"/>
          <w:i w:val="1"/>
          <w:iCs w:val="1"/>
          <w:color w:val="auto"/>
        </w:rPr>
        <w:t xml:space="preserve"> </w:t>
      </w:r>
      <w:r>
        <w:rPr>
          <w:rFonts w:ascii="Arial" w:cs="Arial" w:eastAsia="Arial" w:hAnsi="Arial"/>
          <w:sz w:val="17"/>
          <w:szCs w:val="17"/>
          <w:color w:val="auto"/>
        </w:rPr>
        <w:t>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left="960" w:right="600"/>
        <w:spacing w:after="0" w:line="277" w:lineRule="auto"/>
        <w:rPr>
          <w:sz w:val="20"/>
          <w:szCs w:val="20"/>
          <w:color w:val="auto"/>
        </w:rPr>
      </w:pPr>
      <w:r>
        <w:rPr>
          <w:rFonts w:ascii="Arial" w:cs="Arial" w:eastAsia="Arial" w:hAnsi="Arial"/>
          <w:sz w:val="18"/>
          <w:szCs w:val="18"/>
          <w:color w:val="auto"/>
        </w:rPr>
        <w:t>approval perform adequate and well controlled post-marketing clinical trials. In addition, the FDA currently requires as a condition for accelerated approval pre-approval of promotional materials.</w:t>
      </w:r>
    </w:p>
    <w:p>
      <w:pPr>
        <w:spacing w:after="0" w:line="62" w:lineRule="exact"/>
        <w:rPr>
          <w:sz w:val="20"/>
          <w:szCs w:val="20"/>
          <w:color w:val="auto"/>
        </w:rPr>
      </w:pPr>
    </w:p>
    <w:p>
      <w:pPr>
        <w:ind w:left="960" w:right="140" w:hanging="412"/>
        <w:spacing w:after="0" w:line="293"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Regenerative advanced therapy. </w:t>
      </w:r>
      <w:r>
        <w:rPr>
          <w:rFonts w:ascii="Arial" w:cs="Arial" w:eastAsia="Arial" w:hAnsi="Arial"/>
          <w:sz w:val="16"/>
          <w:szCs w:val="16"/>
          <w:color w:val="auto"/>
        </w:rPr>
        <w:t>With passage of the Cures Act in December 2016, Congress authorized the FDA to accelerate review and</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64"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None of these expedited programs change the standards for approval but they may help expedite the development or approval process of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Rare Pediatric Disease Designation and Priority Review Vouchers</w:t>
      </w:r>
    </w:p>
    <w:p>
      <w:pPr>
        <w:spacing w:after="0" w:line="23"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In 2012, Congress enacted the FDASIA, requiring the FDA to award priority review vouchers, or PRVs, to sponsors of certain rare pediatric disease product applications. This program is designed to encourage development of new drug and biological products for prevention and treatment of “rare pediatric diseases” by, upon initial approval of an application meeting certain specified criteria, providing companies with a voucher that can be redeemed to receive a priority review of a subsequent marketing application for a different product. The sponsor of a rare pediatric disease product receiving a PRV may sell or otherwise transfer the voucher to another company. The voucher may be further transferred any number of times before the voucher is used, as long as the sponsor making the transfer has not yet submitted an application relying on the priority review voucher. The FDA may also revoke any PRV if the rare pediatric disease product for which the voucher was awarded is not marketed in the United States within one year following the date of approval.</w:t>
      </w:r>
    </w:p>
    <w:p>
      <w:pPr>
        <w:spacing w:after="0" w:line="168"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In order to receive a PRV upon BLA or NDA approval, the product must receive designation from the FDA as a product for a rare pediatric disease prior to submission of the marketing application. A “rare pediatric disease” is a disease that is serious or life-threatening, in which the serious or life-threatening manifestations primarily affect individuals aged from birth to 18 years and affects fewer than 200,000 people in the United States, or affects more than 200,000 people in the United States but there is no reasonable expectation that the cost of developing and making available in the United States a product for such disease or condition will be recovered from sales in the United States of such product. In addition to receiving rare pediatric disease designation, in order to receive a PRV, the NDA or BLA must be given priority review, rely on clinical data derived from studies examining a pediatric population and dosages of the product intended for that population, not seek approval for a different adult indication in the original rare pediatric disease product application and be for a product that does not include a previously approved active ingredient.</w:t>
      </w:r>
    </w:p>
    <w:p>
      <w:pPr>
        <w:spacing w:after="0" w:line="178" w:lineRule="exact"/>
        <w:rPr>
          <w:sz w:val="20"/>
          <w:szCs w:val="20"/>
          <w:color w:val="auto"/>
        </w:rPr>
      </w:pPr>
    </w:p>
    <w:p>
      <w:pPr>
        <w:ind w:right="120" w:firstLine="546"/>
        <w:spacing w:after="0" w:line="296" w:lineRule="auto"/>
        <w:rPr>
          <w:sz w:val="20"/>
          <w:szCs w:val="20"/>
          <w:color w:val="auto"/>
        </w:rPr>
      </w:pPr>
      <w:r>
        <w:rPr>
          <w:rFonts w:ascii="Arial" w:cs="Arial" w:eastAsia="Arial" w:hAnsi="Arial"/>
          <w:sz w:val="16"/>
          <w:szCs w:val="16"/>
          <w:color w:val="auto"/>
        </w:rPr>
        <w:t>The Rare Pediatric Disease PRV program was scheduled to expire after September 30, 2020. After that, only drugs designated as rare pediatric treatments and approved by the FDA by October 1, 2022, could receive a voucher. In December 2020, however, Congress renewed the program as part of the 2021 Coronavirus Response and Relief Supplemental Consolidated Appropriations Act through the federal fiscal year 2024. Thus, under the current statutory sunset provisions, FDA may only award PRVs for approved rare pediatric disease product applications if sponsors have rare pediatric disease designation for the drug granted by September 30, 2024. The FDA may not award any rare pediatric disease PRVs after September 30, 2026.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After regulatory approval of a product is obtained, there may be a number of post-approval requirements. For example, as a condition of approval of a BLA, the FDA may require post-marketing testing and surveillance to monitor the product’s safety or efficacy. In addition, holders of an approved BLA are required to keep extensive records, to report certain adverse reactions and production problems to the FDA, to provide updated safety and efficacy information and to comply with requirements concerning advertising and promotional labeling for their products. Also, quality control and manufacturing procedures must continue to conform to cGMP regulations and practices, as well as the manufacturing conditions of approval set forth in the BLA. The FDA periodically inspects manufacturing facilities to assess compliance with cGMP requirements, which impose certain procedural, substantive and recordkeeping requirements. Accordingly, manufacturers must continue to expend time, money and effort in the area of production and quality control to maintain compliance with cGMP and other aspects of regulatory compliance.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right="40" w:firstLine="546"/>
        <w:spacing w:after="0" w:line="290"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In September 2021, the FDA published final regulations which describe the types of evidence that the agency will consider in determining the intended use of a biologic product.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Depending upon the timing, duration and specifics of FDA approval of product candidates, some of a sponsor’s U.S. patents may be eligible for limited patent term extension under the Drug Price Competition and Patent Term Restoration Act of 1984, or the Hatch-Waxman Amendments. The Hatch-Waxman Amendments permit a patent restoration term of up to five years as compensation for patent terms lost during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plus the time between the submission date of a BLA and the approval of that application. Only one patent applicable to an approved biologic product is eligible for the extension, the application for the extension must be submitted prior to the expiration of the patent, and only those claims covering the approved drug, a method for using it or a method for manufacturing it may be extended. Moreover, a given patent may only be extended once based on a single product. The USPTO in consultation with the FDA, reviews and approves the application for any patent term extension or restoration.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U.S.</w:t>
      </w:r>
    </w:p>
    <w:p>
      <w:pPr>
        <w:spacing w:after="0" w:line="117"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In addition to regulations in the United States, a manufacturer is subject to a variety of regulations in foreign jurisdictions to the extent it chooses to sell any products in those foreign countries. Even if a manufacturer obtains FDA approval of a product, it must still obtain the requisite approvals from regulatory authorities in foreign countries prior to the commencement of clinical trials or marketing of the product in those countries. Because biologically sourced materials are subject to unique contamination risks, their use may also be restricted in some countries.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approval in the European Union</w:t>
      </w:r>
    </w:p>
    <w:p>
      <w:pPr>
        <w:spacing w:after="0" w:line="225"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On January 31, 2022, the new Clinical Trials Regulation (EU) No 536/2014 became effective in the European Union and replaced the prior Clinical Trials Directive 2001/20/EC. The new regulation aims at simplifying and streamlining the authorization, conduct and transparency of clinical trials in the European Union. Under the new coordinated procedure for the approval of clinical trials, the sponsor of a clinical trial to be conducted in more than one Member State of the European Union,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192" w:lineRule="exact"/>
        <w:rPr>
          <w:sz w:val="20"/>
          <w:szCs w:val="20"/>
          <w:color w:val="auto"/>
        </w:rPr>
      </w:pPr>
    </w:p>
    <w:p>
      <w:pPr>
        <w:ind w:right="160" w:firstLine="546"/>
        <w:spacing w:after="0" w:line="279" w:lineRule="auto"/>
        <w:rPr>
          <w:sz w:val="20"/>
          <w:szCs w:val="20"/>
          <w:color w:val="auto"/>
        </w:rPr>
      </w:pPr>
      <w:r>
        <w:rPr>
          <w:rFonts w:ascii="Arial" w:cs="Arial" w:eastAsia="Arial" w:hAnsi="Arial"/>
          <w:sz w:val="17"/>
          <w:szCs w:val="17"/>
          <w:color w:val="auto"/>
        </w:rPr>
        <w:t>The new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Parties conducting certain clinical studies must, as in the U.S., post clinical trial information in the European Union at the EudraCT website: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https://eudract.ema.europa.eu.</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designation</w:t>
      </w:r>
    </w:p>
    <w:p>
      <w:pPr>
        <w:spacing w:after="0" w:line="117"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In March 2016, the EMA, launched the PRIority MEdicines, or PRIME, initiative to foster research and development of medicines that may offer a major therapeutic advantage over existing treatments, or benefit patients without treatment options. PRIME aims to strengthen clinical trial designs to facilitate the generation of high-quality data for the evaluation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ind w:right="240"/>
        <w:spacing w:after="0" w:line="308" w:lineRule="auto"/>
        <w:rPr>
          <w:sz w:val="20"/>
          <w:szCs w:val="20"/>
          <w:color w:val="auto"/>
        </w:rPr>
      </w:pPr>
      <w:r>
        <w:rPr>
          <w:rFonts w:ascii="Arial" w:cs="Arial" w:eastAsia="Arial" w:hAnsi="Arial"/>
          <w:sz w:val="17"/>
          <w:szCs w:val="17"/>
          <w:color w:val="auto"/>
        </w:rPr>
        <w:t>an application for marketing authorization. To be accepted for PRIME, a medicine has to show its potential to benefit patients with unmet medical needs based on preclinical and/or early clinical data. These medicines are considered priority medicines within the European Union.</w:t>
      </w:r>
    </w:p>
    <w:p>
      <w:pPr>
        <w:spacing w:after="0" w:line="146" w:lineRule="exact"/>
        <w:rPr>
          <w:sz w:val="20"/>
          <w:szCs w:val="20"/>
          <w:color w:val="auto"/>
        </w:rPr>
      </w:pPr>
    </w:p>
    <w:p>
      <w:pPr>
        <w:ind w:right="260" w:firstLine="546"/>
        <w:spacing w:after="0" w:line="259" w:lineRule="auto"/>
        <w:rPr>
          <w:sz w:val="20"/>
          <w:szCs w:val="20"/>
          <w:color w:val="auto"/>
        </w:rPr>
      </w:pPr>
      <w:r>
        <w:rPr>
          <w:rFonts w:ascii="Arial" w:cs="Arial" w:eastAsia="Arial" w:hAnsi="Arial"/>
          <w:sz w:val="18"/>
          <w:szCs w:val="18"/>
          <w:color w:val="auto"/>
        </w:rPr>
        <w:t>After an investigational candidate has been selected for PRIME, developers are assigned a rapporteur from the Committee for Human Medicinal Products, or CHMP, to provide continuous support and help to build knowledge ahead of a marketing authorization application, or MAA. A multidisciplinary group of experts will provide broader guidance on the overall development plan and regulatory strategy of the product. Companies are also eligible for accelerated assessment at the time of their regulatory application.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w:t>
      </w:r>
    </w:p>
    <w:p>
      <w:pPr>
        <w:spacing w:after="0" w:line="225"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Sponsors developing a new medicinal product must agree upon a Pediatric Investigation Plan, or PIP, with the EMA’s pediatric committee, or PDCO, and must conduct pediatric clinical trials in accordance with that PIP, unless a waiver applies (e.g., because the relevant disease or condition occurs only in adults). The PIP sets out the timing and measures proposed to generate data to support a pediatric indication of the drug for which marketing authorization is being sought. The marketing authorization application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117"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In the European Union, marketing authorizations for medicinal products may be obtained through several different procedures founded on the same basic regulatory process.</w:t>
      </w:r>
    </w:p>
    <w:p>
      <w:pPr>
        <w:spacing w:after="0" w:line="170"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across the European Economic Area (i.e. the EU as well as Iceland, Liechtenstein and Norway).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in the interest of patients. Under the centralized procedure in the European Union, the maximum timeframe for the evaluation of an MAA is 210 days, excluding clock stops, when additional written or oral information is to be provided by the sponsor in response to questions asked by the CHMP. Accelerated evaluation may be granted by the CHMP in exceptional cases. These are defined as circumstances in which a medicinal product is expected to be of a “major public health interest.” Three cumulative criteria must be fulfilled in such circumstances: the seriousness of the disease, such as severely disabling or life-threatening diseases, to be treated; the absence or insufficiency of an appropriate alternative therapeutic approach; and anticipation of high therapeutic benefit. In these circumstances, the EMA ensures that the opinion of the CHMP is given within 150 days.</w:t>
      </w:r>
    </w:p>
    <w:p>
      <w:pPr>
        <w:spacing w:after="0" w:line="185"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The EMA’s Committee for Advanced Therapies, or CAT, is responsible for assessing the quality, safety and efficacy of advanced-therapy medicinal products. Advanced-therapy medical products include gene therapy medicine, somatic cell therapy medicines and tissue-engineered medicines. The role of the CAT is to prepare a draft opinion on an application for marketing authorization for a gene therapy medicinal candidate that is submitted to the EMA. In the EU, the development and evaluation of a gene therapy medicinal product must be considered in the context of the relevant EU guidelines. The EMA may issue new guidelines concerning the development and marketing authorization for somatic cell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165"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Specifically,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includes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 MAA. The European Commission grants or refuses marketing authorization in light of the opinion delivered by EMA.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ind w:right="40" w:firstLine="546"/>
        <w:spacing w:after="0" w:line="293" w:lineRule="auto"/>
        <w:rPr>
          <w:sz w:val="20"/>
          <w:szCs w:val="20"/>
          <w:color w:val="auto"/>
        </w:rPr>
      </w:pPr>
      <w:r>
        <w:rPr>
          <w:rFonts w:ascii="Arial" w:cs="Arial" w:eastAsia="Arial" w:hAnsi="Arial"/>
          <w:sz w:val="16"/>
          <w:szCs w:val="16"/>
          <w:color w:val="auto"/>
        </w:rPr>
        <w:t>The decentralized procedure provides for approval by one or more other concerned EU Member States of an assessment of an application for marketing authorization conducted by one EU Member State, known as the reference EU Member State. In accordance with this procedure, a sponsor submits an application for marketing authorization to the reference EU Member State and the concerned EU Member States.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which, within 90 days of receipt, must decide whether to approve the assessment report and related materials.</w:t>
      </w:r>
    </w:p>
    <w:p>
      <w:pPr>
        <w:spacing w:after="0" w:line="164" w:lineRule="exact"/>
        <w:rPr>
          <w:sz w:val="20"/>
          <w:szCs w:val="20"/>
          <w:color w:val="auto"/>
        </w:rPr>
      </w:pPr>
    </w:p>
    <w:p>
      <w:pPr>
        <w:ind w:right="40" w:firstLine="546"/>
        <w:spacing w:after="0" w:line="296" w:lineRule="auto"/>
        <w:rPr>
          <w:sz w:val="20"/>
          <w:szCs w:val="20"/>
          <w:color w:val="auto"/>
        </w:rPr>
      </w:pPr>
      <w:r>
        <w:rPr>
          <w:rFonts w:ascii="Arial" w:cs="Arial" w:eastAsia="Arial" w:hAnsi="Arial"/>
          <w:sz w:val="16"/>
          <w:szCs w:val="16"/>
          <w:color w:val="auto"/>
        </w:rPr>
        <w:t>If a concerned EU Member State cannot approve the assessment report and related materials due to concerns relating to a potential serious risk to public health, disputed elements may be referred to the European Commission, whose decision is binding on all EU Member States. In accordance with the mutual recognition procedure, the sponsor applies for national marketing authorization in one EU Member State. Upon receipt of this authorization the sponsor can then seek the recognition of this authorization by other EU Member States. Authorization in accordance with either of these procedures will result in authorization of the medicinal product only in the reference EU Member State and in the other concerned EU Member States.</w:t>
      </w:r>
    </w:p>
    <w:p>
      <w:pPr>
        <w:spacing w:after="0" w:line="161"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A marketing authorization may be granted only to a sponsor established in the European Union. Regulation No. 1901/2006 provides that, prior to obtaining a marketing authorization in the European Union, a sponsor must demonstrate compliance with all measures included in a Pediatric Investigation Plan, or PIP, approved by the Pediatric Committee of the EMA, covering all subsets of the pediatric population, unless the EMA has granted a product-specific waiver, class waiver, or a deferral for one or more of the measures included in the PIP.</w:t>
      </w:r>
    </w:p>
    <w:p>
      <w:pPr>
        <w:spacing w:after="0" w:line="187"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In specific circumstances, E.U. legislation on Conditional Marketing Authorizations for Medicinal Products for Human Use, or conditional marketing authorization, enables sponsors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the risk-benefit balance of the product candidate is positive, it is likely that the sponsor will be in a position to provide the required comprehensive clinical trial data, the product fulfills unmet medical needs and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Conditional marketing authorization</w:t>
      </w:r>
    </w:p>
    <w:p>
      <w:pPr>
        <w:spacing w:after="0" w:line="117" w:lineRule="exact"/>
        <w:rPr>
          <w:sz w:val="20"/>
          <w:szCs w:val="20"/>
          <w:color w:val="auto"/>
        </w:rPr>
      </w:pPr>
    </w:p>
    <w:p>
      <w:pPr>
        <w:ind w:right="100" w:firstLine="546"/>
        <w:spacing w:after="0" w:line="286" w:lineRule="auto"/>
        <w:rPr>
          <w:sz w:val="20"/>
          <w:szCs w:val="20"/>
          <w:color w:val="auto"/>
        </w:rPr>
      </w:pPr>
      <w:r>
        <w:rPr>
          <w:rFonts w:ascii="Arial" w:cs="Arial" w:eastAsia="Arial" w:hAnsi="Arial"/>
          <w:sz w:val="17"/>
          <w:szCs w:val="17"/>
          <w:color w:val="auto"/>
        </w:rPr>
        <w:t>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65"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The requirements and processes governing the conduct of clinical trials, product licensing, pricing and reimbursement vary from country to country. In all cases, the clinical trials are conducted in accordance with GCPs and the applicable regulatory requirements of the country or countries in which the clinical trial is performed, as well as the ethical principles that have their origin in the Declaration of Helsinki (whichever provides the greater protection to the clinical trial participants).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Data Protection Regulation</w:t>
      </w:r>
    </w:p>
    <w:p>
      <w:pPr>
        <w:spacing w:after="0" w:line="117"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The collection, use, disclosure, transfer, or other processing of personal data regarding individuals in the EU, including personal health data, is subject to the EU General Data Protection Regulation, or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5"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The criteria for designating an orphan medicinal product in the EU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term “significant benefit” is defined in Regulation (EC) 847/2000 to mean a clinically relevant advantage or a major contribution to patient care.</w:t>
      </w:r>
    </w:p>
    <w:p>
      <w:pPr>
        <w:spacing w:after="0" w:line="195"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Orphan medicinal products are eligible for financial incentives such as reduction of fees or fee waivers and are, upon grant of a marketing authorization, entitled to ten years of market exclusivity for the approved therapeutic indication. During this ten year market exclusivity period, the EMA or the competent authorities of the Member States of the European Economic Area, or EEA, cannot accept an application for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The application for orphan designation must be submitted before the application for marketing authorization. The sponsor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165"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The ten-year market exclusivity in the EU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(1) the second sponsor can establish that its product, although similar, is safer, more effective or otherwise clinically superior; (2) the sponsor consents to a second orphan medicinal product application; or (3) the sponsor cannot supply enough orphan medicinal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117" w:lineRule="exact"/>
        <w:rPr>
          <w:sz w:val="20"/>
          <w:szCs w:val="20"/>
          <w:color w:val="auto"/>
        </w:rPr>
      </w:pPr>
    </w:p>
    <w:p>
      <w:pPr>
        <w:ind w:right="140" w:firstLine="546"/>
        <w:spacing w:after="0" w:line="301" w:lineRule="auto"/>
        <w:rPr>
          <w:sz w:val="20"/>
          <w:szCs w:val="20"/>
          <w:color w:val="auto"/>
        </w:rPr>
      </w:pPr>
      <w:r>
        <w:rPr>
          <w:rFonts w:ascii="Arial" w:cs="Arial" w:eastAsia="Arial" w:hAnsi="Arial"/>
          <w:sz w:val="16"/>
          <w:szCs w:val="16"/>
          <w:color w:val="auto"/>
        </w:rPr>
        <w:t>Products that are granted a marketing authorization with the results of the pediatric clinical trials conducted in accordance with the PIP are eligible for a six month extension of the protection under a supplementary protection certificate (if any is in effect at the time of approval)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Brexit and the Regulatory Framework in the United Kingdom</w:t>
      </w:r>
    </w:p>
    <w:p>
      <w:pPr>
        <w:spacing w:after="0" w:line="117"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The United Kingdom’s withdrawal from the EU took place on January 31, 2020. The EU and the United Kingdom reached an agreement on their new partnership in the Trade and Cooperation Agreement, or the Agreement, which was applied provisionally beginning on January 1, 2021 and which entered into force on May 1, 2021. The Agreement focuses primarily on free trade by ensuring no tariffs or quotas on trade in goods, including healthcare products such as medicinal products. Thereafter, the EU and the United Kingdom will form two separate markets governed by two distinct regulatory and legal regimes. As such, the Agreement seeks to minimize barriers to trade in goods while accepting that border checks will become inevitable as a consequence that the United Kingdom is no longer part of the single market. As of January 1, 2021, the Medicines and Healthcare products Regulatory Agency, or the MHRA, became responsible for supervising medicines and medical devices in Great Britain, comprising England, Scotland and Wales under domestic law whereas Northern Ireland continues to be subject to EU rules under the Northern Ireland Protocol. The MHRA will rely on the Human Medicines Regulations 2012 (SI 2012/1916) (as amended), or the HMR, as the basis for regulating medicines. The HMR has incorporated into the domestic law the body of EU law instruments governing medicinal products that pre-existed prior to the United Kingdom’s withdrawal from the EU.</w:t>
      </w:r>
    </w:p>
    <w:p>
      <w:pPr>
        <w:spacing w:after="0" w:line="168" w:lineRule="exact"/>
        <w:rPr>
          <w:sz w:val="20"/>
          <w:szCs w:val="20"/>
          <w:color w:val="auto"/>
        </w:rPr>
      </w:pPr>
    </w:p>
    <w:p>
      <w:pPr>
        <w:ind w:right="60" w:firstLine="546"/>
        <w:spacing w:after="0" w:line="254" w:lineRule="auto"/>
        <w:rPr>
          <w:sz w:val="20"/>
          <w:szCs w:val="20"/>
          <w:color w:val="auto"/>
        </w:rPr>
      </w:pPr>
      <w:r>
        <w:rPr>
          <w:rFonts w:ascii="Arial" w:cs="Arial" w:eastAsia="Arial" w:hAnsi="Arial"/>
          <w:sz w:val="18"/>
          <w:szCs w:val="18"/>
          <w:color w:val="auto"/>
        </w:rPr>
        <w:t>Furthermore, while the Data Protection Act of 2018 in the United Kingdom that “implements” and complements the GDPR, achieved Royal Assent on May 23, 2018 and is now effective in the United Kingdom, it is still unclear whether transfer of data from the EEA to the United Kingdom will remain lawful under the GDPR. The Trade and Cooperation Agreement provides for a transitional period during which the United Kingdom will be treated like a European Union member state in relation to processing and transfers of personal data for four months from January 1, 2021. This may be extended by two further months. After such period, the United Kingdom will be a “third country” under the GDPR unless the European Commission adopts an adequacy decision in respect of transfers of personal data to the United Kingdom. The United Kingdom has already determined that it considers all of the 27 EU member states and EEA member states to be adequate for the purposes of data protection, ensuring that data flows from the United Kingdom to the EU/EEA remain unaffected.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17" w:lineRule="exact"/>
        <w:rPr>
          <w:sz w:val="20"/>
          <w:szCs w:val="20"/>
          <w:color w:val="auto"/>
        </w:rPr>
      </w:pPr>
    </w:p>
    <w:p>
      <w:pPr>
        <w:jc w:val="both"/>
        <w:ind w:right="360" w:firstLine="546"/>
        <w:spacing w:after="0" w:line="25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80" w:lineRule="exact"/>
        <w:rPr>
          <w:sz w:val="20"/>
          <w:szCs w:val="20"/>
          <w:color w:val="auto"/>
        </w:rPr>
      </w:pPr>
    </w:p>
    <w:p>
      <w:pPr>
        <w:ind w:left="960" w:right="60" w:hanging="412"/>
        <w:spacing w:after="0" w:line="259"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8" w:lineRule="exact"/>
        <w:rPr>
          <w:rFonts w:ascii="Arial" w:cs="Arial" w:eastAsia="Arial" w:hAnsi="Arial"/>
          <w:sz w:val="18"/>
          <w:szCs w:val="18"/>
          <w:color w:val="auto"/>
        </w:rPr>
      </w:pPr>
    </w:p>
    <w:p>
      <w:pPr>
        <w:ind w:left="960" w:right="320" w:hanging="412"/>
        <w:spacing w:after="0" w:line="259"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960" w:hanging="412"/>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60" w:right="160" w:hanging="412"/>
        <w:spacing w:after="0" w:line="286"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57" w:lineRule="exact"/>
        <w:rPr>
          <w:rFonts w:ascii="Arial" w:cs="Arial" w:eastAsia="Arial" w:hAnsi="Arial"/>
          <w:sz w:val="17"/>
          <w:szCs w:val="17"/>
          <w:color w:val="auto"/>
        </w:rPr>
      </w:pPr>
    </w:p>
    <w:p>
      <w:pPr>
        <w:ind w:left="960" w:right="260" w:hanging="412"/>
        <w:spacing w:after="0" w:line="308"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960" w:right="60" w:hanging="412"/>
        <w:spacing w:after="0" w:line="275"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transparency requirements known as the federal Physician Payments Sunshine Act, under the Health Care Reform Law,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other healthcare professionals and teaching hospitals, as well as ownership and investment interests held by physicians, other healthcare professionals and their immediate family members; and</w:t>
      </w:r>
    </w:p>
    <w:p>
      <w:pPr>
        <w:spacing w:after="0" w:line="68" w:lineRule="exact"/>
        <w:rPr>
          <w:rFonts w:ascii="Arial" w:cs="Arial" w:eastAsia="Arial" w:hAnsi="Arial"/>
          <w:sz w:val="17"/>
          <w:szCs w:val="17"/>
          <w:color w:val="auto"/>
        </w:rPr>
      </w:pPr>
    </w:p>
    <w:p>
      <w:pPr>
        <w:ind w:left="960" w:right="260" w:hanging="41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70" w:lineRule="exact"/>
        <w:rPr>
          <w:sz w:val="20"/>
          <w:szCs w:val="20"/>
          <w:color w:val="auto"/>
        </w:rPr>
      </w:pPr>
    </w:p>
    <w:p>
      <w:pPr>
        <w:ind w:right="40" w:firstLine="546"/>
        <w:spacing w:after="0" w:line="301"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117"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85"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By way of example, the United States and state governments continue to propose and pass legislation designed to reduce the cost of healthcare. In March 2010, the United States Congress enacted the Health Care Reform Law, which, among other things, includes changes to the coverage and payment for products under government health care programs. In addition, other legislative changes have been proposed and adopted since the Health Care Reform Law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These Medicare sequester reductions have been suspended through the end of March 2022. From April 2022 through June 2022, a 1% sequester cut will be in effect, with the full 2% cut resuming thereafter.</w:t>
      </w:r>
    </w:p>
    <w:p>
      <w:pPr>
        <w:spacing w:after="0" w:line="166" w:lineRule="exact"/>
        <w:rPr>
          <w:sz w:val="20"/>
          <w:szCs w:val="20"/>
          <w:color w:val="auto"/>
        </w:rPr>
      </w:pPr>
    </w:p>
    <w:p>
      <w:pPr>
        <w:ind w:firstLine="546"/>
        <w:spacing w:after="0" w:line="253" w:lineRule="auto"/>
        <w:rPr>
          <w:sz w:val="20"/>
          <w:szCs w:val="20"/>
          <w:color w:val="auto"/>
        </w:rPr>
      </w:pPr>
      <w:r>
        <w:rPr>
          <w:rFonts w:ascii="Arial" w:cs="Arial" w:eastAsia="Arial" w:hAnsi="Arial"/>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Additionally, the 2020 federal spending package permanently eliminated, effective January 1, 2020, the Health Care Reform Law-mandated “Cadillac” tax on high-cost employer-sponsored health coverage and medical device tax and, effective January 1, 2021, also eliminates the health insurer tax. Further, the Bipartisan Budget Act of 2018, among other things, amended the Health Care Reform Law, effective January 1, 2019, to increase from 50 percent to 70 percent the point-of-sale discount that is owed by pharmaceutical manufacturers who participate in Medicare Part D and to close the coverage gap in most Medicare drug plans, commonly referred to as the “donut hole.”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96" w:lineRule="exact"/>
        <w:rPr>
          <w:sz w:val="20"/>
          <w:szCs w:val="20"/>
          <w:color w:val="auto"/>
        </w:rPr>
      </w:pPr>
    </w:p>
    <w:p>
      <w:pPr>
        <w:ind w:right="440" w:firstLine="546"/>
        <w:spacing w:after="0" w:line="287" w:lineRule="auto"/>
        <w:rPr>
          <w:sz w:val="20"/>
          <w:szCs w:val="20"/>
          <w:color w:val="auto"/>
        </w:rPr>
      </w:pPr>
      <w:r>
        <w:rPr>
          <w:rFonts w:ascii="Arial" w:cs="Arial" w:eastAsia="Arial" w:hAnsi="Arial"/>
          <w:sz w:val="16"/>
          <w:szCs w:val="16"/>
          <w:color w:val="auto"/>
        </w:rPr>
        <w:t>Since enactment of the Health Care Reform Law, there have been, and continue to be, numerous legal challenges and Congressional actions to repeal and replace provisions of the law. For example, with enactment of the Tax Cuts and Jobs Act of 2017, or the TCJA, Congress repealed the “individual mandate.” The repeal of this provision, which requires most Americans to carry a minimal level of health insurance, became effective in</w:t>
      </w:r>
    </w:p>
    <w:p>
      <w:pPr>
        <w:spacing w:after="0" w:line="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2019. On December 14, 2018, a U.S. District Court judge in the Northern District of Texas ruled that the individual mandate portion of the Health Care Reform Law is an essential and inseverable feature of the Health Care Reform Law, and therefore because the mandate was repealed as part of the TCJA, the remaining provisions of the Health Care Reform Law are invalid as well. The U.S. Supreme Court heard this case on November 10, 2020 and, on June 17, 2021, dismissed this action after finding that the plaintiffs do not have standing to challenge the constitutionality of the Health Care Reform Law. Litigation and legislation over the Health Care Reform Law are likely to continue, with unpredictable and uncertain results.</w:t>
      </w:r>
    </w:p>
    <w:p>
      <w:pPr>
        <w:spacing w:after="0" w:line="178" w:lineRule="exact"/>
        <w:rPr>
          <w:sz w:val="20"/>
          <w:szCs w:val="20"/>
          <w:color w:val="auto"/>
        </w:rPr>
      </w:pPr>
    </w:p>
    <w:p>
      <w:pPr>
        <w:ind w:right="40" w:firstLine="546"/>
        <w:spacing w:after="0" w:line="291" w:lineRule="auto"/>
        <w:rPr>
          <w:sz w:val="20"/>
          <w:szCs w:val="20"/>
          <w:color w:val="auto"/>
        </w:rPr>
      </w:pPr>
      <w:r>
        <w:rPr>
          <w:rFonts w:ascii="Arial" w:cs="Arial" w:eastAsia="Arial" w:hAnsi="Arial"/>
          <w:sz w:val="16"/>
          <w:szCs w:val="16"/>
          <w:color w:val="auto"/>
        </w:rPr>
        <w:t>Although the previous administration took executive actions to undermine or delay implementation of the Health Care Reform Law, President Biden rescinded those actions with the issuance of an Executive Order on January 28, 2021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Health Care Reform Law that may reduce coverage or undermine the programs, including work requirements; policies that undermine the Health Insurance Marketplace or other markets for health insurance; policies that make it more difficult to enroll in Medicaid and the Health Care Reform Law; and policies that reduce affordability of coverage or financial assistance, including for dependents.</w:t>
      </w:r>
    </w:p>
    <w:p>
      <w:pPr>
        <w:spacing w:after="0" w:line="166"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CMS issued an interim final rule implementing a most favored nation model for prices that would tie Medicare Part B payments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140"/>
        <w:spacing w:after="0" w:line="259" w:lineRule="auto"/>
        <w:rPr>
          <w:sz w:val="20"/>
          <w:szCs w:val="20"/>
          <w:color w:val="auto"/>
        </w:rPr>
      </w:pPr>
      <w:r>
        <w:rPr>
          <w:rFonts w:ascii="Arial" w:cs="Arial" w:eastAsia="Arial" w:hAnsi="Arial"/>
          <w:sz w:val="18"/>
          <w:szCs w:val="18"/>
          <w:color w:val="auto"/>
        </w:rPr>
        <w:t>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187"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In addition, in October 2020, the Department of Health and Human Services, or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w:t>
      </w:r>
    </w:p>
    <w:p>
      <w:pPr>
        <w:spacing w:after="0" w:line="166"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if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121"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 Our research and development involves the controlled use of hazardous materials, chemicals and viruses.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In January 2020, we announced a reduction in workforce by approximately one third as part of a strategic plan designed to create a leaner company focused on advancing SGT-001. As of December 31, 2021, we employed 104 full-time employees, including 76 in research and development and 28 in general and administrative positions. Nineteen of our employees hold Ph.D. or M.D. degrees.</w:t>
      </w:r>
    </w:p>
    <w:p>
      <w:pPr>
        <w:spacing w:after="0" w:line="76"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We recognize that attracting, motivating and retaining talented employees is vital to our success. We value the health and wellness of our employees and their families. It is our goal to deliver innovative programs that provide choice, quality and value. We aim to create an equitable, inclusive and empowering environment in which our employees can grow and advance their careers, with the overall goal of developing, expanding and retaining our workforce to support our current pipeline and future business goals. Our success also depends on our ability to attract, engage and retain a diverse group of employees. Our efforts to recruit and retain a diverse and passionate workforce include providing competitive compensation and benefits packages.</w:t>
      </w:r>
    </w:p>
    <w:p>
      <w:pPr>
        <w:spacing w:after="0" w:line="53"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offer a comprehensive benefits program that provides resources to help employees manage their health, finances, and life outside of work.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principal executive offices are located at 141 Portland Street, Fifth Floor, Cambridge, Massachusetts 02139 and our telephone number is</w:t>
      </w:r>
    </w:p>
    <w:p>
      <w:pPr>
        <w:spacing w:after="0" w:line="46" w:lineRule="exact"/>
        <w:rPr>
          <w:sz w:val="20"/>
          <w:szCs w:val="20"/>
          <w:color w:val="auto"/>
        </w:rPr>
      </w:pPr>
    </w:p>
    <w:p>
      <w:pPr>
        <w:ind w:right="140" w:firstLine="8"/>
        <w:spacing w:after="0" w:line="260" w:lineRule="auto"/>
        <w:tabs>
          <w:tab w:leader="none" w:pos="4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337-4680. Our website address is www.solidbio.com. The information contained in, or accessible through, our website does not constitute a part of this Annual Report on Form 10-K.</w:t>
      </w:r>
    </w:p>
    <w:p>
      <w:pPr>
        <w:spacing w:after="0" w:line="185" w:lineRule="exact"/>
        <w:rPr>
          <w:sz w:val="20"/>
          <w:szCs w:val="20"/>
          <w:color w:val="auto"/>
        </w:rPr>
      </w:pPr>
    </w:p>
    <w:p>
      <w:pPr>
        <w:ind w:firstLine="546"/>
        <w:spacing w:after="0" w:line="286" w:lineRule="auto"/>
        <w:rPr>
          <w:sz w:val="20"/>
          <w:szCs w:val="20"/>
          <w:color w:val="auto"/>
        </w:rPr>
      </w:pPr>
      <w:r>
        <w:rPr>
          <w:rFonts w:ascii="Arial" w:cs="Arial" w:eastAsia="Arial" w:hAnsi="Arial"/>
          <w:sz w:val="17"/>
          <w:szCs w:val="17"/>
          <w:color w:val="auto"/>
        </w:rPr>
        <w:t>We make available free of charge on our website our Annual Reports on Form 10-K, Quarterly Reports on Form 10-Q, Current Reports on Form 8-K and amendments to those reports filed or furnished pursuant to Section 13(a) or 15(d) of the Securities Exchange Act of 1934, as amended, or the Exchange Act, as soon as reasonably practicable after we electronically file such material with, or furnish it to, the SEC.</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86" w:right="419" w:bottom="1440" w:gutter="0" w:footer="0" w:header="0"/>
        </w:sectPr>
      </w:pPr>
    </w:p>
    <w:bookmarkStart w:id="43" w:name="page44"/>
    <w:bookmarkEnd w:id="43"/>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337" w:lineRule="exact"/>
        <w:rPr>
          <w:sz w:val="20"/>
          <w:szCs w:val="20"/>
          <w:color w:val="auto"/>
        </w:rPr>
      </w:pPr>
    </w:p>
    <w:p>
      <w:pPr>
        <w:ind w:right="140" w:firstLine="802"/>
        <w:spacing w:after="0" w:line="254"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Annual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Annual Report on Form 10-K occurs, our business, operating results and financial condition could be seriously harmed and the trading price of our common stock could decline.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 requirements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since inception and anticipate that we will continue to incur net losses for the foreseeable future and may never achieve or maintain profitability.</w:t>
      </w:r>
    </w:p>
    <w:p>
      <w:pPr>
        <w:spacing w:after="0" w:line="62"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Since inception, we have incurred significant net losses. Our net loss was $72.2 million for the year ended December 31, 2021. Our net losses were $88.3 million and $117.2 million for the years ended December 31, 2020 and 2019, respectively. As of December 31, 2021, we had an accumulated deficit of $476.8 million. To date, we have devoted substantially all of our efforts to research and development, including clinical development of our gene transfer product candidate, SGT-001, as well as to building out our management team and infrastructure. We expect that it could be several years, if ever, before we have a commercialized product. We expect to continue to incur significant expenses and increasing operating losses for the foreseeable future. We anticipate that our expenses will increase substantially if, and as, we:</w:t>
      </w:r>
    </w:p>
    <w:p>
      <w:pPr>
        <w:spacing w:after="0" w:line="70" w:lineRule="exact"/>
        <w:rPr>
          <w:sz w:val="20"/>
          <w:szCs w:val="20"/>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enroll patients in IGNITE DMD and continue clinical development of SGT-001;</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move SGT-003 or our other product candidates into clinical trials;</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research and preclinical development of SGT-003 or our other product candidates;</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55" w:lineRule="exact"/>
        <w:rPr>
          <w:rFonts w:ascii="Arial" w:cs="Arial" w:eastAsia="Arial" w:hAnsi="Arial"/>
          <w:sz w:val="17"/>
          <w:szCs w:val="17"/>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arrange for manufacture of larger quantities of our product candidates for clinical development and potential commercialization;</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out new facilities or expand existing facilities to support our activities;</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drugs, technologies and intellectual property;</w:t>
      </w:r>
    </w:p>
    <w:p>
      <w:pPr>
        <w:spacing w:after="0" w:line="144" w:lineRule="exact"/>
        <w:rPr>
          <w:rFonts w:ascii="Arial" w:cs="Arial" w:eastAsia="Arial" w:hAnsi="Arial"/>
          <w:sz w:val="18"/>
          <w:szCs w:val="18"/>
          <w:color w:val="auto"/>
        </w:rPr>
      </w:pPr>
    </w:p>
    <w:p>
      <w:pPr>
        <w:ind w:left="940" w:right="40" w:hanging="392"/>
        <w:spacing w:after="0" w:line="277" w:lineRule="auto"/>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 a portion of the development or commercialization of products in collaboration with Ultragenyx pursuant to our collaboration and license agreement with Ultragenyx; and</w:t>
      </w:r>
    </w:p>
    <w:p>
      <w:pPr>
        <w:spacing w:after="0" w:line="62" w:lineRule="exact"/>
        <w:rPr>
          <w:rFonts w:ascii="Arial" w:cs="Arial" w:eastAsia="Arial" w:hAnsi="Arial"/>
          <w:sz w:val="18"/>
          <w:szCs w:val="18"/>
          <w:color w:val="auto"/>
        </w:rPr>
      </w:pPr>
    </w:p>
    <w:p>
      <w:pPr>
        <w:ind w:left="940" w:hanging="392"/>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w:t>
      </w:r>
    </w:p>
    <w:p>
      <w:pPr>
        <w:spacing w:after="0" w:line="144"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To become and remain profitable, we must develop and eventually commercialize one or more product candidates with significant market potential. This will require us to be successful in a range of challenging activities, and our expenses will increase substantially as we continue IGNITE DMD and complete future clinical trials of SGT-001, SGT-003 and our other product candidates, obtain marketing approval for SGT-001, SGT-003 or our other product candidates, develop and validate commercial-scale manufacturing processes, manufacture, market and sell any future product candidates for which we may obtain marketing approval and satisfy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our research and development efforts, expand our business or continue our operations. A decline in the value of our company also could cause stockholders to lose all or part of their investment.</w:t>
      </w:r>
    </w:p>
    <w:p>
      <w:pPr>
        <w:spacing w:after="0" w:line="2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conduct clinical trials of, and seek marketing approval for, SGT-001, SGT-003 and our other product candidates. In addition, if we obtain marketing approval for SGT-001, SGT-003 or our other product candidates, we expect to incur significant expenses related to product sales, marketing, manufacturing and distribution. We also incur additional costs associated with operating as a public company. While we believe that our cash, cash equivalents and available-for-sale securities as of December 31, 2021 will be sufficient to fund our operating expenses and capital requirements into the third quarter of 2023, we have based this estimate on assumptions that may prove to be wrong, and we could use our available capital resources sooner than we currently anticipate. In order to continue to operate our business beyond that time, we will need to raise additional funds. However, there can be no assurance that we will be able to generate funds on terms acceptable to us, on a timely basis, or at all. In addition, we anticipate that we will need additional funding to complete the development of SGT-001, SGT-003 and our other product candidates.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00" w:lineRule="exact"/>
        <w:rPr>
          <w:sz w:val="20"/>
          <w:szCs w:val="20"/>
          <w:color w:val="auto"/>
        </w:rPr>
      </w:pPr>
    </w:p>
    <w:p>
      <w:pPr>
        <w:spacing w:after="0" w:line="241" w:lineRule="exact"/>
        <w:rPr>
          <w:sz w:val="20"/>
          <w:szCs w:val="20"/>
          <w:color w:val="auto"/>
        </w:rPr>
      </w:pPr>
    </w:p>
    <w:p>
      <w:pPr>
        <w:ind w:left="940" w:hanging="392"/>
        <w:spacing w:after="0"/>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the progress and results of IGNITE DMD and future clinical trials of SGT-001, SGT-003 and our other product candidates;</w:t>
      </w:r>
    </w:p>
    <w:p>
      <w:pPr>
        <w:spacing w:after="0" w:line="252" w:lineRule="exact"/>
        <w:rPr>
          <w:rFonts w:ascii="Arial" w:cs="Arial" w:eastAsia="Arial" w:hAnsi="Arial"/>
          <w:sz w:val="18"/>
          <w:szCs w:val="18"/>
          <w:color w:val="2E2E2E"/>
        </w:rPr>
      </w:pPr>
    </w:p>
    <w:p>
      <w:pPr>
        <w:ind w:left="940" w:hanging="392"/>
        <w:spacing w:after="0"/>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the costs, timing and outcome of regulatory review of SGT-001, SGT-003 and our other product candidates;</w:t>
      </w:r>
    </w:p>
    <w:p>
      <w:pPr>
        <w:spacing w:after="0" w:line="252" w:lineRule="exact"/>
        <w:rPr>
          <w:rFonts w:ascii="Arial" w:cs="Arial" w:eastAsia="Arial" w:hAnsi="Arial"/>
          <w:sz w:val="18"/>
          <w:szCs w:val="18"/>
          <w:color w:val="2E2E2E"/>
        </w:rPr>
      </w:pPr>
    </w:p>
    <w:p>
      <w:pPr>
        <w:ind w:left="940" w:right="140" w:hanging="392"/>
        <w:spacing w:after="0" w:line="277" w:lineRule="auto"/>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the scope, progress, results and costs of discovery, laboratory testing, manufacturing, preclinical development and clinical trials for SGT-003 and our other product candidates that we may pursue in the future, if any;</w:t>
      </w:r>
    </w:p>
    <w:p>
      <w:pPr>
        <w:spacing w:after="0" w:line="170" w:lineRule="exact"/>
        <w:rPr>
          <w:rFonts w:ascii="Arial" w:cs="Arial" w:eastAsia="Arial" w:hAnsi="Arial"/>
          <w:sz w:val="18"/>
          <w:szCs w:val="18"/>
          <w:color w:val="2E2E2E"/>
        </w:rPr>
      </w:pPr>
    </w:p>
    <w:p>
      <w:pPr>
        <w:ind w:left="940" w:hanging="392"/>
        <w:spacing w:after="0"/>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the costs associated with our manufacturing process development and evaluation of third-party manufacturers;</w:t>
      </w:r>
    </w:p>
    <w:p>
      <w:pPr>
        <w:spacing w:after="0" w:line="252" w:lineRule="exact"/>
        <w:rPr>
          <w:rFonts w:ascii="Arial" w:cs="Arial" w:eastAsia="Arial" w:hAnsi="Arial"/>
          <w:sz w:val="18"/>
          <w:szCs w:val="18"/>
          <w:color w:val="2E2E2E"/>
        </w:rPr>
      </w:pPr>
    </w:p>
    <w:p>
      <w:pPr>
        <w:ind w:left="940" w:right="200" w:hanging="392"/>
        <w:spacing w:after="0" w:line="277" w:lineRule="auto"/>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revenue, if any, received from commercial sale of SGT-001, SGT-003 or our other product candidates, should any of our product candidates receive marketing approval;</w:t>
      </w:r>
    </w:p>
    <w:p>
      <w:pPr>
        <w:spacing w:after="0" w:line="170" w:lineRule="exact"/>
        <w:rPr>
          <w:rFonts w:ascii="Arial" w:cs="Arial" w:eastAsia="Arial" w:hAnsi="Arial"/>
          <w:sz w:val="18"/>
          <w:szCs w:val="18"/>
          <w:color w:val="2E2E2E"/>
        </w:rPr>
      </w:pPr>
    </w:p>
    <w:p>
      <w:pPr>
        <w:ind w:left="940" w:right="300" w:hanging="392"/>
        <w:spacing w:after="0" w:line="277" w:lineRule="auto"/>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the costs of preparing, filing and prosecuting patent applications, maintaining, defending and enforcing our intellectual property rights and defending intellectual property-related claims;</w:t>
      </w:r>
    </w:p>
    <w:p>
      <w:pPr>
        <w:spacing w:after="0" w:line="170" w:lineRule="exact"/>
        <w:rPr>
          <w:rFonts w:ascii="Arial" w:cs="Arial" w:eastAsia="Arial" w:hAnsi="Arial"/>
          <w:sz w:val="18"/>
          <w:szCs w:val="18"/>
          <w:color w:val="2E2E2E"/>
        </w:rPr>
      </w:pPr>
    </w:p>
    <w:p>
      <w:pPr>
        <w:ind w:left="940" w:hanging="392"/>
        <w:spacing w:after="0"/>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the outcome of any lawsuits filed against us;</w:t>
      </w:r>
    </w:p>
    <w:p>
      <w:pPr>
        <w:spacing w:after="0" w:line="252" w:lineRule="exact"/>
        <w:rPr>
          <w:rFonts w:ascii="Arial" w:cs="Arial" w:eastAsia="Arial" w:hAnsi="Arial"/>
          <w:sz w:val="18"/>
          <w:szCs w:val="18"/>
          <w:color w:val="2E2E2E"/>
        </w:rPr>
      </w:pPr>
    </w:p>
    <w:p>
      <w:pPr>
        <w:ind w:left="940" w:hanging="392"/>
        <w:spacing w:after="0"/>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the terms of our current and any future license agreements and collaborations;</w:t>
      </w:r>
    </w:p>
    <w:p>
      <w:pPr>
        <w:spacing w:after="0" w:line="252" w:lineRule="exact"/>
        <w:rPr>
          <w:rFonts w:ascii="Arial" w:cs="Arial" w:eastAsia="Arial" w:hAnsi="Arial"/>
          <w:sz w:val="18"/>
          <w:szCs w:val="18"/>
          <w:color w:val="2E2E2E"/>
        </w:rPr>
      </w:pPr>
    </w:p>
    <w:p>
      <w:pPr>
        <w:ind w:left="940" w:hanging="392"/>
        <w:spacing w:after="0"/>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the success of our collaboration with Ultragenyx;</w:t>
      </w:r>
    </w:p>
    <w:p>
      <w:pPr>
        <w:spacing w:after="0" w:line="252" w:lineRule="exact"/>
        <w:rPr>
          <w:rFonts w:ascii="Arial" w:cs="Arial" w:eastAsia="Arial" w:hAnsi="Arial"/>
          <w:sz w:val="18"/>
          <w:szCs w:val="18"/>
          <w:color w:val="2E2E2E"/>
        </w:rPr>
      </w:pPr>
    </w:p>
    <w:p>
      <w:pPr>
        <w:ind w:left="940" w:right="580" w:hanging="392"/>
        <w:spacing w:after="0" w:line="277" w:lineRule="auto"/>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170" w:lineRule="exact"/>
        <w:rPr>
          <w:rFonts w:ascii="Arial" w:cs="Arial" w:eastAsia="Arial" w:hAnsi="Arial"/>
          <w:sz w:val="18"/>
          <w:szCs w:val="18"/>
          <w:color w:val="2E2E2E"/>
        </w:rPr>
      </w:pPr>
    </w:p>
    <w:p>
      <w:pPr>
        <w:ind w:left="940" w:hanging="392"/>
        <w:spacing w:after="0"/>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the payment or receipt of milestones, royalties and other collaboration-based revenues, if any;</w:t>
      </w:r>
    </w:p>
    <w:p>
      <w:pPr>
        <w:spacing w:after="0" w:line="252" w:lineRule="exact"/>
        <w:rPr>
          <w:rFonts w:ascii="Arial" w:cs="Arial" w:eastAsia="Arial" w:hAnsi="Arial"/>
          <w:sz w:val="18"/>
          <w:szCs w:val="18"/>
          <w:color w:val="2E2E2E"/>
        </w:rPr>
      </w:pPr>
    </w:p>
    <w:p>
      <w:pPr>
        <w:ind w:left="940" w:hanging="392"/>
        <w:spacing w:after="0"/>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the extent to which we acquire or in-license other product candidates, technologies and intellectual property; and</w:t>
      </w:r>
    </w:p>
    <w:p>
      <w:pPr>
        <w:spacing w:after="0" w:line="252" w:lineRule="exact"/>
        <w:rPr>
          <w:rFonts w:ascii="Arial" w:cs="Arial" w:eastAsia="Arial" w:hAnsi="Arial"/>
          <w:sz w:val="18"/>
          <w:szCs w:val="18"/>
          <w:color w:val="2E2E2E"/>
        </w:rPr>
      </w:pPr>
    </w:p>
    <w:p>
      <w:pPr>
        <w:ind w:left="940" w:hanging="392"/>
        <w:spacing w:after="0"/>
        <w:tabs>
          <w:tab w:leader="none" w:pos="940" w:val="left"/>
        </w:tabs>
        <w:numPr>
          <w:ilvl w:val="0"/>
          <w:numId w:val="18"/>
        </w:numPr>
        <w:rPr>
          <w:rFonts w:ascii="Arial" w:cs="Arial" w:eastAsia="Arial" w:hAnsi="Arial"/>
          <w:sz w:val="18"/>
          <w:szCs w:val="18"/>
          <w:color w:val="2E2E2E"/>
        </w:rPr>
      </w:pPr>
      <w:r>
        <w:rPr>
          <w:rFonts w:ascii="Arial" w:cs="Arial" w:eastAsia="Arial" w:hAnsi="Arial"/>
          <w:sz w:val="18"/>
          <w:szCs w:val="18"/>
          <w:color w:val="auto"/>
        </w:rPr>
        <w:t>if and as we need to adapt our business in response to the COVID-19 pandemic and its collateral consequences.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5" w:name="page46"/>
    <w:bookmarkEnd w:id="45"/>
    <w:p>
      <w:pPr>
        <w:ind w:firstLine="546"/>
        <w:spacing w:after="0" w:line="296"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 if any, will be derived from or based on sales of product candidates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SGT-001, SGT-003 or our other product candidates.</w:t>
      </w:r>
    </w:p>
    <w:p>
      <w:pPr>
        <w:spacing w:after="0" w:line="62"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ownership of our common stock will be diluted and the terms may include liquidation or other preferences that adversely affect the rights of our current stockholders.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SGT-001, SGT-003 or our other product candidates, or grant licenses on terms unfavorable to us.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225" w:lineRule="exact"/>
        <w:rPr>
          <w:sz w:val="20"/>
          <w:szCs w:val="20"/>
          <w:color w:val="auto"/>
        </w:rPr>
      </w:pPr>
    </w:p>
    <w:p>
      <w:pPr>
        <w:ind w:right="240" w:firstLine="802"/>
        <w:spacing w:after="0" w:line="254"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SGT-001, SGT-003 and any other product candidates that we may pursue in the future. We do not anticipate generating revenue from product sales for the next several years, if ever. Our ability to generate future revenue from product sales depends heavily on our success in:</w:t>
      </w:r>
    </w:p>
    <w:p>
      <w:pPr>
        <w:spacing w:after="0" w:line="2" w:lineRule="exact"/>
        <w:rPr>
          <w:sz w:val="20"/>
          <w:szCs w:val="20"/>
          <w:color w:val="auto"/>
        </w:rPr>
      </w:pPr>
    </w:p>
    <w:p>
      <w:pPr>
        <w:ind w:left="940" w:hanging="392"/>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completing research and development of SGT-001, SGT-003 and our other product candidates in a timely and successful manner;</w:t>
      </w:r>
    </w:p>
    <w:p>
      <w:pPr>
        <w:spacing w:after="0" w:line="249" w:lineRule="exact"/>
        <w:rPr>
          <w:rFonts w:ascii="Arial" w:cs="Arial" w:eastAsia="Arial" w:hAnsi="Arial"/>
          <w:sz w:val="17"/>
          <w:szCs w:val="17"/>
          <w:color w:val="auto"/>
        </w:rPr>
      </w:pPr>
    </w:p>
    <w:p>
      <w:pPr>
        <w:ind w:left="940" w:hanging="39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any product candidates for which we complete clinical trials;</w:t>
      </w:r>
    </w:p>
    <w:p>
      <w:pPr>
        <w:spacing w:after="0" w:line="252" w:lineRule="exact"/>
        <w:rPr>
          <w:rFonts w:ascii="Arial" w:cs="Arial" w:eastAsia="Arial" w:hAnsi="Arial"/>
          <w:sz w:val="18"/>
          <w:szCs w:val="18"/>
          <w:color w:val="auto"/>
        </w:rPr>
      </w:pPr>
    </w:p>
    <w:p>
      <w:pPr>
        <w:ind w:left="940" w:right="120" w:hanging="392"/>
        <w:spacing w:after="0" w:line="342" w:lineRule="auto"/>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launching and commercializing SGT-001, SGT-003 and any other product candidates for which we obtain regulatory and marketing approval by establishing a sales force and marketing and distribution infrastructure or, alternatively, collaborating with a commercialization partner;</w:t>
      </w:r>
    </w:p>
    <w:p>
      <w:pPr>
        <w:spacing w:after="0" w:line="123" w:lineRule="exact"/>
        <w:rPr>
          <w:rFonts w:ascii="Arial" w:cs="Arial" w:eastAsia="Arial" w:hAnsi="Arial"/>
          <w:sz w:val="16"/>
          <w:szCs w:val="16"/>
          <w:color w:val="auto"/>
        </w:rPr>
      </w:pPr>
    </w:p>
    <w:p>
      <w:pPr>
        <w:ind w:left="940" w:right="100" w:hanging="392"/>
        <w:spacing w:after="0" w:line="27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and enhancing a commercially viable, sustainable, scalable, reproducible and transferable manufacturing processes for SGT-001, SGT-003 and our other product candidates that is compliant with cGMPs;</w:t>
      </w:r>
    </w:p>
    <w:p>
      <w:pPr>
        <w:spacing w:after="0" w:line="170" w:lineRule="exact"/>
        <w:rPr>
          <w:rFonts w:ascii="Arial" w:cs="Arial" w:eastAsia="Arial" w:hAnsi="Arial"/>
          <w:sz w:val="18"/>
          <w:szCs w:val="18"/>
          <w:color w:val="auto"/>
        </w:rPr>
      </w:pPr>
    </w:p>
    <w:p>
      <w:pPr>
        <w:ind w:left="940" w:right="40" w:hanging="392"/>
        <w:spacing w:after="0" w:line="263"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adequate, in both amount and quality, products and services to support clinical development and the commercial demand for SGT-001, SGT-003 and our other product candidates, if approved;</w:t>
      </w:r>
    </w:p>
    <w:p>
      <w:pPr>
        <w:spacing w:after="0" w:line="183" w:lineRule="exact"/>
        <w:rPr>
          <w:rFonts w:ascii="Arial" w:cs="Arial" w:eastAsia="Arial" w:hAnsi="Arial"/>
          <w:sz w:val="18"/>
          <w:szCs w:val="18"/>
          <w:color w:val="auto"/>
        </w:rPr>
      </w:pPr>
    </w:p>
    <w:p>
      <w:pPr>
        <w:ind w:left="940" w:right="380" w:hanging="392"/>
        <w:spacing w:after="0" w:line="27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market acceptance, if and when approved, of SGT-001, SGT-003 or any other product candidate as a viable treatment option by patients, the medical community and third-party payors;</w:t>
      </w:r>
    </w:p>
    <w:p>
      <w:pPr>
        <w:spacing w:after="0" w:line="170" w:lineRule="exact"/>
        <w:rPr>
          <w:rFonts w:ascii="Arial" w:cs="Arial" w:eastAsia="Arial" w:hAnsi="Arial"/>
          <w:sz w:val="18"/>
          <w:szCs w:val="18"/>
          <w:color w:val="auto"/>
        </w:rPr>
      </w:pPr>
    </w:p>
    <w:p>
      <w:pPr>
        <w:ind w:left="940" w:right="420" w:hanging="392"/>
        <w:spacing w:after="0" w:line="27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qualifying for coverage and adequate reimbursement by government and third-party payors for SGT-001, SGT-003 and our other product candidates both in the U.S. and internationally;</w:t>
      </w:r>
    </w:p>
    <w:p>
      <w:pPr>
        <w:spacing w:after="0" w:line="170" w:lineRule="exact"/>
        <w:rPr>
          <w:rFonts w:ascii="Arial" w:cs="Arial" w:eastAsia="Arial" w:hAnsi="Arial"/>
          <w:sz w:val="18"/>
          <w:szCs w:val="18"/>
          <w:color w:val="auto"/>
        </w:rPr>
      </w:pPr>
    </w:p>
    <w:p>
      <w:pPr>
        <w:ind w:left="940" w:hanging="392"/>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addressing any competing technological and market developments;</w:t>
      </w:r>
    </w:p>
    <w:p>
      <w:pPr>
        <w:spacing w:after="0" w:line="252" w:lineRule="exact"/>
        <w:rPr>
          <w:rFonts w:ascii="Arial" w:cs="Arial" w:eastAsia="Arial" w:hAnsi="Arial"/>
          <w:sz w:val="18"/>
          <w:szCs w:val="18"/>
          <w:color w:val="auto"/>
        </w:rPr>
      </w:pPr>
    </w:p>
    <w:p>
      <w:pPr>
        <w:ind w:left="940" w:right="340" w:hanging="392"/>
        <w:spacing w:after="0" w:line="277" w:lineRule="auto"/>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ind w:left="940" w:right="140" w:hanging="392"/>
        <w:spacing w:after="0" w:line="277"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protecting, enforcing and expanding our portfolio of intellectual property rights, including patents, trademarks, trade secrets and know-how;</w:t>
      </w:r>
    </w:p>
    <w:p>
      <w:pPr>
        <w:spacing w:after="0" w:line="170" w:lineRule="exact"/>
        <w:rPr>
          <w:rFonts w:ascii="Arial" w:cs="Arial" w:eastAsia="Arial" w:hAnsi="Arial"/>
          <w:sz w:val="18"/>
          <w:szCs w:val="18"/>
          <w:color w:val="auto"/>
        </w:rPr>
      </w:pPr>
    </w:p>
    <w:p>
      <w:pPr>
        <w:ind w:left="940" w:hanging="39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avoiding and defending against intellectual property infringement, misappropriation and other claims;</w:t>
      </w:r>
    </w:p>
    <w:p>
      <w:pPr>
        <w:spacing w:after="0" w:line="252" w:lineRule="exact"/>
        <w:rPr>
          <w:rFonts w:ascii="Arial" w:cs="Arial" w:eastAsia="Arial" w:hAnsi="Arial"/>
          <w:sz w:val="18"/>
          <w:szCs w:val="18"/>
          <w:color w:val="auto"/>
        </w:rPr>
      </w:pPr>
    </w:p>
    <w:p>
      <w:pPr>
        <w:ind w:left="940" w:hanging="39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 and</w:t>
      </w:r>
    </w:p>
    <w:p>
      <w:pPr>
        <w:spacing w:after="0" w:line="252" w:lineRule="exact"/>
        <w:rPr>
          <w:rFonts w:ascii="Arial" w:cs="Arial" w:eastAsia="Arial" w:hAnsi="Arial"/>
          <w:sz w:val="18"/>
          <w:szCs w:val="18"/>
          <w:color w:val="auto"/>
        </w:rPr>
      </w:pPr>
    </w:p>
    <w:p>
      <w:pPr>
        <w:ind w:left="940" w:hanging="392"/>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our stockholders to evaluate the success of our business to date and to assess our future viability.</w:t>
      </w:r>
    </w:p>
    <w:p>
      <w:pPr>
        <w:spacing w:after="0" w:line="152"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We are a development-stage company founded in 2013. Our operations to date, with respect to the development of SGT-001 and other potential product candidates, have been limited to organizing and staffing our company, business planning, raising capital, acquiring rights to our technology, identifying SGT-001 and SGT-003 as potential gene transfer product candidates and undertaking preclinical studies of SGT-001 and SGT-003 and a clinical trial of SGT-001 and establishing research and development and manufacturing collaborations. We have not yet demonstrated the ability to complete clinical trials of SGT-001 or any other product candidate, obtain marketing approvals, manufacture a commercial-scale product or conduct sales and marketing activities necessary for successful commercialization. Consequently, any predictions our stockholders make about our prospects may not be as accurate as they could be if we had a longer operating history.</w:t>
      </w:r>
    </w:p>
    <w:p>
      <w:pPr>
        <w:spacing w:after="0" w:line="312"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b w:val="1"/>
          <w:bCs w:val="1"/>
          <w:i w:val="1"/>
          <w:iCs w:val="1"/>
          <w:color w:val="auto"/>
        </w:rPr>
        <w:t>The ongoing COVID-19 pandemic may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200" w:lineRule="exact"/>
        <w:rPr>
          <w:sz w:val="20"/>
          <w:szCs w:val="20"/>
          <w:color w:val="auto"/>
        </w:rPr>
      </w:pPr>
    </w:p>
    <w:p>
      <w:pPr>
        <w:spacing w:after="0" w:line="289" w:lineRule="exact"/>
        <w:rPr>
          <w:sz w:val="20"/>
          <w:szCs w:val="20"/>
          <w:color w:val="auto"/>
        </w:rPr>
      </w:pPr>
    </w:p>
    <w:p>
      <w:pPr>
        <w:ind w:firstLine="802"/>
        <w:spacing w:after="0" w:line="296" w:lineRule="auto"/>
        <w:rPr>
          <w:sz w:val="20"/>
          <w:szCs w:val="20"/>
          <w:color w:val="auto"/>
        </w:rPr>
      </w:pPr>
      <w:r>
        <w:rPr>
          <w:rFonts w:ascii="Arial" w:cs="Arial" w:eastAsia="Arial" w:hAnsi="Arial"/>
          <w:sz w:val="16"/>
          <w:szCs w:val="16"/>
          <w:color w:val="auto"/>
        </w:rPr>
        <w:t>The ongoing COVID-19 pandemic has caused many governments to implement measures to slow the spread of the outbreak through quarantines, travel restrictions, heightened border scrutiny, and other measures.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61" w:lineRule="exact"/>
        <w:rPr>
          <w:sz w:val="20"/>
          <w:szCs w:val="20"/>
          <w:color w:val="auto"/>
        </w:rPr>
      </w:pPr>
    </w:p>
    <w:p>
      <w:pPr>
        <w:ind w:right="60" w:firstLine="802"/>
        <w:spacing w:after="0" w:line="272" w:lineRule="auto"/>
        <w:rPr>
          <w:sz w:val="20"/>
          <w:szCs w:val="20"/>
          <w:color w:val="auto"/>
        </w:rPr>
      </w:pPr>
      <w:r>
        <w:rPr>
          <w:rFonts w:ascii="Arial" w:cs="Arial" w:eastAsia="Arial" w:hAnsi="Arial"/>
          <w:sz w:val="17"/>
          <w:szCs w:val="17"/>
          <w:color w:val="auto"/>
        </w:rPr>
        <w:t>We and our third-party manufacturers for our SGT-001 supply, future supply for SGT-003, and prospective contract research organizations, or CROs, may face disruptions that may affect our ability to initiate and complete preclinical studies or clinical trials, including disruptions in procuring items that are essential for our research and development activities, including, for example, raw materials used in the manufacturing of our product candidates, and laboratory supplies for our current and future preclinical studies and clinical trials, in each case, for which there may be shortages because of ongoing efforts to address the outbreak. We and our third-party manufacturers and prospective CROs, may face disruptions related to IGNITE DMD or future clinical trials arising from delays in IND-enabling studies, manufacturing disruptions, and the ability to obtain necessary institutional review board or other necessary site approvals, as well as other delays at clinical trial sites.</w:t>
      </w:r>
    </w:p>
    <w:p>
      <w:pPr>
        <w:spacing w:after="0" w:line="177" w:lineRule="exact"/>
        <w:rPr>
          <w:sz w:val="20"/>
          <w:szCs w:val="20"/>
          <w:color w:val="auto"/>
        </w:rPr>
      </w:pPr>
    </w:p>
    <w:p>
      <w:pPr>
        <w:ind w:right="340" w:firstLine="802"/>
        <w:spacing w:after="0" w:line="259" w:lineRule="auto"/>
        <w:rPr>
          <w:sz w:val="20"/>
          <w:szCs w:val="20"/>
          <w:color w:val="auto"/>
        </w:rPr>
      </w:pPr>
      <w:r>
        <w:rPr>
          <w:rFonts w:ascii="Arial" w:cs="Arial" w:eastAsia="Arial" w:hAnsi="Arial"/>
          <w:sz w:val="18"/>
          <w:szCs w:val="18"/>
          <w:color w:val="auto"/>
        </w:rPr>
        <w:t>We may also face difficulties recruiting or enrolling patients for our IGNITE DMD or future clinical trials if patients are affected by the COVID-19 virus or are fearful of visiting or traveling to clinical trial sites because of the outbreak. For example, we experienced a few missed or postponed patient visits due to site closures early in the COVID-19 pandemic. As trial sites and families have developed strategies for safety during the pandemic, we have not seen missed or postponed visits in recent months.</w:t>
      </w:r>
    </w:p>
    <w:p>
      <w:pPr>
        <w:spacing w:after="0" w:line="187" w:lineRule="exact"/>
        <w:rPr>
          <w:sz w:val="20"/>
          <w:szCs w:val="20"/>
          <w:color w:val="auto"/>
        </w:rPr>
      </w:pPr>
    </w:p>
    <w:p>
      <w:pPr>
        <w:ind w:right="20" w:firstLine="802"/>
        <w:spacing w:after="0" w:line="301" w:lineRule="auto"/>
        <w:rPr>
          <w:sz w:val="20"/>
          <w:szCs w:val="20"/>
          <w:color w:val="auto"/>
        </w:rPr>
      </w:pPr>
      <w:r>
        <w:rPr>
          <w:rFonts w:ascii="Arial" w:cs="Arial" w:eastAsia="Arial" w:hAnsi="Arial"/>
          <w:sz w:val="16"/>
          <w:szCs w:val="16"/>
          <w:color w:val="auto"/>
        </w:rPr>
        <w:t>The response to the COVID-19 pandemic may redirect resources with respect to regulatory and intellectual property matters in a way that would adversely impact our ability to progress regulatory approvals and protect our intellectual property. For example, the FDA has announced that in order to bring new therapies to patients sick with COVID-19 as quickly as possible, it has redeployed medical and regulatory staff from other areas to work on COVID-19 therapies. In addition, we may face impediments to regulatory meetings and approvals due to measures intended to limit in-person interactions.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ind w:right="280" w:firstLine="802"/>
        <w:spacing w:after="0" w:line="275" w:lineRule="auto"/>
        <w:rPr>
          <w:sz w:val="20"/>
          <w:szCs w:val="20"/>
          <w:color w:val="auto"/>
        </w:rPr>
      </w:pPr>
      <w:r>
        <w:rPr>
          <w:rFonts w:ascii="Arial" w:cs="Arial" w:eastAsia="Arial" w:hAnsi="Arial"/>
          <w:sz w:val="17"/>
          <w:szCs w:val="17"/>
          <w:color w:val="auto"/>
        </w:rPr>
        <w:t>We have modified our business practices, including implementing a work from home policy for all employees who are able to perform their duties remotely. We expect to continue to take actions as may be required or recommended by government authorities or as we determine are in the best interests of our employees, and other business partners in light of COVID-19. In the event of a continuation of shelter-in-place orders and/or other mandated local travel restrictions, our employees conducting research and development activities may not be able to access our research space, and our core activities may be significant limited or curtailed, possibly for an extended period of time.</w:t>
      </w:r>
    </w:p>
    <w:p>
      <w:pPr>
        <w:spacing w:after="0" w:line="176" w:lineRule="exact"/>
        <w:rPr>
          <w:sz w:val="20"/>
          <w:szCs w:val="20"/>
          <w:color w:val="auto"/>
        </w:rPr>
      </w:pPr>
    </w:p>
    <w:p>
      <w:pPr>
        <w:ind w:firstLine="802"/>
        <w:spacing w:after="0" w:line="275" w:lineRule="auto"/>
        <w:rPr>
          <w:sz w:val="20"/>
          <w:szCs w:val="20"/>
          <w:color w:val="auto"/>
        </w:rPr>
      </w:pPr>
      <w:r>
        <w:rPr>
          <w:rFonts w:ascii="Arial" w:cs="Arial" w:eastAsia="Arial" w:hAnsi="Arial"/>
          <w:sz w:val="17"/>
          <w:szCs w:val="17"/>
          <w:color w:val="auto"/>
        </w:rPr>
        <w:t>The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Moreover, it is possible the pandemic will significantly impact economies worldwide, which could result in adverse effects on our business and operations. We cannot be certain what the overall impact of the COVID-19 pandemic, including any variant strains of the COVID-19 virus, will be on our business and it has the potential to adversely affect our business, financial condition, results of operations and prospects.</w:t>
      </w:r>
    </w:p>
    <w:p>
      <w:pPr>
        <w:spacing w:after="0" w:line="176" w:lineRule="exact"/>
        <w:rPr>
          <w:sz w:val="20"/>
          <w:szCs w:val="20"/>
          <w:color w:val="auto"/>
        </w:rPr>
      </w:pPr>
    </w:p>
    <w:p>
      <w:pPr>
        <w:ind w:firstLine="802"/>
        <w:spacing w:after="0" w:line="287" w:lineRule="auto"/>
        <w:rPr>
          <w:sz w:val="20"/>
          <w:szCs w:val="20"/>
          <w:color w:val="auto"/>
        </w:rPr>
      </w:pPr>
      <w:r>
        <w:rPr>
          <w:rFonts w:ascii="Arial" w:cs="Arial" w:eastAsia="Arial" w:hAnsi="Arial"/>
          <w:sz w:val="16"/>
          <w:szCs w:val="16"/>
          <w:color w:val="auto"/>
        </w:rPr>
        <w:t>Finally, in response to the COVID-19 pandemic, the FDA issued guidance on March 18, 2020, and updated it on July 2, 2020, January 27, 2021, and August 30, 2021, to address the conduct of clinical trials during the pandemic. The guidance sets out a number of considerations for sponsors of clinical trials impacted by the pandemic, including the requirement to include in the clinical study report (or as a separate document) contingency measures implemented to manage the study, and any disruption of the study as a result of COVID-19; a list of all study participants affected by COVID-19-related study disruptions by a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study. In its most recent update to this guidance, the FDA addresses questions received during the past year from clinical practitioners who are adapting their operations in a pandemic environment. These questions focused on, among other things, when to suspend, continue or initiate a trial and how to submit changes to protocols for INDs and handle remote site monitoring visits. There is no assurance that this guidance governing clinical studies during the pandemic will remain in effect or, even if it does, that it will help address the risks and challenges enumerated above.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In November 2019, the FDA placed IGNITE DMD on clinical hold after we reported a serious adverse event in the clinical trial. Even though the clinical hold was lifted in October 2020 and treatment of patients resumed in February 2021, we cannot guarantee that similar events will not happen in the future.</w:t>
      </w:r>
    </w:p>
    <w:p>
      <w:pPr>
        <w:spacing w:after="0" w:line="292" w:lineRule="exact"/>
        <w:rPr>
          <w:sz w:val="20"/>
          <w:szCs w:val="20"/>
          <w:color w:val="auto"/>
        </w:rPr>
      </w:pPr>
    </w:p>
    <w:p>
      <w:pPr>
        <w:ind w:firstLine="802"/>
        <w:spacing w:after="0" w:line="268" w:lineRule="auto"/>
        <w:rPr>
          <w:sz w:val="20"/>
          <w:szCs w:val="20"/>
          <w:color w:val="auto"/>
        </w:rPr>
      </w:pPr>
      <w:r>
        <w:rPr>
          <w:rFonts w:ascii="Arial" w:cs="Arial" w:eastAsia="Arial" w:hAnsi="Arial"/>
          <w:sz w:val="17"/>
          <w:szCs w:val="17"/>
          <w:color w:val="auto"/>
        </w:rPr>
        <w:t>In November 2019, the FDA placed a clinical hold on SGT-001 following a serious adverse event in IGNITE DMD. The third patient in the 2E14 vg/kg cohort of IGNITE DMD, dosed in late October 2019, experienced a serious adverse event deemed related to the study drug that was characterized by complement activation, thrombocytopenia, decrease in red blood cell count, acute kidney injury, and cardio-pulmonary insufficiency. In October 2020, the FDA lifted the clinical hold placed on IGNITE DMD. In connection with the lifting of the clinical hold, we determined to reduce the maximum weight of the next two patients dosed in IGNITE DMD to 18 kg per patient. Additionally, to mitigate the risk of serious drug-related adverse events, we amended the IGNITE DMD clinical protocol to include the prophylactic use of both anti-complement inhibitor eculizumab and C1 esterase inhibitor, and increase the prednisone dose in the first month post dosing. In March 2021, we announced that a seventh patient was safely dosed under the amended protocol, with transient and manageable adverse events, none of which were serious. In April 2021, an eighth patient was treated with SGT-001. The patient experienced a systemic inflammatory response which has since fully resolved. The event was classified as a serious adverse event and considered by the investigator to be drug related. This type of event is described in our Investigators Brochure and is not considered unexpected. Following dosing of these two patients with our second-generation manufacturing process and clinical strategy, we conducted an extensive review of all clinical data, which resulted in a strengthened risk mitigation plan including new patient management guidance. In November 2021, a ninth patient was safely dosed under the amended clinical protocol</w:t>
      </w:r>
      <w:r>
        <w:rPr>
          <w:rFonts w:ascii="Arial" w:cs="Arial" w:eastAsia="Arial" w:hAnsi="Arial"/>
          <w:sz w:val="17"/>
          <w:szCs w:val="17"/>
          <w:b w:val="1"/>
          <w:bCs w:val="1"/>
          <w:color w:val="auto"/>
        </w:rPr>
        <w:t>,</w:t>
      </w:r>
      <w:r>
        <w:rPr>
          <w:rFonts w:ascii="Arial" w:cs="Arial" w:eastAsia="Arial" w:hAnsi="Arial"/>
          <w:sz w:val="17"/>
          <w:szCs w:val="17"/>
          <w:color w:val="auto"/>
        </w:rPr>
        <w:t xml:space="preserve"> with transient and manageable adverse events, none of which were serious. However, we cannot guarantee that similar serious adverse events or clinical holds will not happen in the future.</w:t>
      </w:r>
    </w:p>
    <w:p>
      <w:pPr>
        <w:spacing w:after="0" w:line="184" w:lineRule="exact"/>
        <w:rPr>
          <w:sz w:val="20"/>
          <w:szCs w:val="20"/>
          <w:color w:val="auto"/>
        </w:rPr>
      </w:pPr>
    </w:p>
    <w:p>
      <w:pPr>
        <w:ind w:right="280" w:firstLine="802"/>
        <w:spacing w:after="0" w:line="259" w:lineRule="auto"/>
        <w:rPr>
          <w:sz w:val="20"/>
          <w:szCs w:val="20"/>
          <w:color w:val="auto"/>
        </w:rPr>
      </w:pPr>
      <w:r>
        <w:rPr>
          <w:rFonts w:ascii="Arial" w:cs="Arial" w:eastAsia="Arial" w:hAnsi="Arial"/>
          <w:sz w:val="18"/>
          <w:szCs w:val="18"/>
          <w:color w:val="auto"/>
        </w:rPr>
        <w:t>Even though the FDA lifted the clinical hold in October 2020, additional preclinical studies or clinical trials involving SGT-001, further amendments to the SGT-001 enrollment criteria and/or clinical trial protocol or changes to our manufacturing process may be needed, which may prove difficult to implement and/or complete. In such instance, our progress in the development of SGT-001 may be significantly slowed or stopped and the associated costs may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ind w:right="20"/>
        <w:spacing w:after="0" w:line="286" w:lineRule="auto"/>
        <w:rPr>
          <w:sz w:val="20"/>
          <w:szCs w:val="20"/>
          <w:color w:val="auto"/>
        </w:rPr>
      </w:pPr>
      <w:r>
        <w:rPr>
          <w:rFonts w:ascii="Arial" w:cs="Arial" w:eastAsia="Arial" w:hAnsi="Arial"/>
          <w:sz w:val="17"/>
          <w:szCs w:val="17"/>
          <w:color w:val="auto"/>
        </w:rPr>
        <w:t>significantly increased, adversely affecting our business, and our stock price would likely decline. Furthermore, even though the FDA lifted the clinical hold, we may nonetheless face difficulties in recruiting patients to enroll in, or retain patients in IGNITE DMD if patients or their caregivers are affected by the COVID-19 virus or are fearful of traveling to, or are unable to travel to, our clinical trial sites because of the COVID-19 pandemic.</w:t>
      </w:r>
    </w:p>
    <w:p>
      <w:pPr>
        <w:spacing w:after="0" w:line="165"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In addition, we may not be able to obtain institutional review board committee, or IRB, or data safety monitoring board approvals for IGNITE DMD as a result of the now lifted clinical hold or any related risks, which could further delay our ability to open new trial sites and enroll patients into the clinical trial. Any delay in enrolling patients or inability to continue or complete our clinical trial of SGT-001, as a result of the now lifted clinical hold or otherwise, will delay or terminate our clinical development plans for SGT-001, may require us to incur additional clinical development costs and could impair our ability to ultimately obtain FDA approval for SGT-001. Delays in the completion of any clinical trial of SGT-001 or any other product candidate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SGT-001, SGT-003 or our other product candidates.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SGT-001 and SGT-003 are gene transfer candidates based on novel technology, which makes it difficult to predict the time and cost of development and of subsequently obtaining regulatory approval. To our knowledge, only a limited number of gene transfer products have been approved for commercialization in the United States and the European Union.</w:t>
      </w:r>
    </w:p>
    <w:p>
      <w:pPr>
        <w:spacing w:after="0" w:line="76" w:lineRule="exact"/>
        <w:rPr>
          <w:sz w:val="20"/>
          <w:szCs w:val="20"/>
          <w:color w:val="auto"/>
        </w:rPr>
      </w:pPr>
    </w:p>
    <w:p>
      <w:pPr>
        <w:ind w:right="100" w:firstLine="546"/>
        <w:spacing w:after="0" w:line="254" w:lineRule="auto"/>
        <w:rPr>
          <w:sz w:val="20"/>
          <w:szCs w:val="20"/>
          <w:color w:val="auto"/>
        </w:rPr>
      </w:pPr>
      <w:r>
        <w:rPr>
          <w:rFonts w:ascii="Arial" w:cs="Arial" w:eastAsia="Arial" w:hAnsi="Arial"/>
          <w:sz w:val="18"/>
          <w:szCs w:val="18"/>
          <w:color w:val="auto"/>
        </w:rPr>
        <w:t>We have concentrated our research and development efforts on SGT-001 for the treatment of Duchenne and our future success depends on our successful development of that product candidate, SGT-003 and our other product candidates. Our risk of failure is high. We have experienced, and may in the future experience, problems or delays in developing SGT-001, SGT-003 and our other product candidates. Any such problems or delays would cause unanticipated costs, and any development problems may not be solved. For example, we or another party may uncover a previously unknown risk associated with SGT-001, SGT-003, the adeno-associated virus, or AAV, vector, toxicity or other issues that may be more problematic than we currently believe and this may prolong the period of observation required for obtaining, or result in the failure to obtain, regulatory approval or may necessitate additional clinical testing.</w:t>
      </w:r>
    </w:p>
    <w:p>
      <w:pPr>
        <w:spacing w:after="0" w:line="195" w:lineRule="exact"/>
        <w:rPr>
          <w:sz w:val="20"/>
          <w:szCs w:val="20"/>
          <w:color w:val="auto"/>
        </w:rPr>
      </w:pPr>
    </w:p>
    <w:p>
      <w:pPr>
        <w:ind w:right="140" w:firstLine="546"/>
        <w:spacing w:after="0" w:line="254" w:lineRule="auto"/>
        <w:rPr>
          <w:sz w:val="20"/>
          <w:szCs w:val="20"/>
          <w:color w:val="auto"/>
        </w:rPr>
      </w:pPr>
      <w:r>
        <w:rPr>
          <w:rFonts w:ascii="Arial" w:cs="Arial" w:eastAsia="Arial" w:hAnsi="Arial"/>
          <w:sz w:val="18"/>
          <w:szCs w:val="18"/>
          <w:color w:val="auto"/>
        </w:rPr>
        <w:t>In addition, the product specifications and the clinical trial requirements of the FDA, the European Commission, the European Medicines Agency, or the EMA, and other regulatory authorities and the criteria these regulators use to determine the safety and efficacy of a product candidate vary substantially according to the type, complexity, novelty and intended use and market of such product candidate. The regulatory approval process for novel product candidates such as ours is unclear and can be more expensive and take longer than for other, better known or more extensively studied product candidates. To our knowledge, only a limited number of gene transfer products have been approved for commercialization in the United States and the European Union. As a result, it is difficult to determine how long it will take or how much it will cost to obtain regulatory approvals for SGT-001 or SGT-003 in either the United States or the European Union. Approvals by the European Commission may not be indicative of what the FDA may require for approval and vice versa.</w:t>
      </w:r>
    </w:p>
    <w:p>
      <w:pPr>
        <w:spacing w:after="0" w:line="30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38"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During the conduct of clinical trials, patients may experience changes in their health, including illnesses, injuries, discomforts or a fatal outcome. Often, it is not possible to determine whether the product candidate being studied caused these conditions. For instance, we reported a serious adverse event in IGNITE DMD, which resulted in a clinical hold in November 2019, which has since been resolved, and previously the FDA had placed IGNITE DMD on clinical hold after we reported another serious adverse event. In April 2021, the eighth patient treated with SGT-001 in IGNITE DMD experienced a systemic inflammatory response which has since fully resolved. The event was classified as a serious adverse event and considered by the investigator to be drug related.</w:t>
      </w:r>
    </w:p>
    <w:p>
      <w:pPr>
        <w:spacing w:after="0" w:line="84" w:lineRule="exact"/>
        <w:rPr>
          <w:sz w:val="20"/>
          <w:szCs w:val="20"/>
          <w:color w:val="auto"/>
        </w:rPr>
      </w:pPr>
    </w:p>
    <w:p>
      <w:pPr>
        <w:ind w:right="20" w:firstLine="546"/>
        <w:spacing w:after="0" w:line="301" w:lineRule="auto"/>
        <w:rPr>
          <w:sz w:val="20"/>
          <w:szCs w:val="20"/>
          <w:color w:val="auto"/>
        </w:rPr>
      </w:pPr>
      <w:r>
        <w:rPr>
          <w:rFonts w:ascii="Arial" w:cs="Arial" w:eastAsia="Arial" w:hAnsi="Arial"/>
          <w:sz w:val="16"/>
          <w:szCs w:val="16"/>
          <w:color w:val="auto"/>
        </w:rPr>
        <w:t>In addition, it is possible that as we test SGT-001, SGT-003 or our other product candidates in larger, longer and more extensive clinical programs, or as use of these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III clinical trials or, in some cases,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right="80"/>
        <w:spacing w:after="0" w:line="263" w:lineRule="auto"/>
        <w:rPr>
          <w:sz w:val="20"/>
          <w:szCs w:val="20"/>
          <w:color w:val="auto"/>
        </w:rPr>
      </w:pPr>
      <w:r>
        <w:rPr>
          <w:rFonts w:ascii="Arial" w:cs="Arial" w:eastAsia="Arial" w:hAnsi="Arial"/>
          <w:sz w:val="18"/>
          <w:szCs w:val="18"/>
          <w:color w:val="auto"/>
        </w:rPr>
        <w:t>after they are made available to patients on a commercial scale after approval. If additional clinical experience indicates that SGT-001 or any other product candidate has side effects or causes serious or life-threatening side effects, the development of the product candidate may fail or be delayed, or, if the product candidate has received regulatory approval, such approval may be revoked.</w:t>
      </w:r>
    </w:p>
    <w:p>
      <w:pPr>
        <w:spacing w:after="0" w:line="184"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There have been several significant adverse side effects in gene therapy treatments in the past, including reported cases of leukemia and death seen in other clinical trials using other vectors. While new recombinant vectors have been developed with the intent to reduce these side effects, gene therapy is still a relatively new approach to disease treatment and additional adverse side effects could develop. More recently, there have been reports of significant adverse side effects, including muscle weakness and myocarditis, in clinical trials of other gene therapy treatments for Duchenne that may be related to the type and location of the specific gene mutation causing the disease. One clinical trial sponsor reported the death, preceded by hypovolemia and cardiogenic shock, of a non-ambulatory trial subject with advanced disease and cardiac dysfunction. There also is the potential risk of delayed adverse events following exposure to gene therapy products due to persistent biologic activity of the genetic material or other components of products used to carry the genetic material. Possible adverse side effects that may occur with treatment with gene therapy products include an immunologic reaction early after administration that could substantially limit the effectiveness of the treatment or represent safety risks for patients. Additionally, in previous clinical trials involving AAV vectors for gene therapy, some subjects experienced the development of a positive ELISPOT test associated with T-cell responses, which is of unclear clinical translatability. If T-cells are activated, the cellular immune response system may trigger the removal of transduced cells. If our gene transfer candidate demonstrates a similar effect, we may decide or be required to halt or delay further clinical development of SGT-001.</w:t>
      </w:r>
    </w:p>
    <w:p>
      <w:pPr>
        <w:spacing w:after="0" w:line="167"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As part of our preclinical program, we performed necessary good laboratory practices, or GLP, toxicology studies to establish the overall safety profile of SGT-001 in wild-type mice and non-human primates, or NHPs. The data and our conclusions from these studies were included in our IND submission to the FDA. Systemic administration of SGT-001 was generally well tolerated in both species. We observed no evidence of test-article-related toxicity for up to 13 weeks after systemic administration of SGT-001 in either species that would prevent us from initiating clinical trials. In the NHP study, test-article-related effects were self-limited, mild chemistry and hematology changes with no microscopic correlates at the end of the study. There was a transient and asymptomatic increase in liver function enzymes observed in NHPs starting on day 9, which returned to normal levels by day 21. We believe there were no other relevant test-article-related adverse events associated with SGT-001 administration in either GLP study. In the NHP toxicology study, a single animal from the high dose cohort was euthanized after it did not recover from an anesthetic procedure. We believe this event was attributed to procedural errors. However, AAV vector cannot be completely ruled out as a contributing factor to the toxicity that gave rise to the event.</w:t>
      </w:r>
    </w:p>
    <w:p>
      <w:pPr>
        <w:spacing w:after="0" w:line="166"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In addition to side effects caused by SGT-001, SGT-003 and our other product candidates, the administration process or related procedures also can cause adverse side effects. For example, integration of AAV DNA into the host cell’s genome has been reported to occur. Further, our AAV delivery system has not been validated in human clinical trials previously, and if such delivery system does not meet the safety criteria or cannot provide the desired efficacy results, then we may be forced to suspend or terminate our development of SGT-001. In addition, the relatively high dosing requirements for SGT-001 may amplify the risk of adverse side effects relating to the AAV vector. When James M. Wilson, M.D., Ph.D., resigned from our Scientific Advisory Board in early 2018 he cited emerging concerns about the possible risks of high systemic dosing of AAV. If any such adverse side effects were to occur in the future and we are unable to demonstrate that they were not caused by the administration process or related procedures, the FDA, the European Commission, the EMA or other regulatory authorities could order us to cease further development of, or deny approval of, SGT-001 or any other product candidate for any or all targeted indications. Even if we are able to demonstrate that any serious adverse events are not product-related, such occurrences could affect patient recruitment or the ability of enrolled patients to complete the clinical trial. Patients will also create antibodies to the AAV vector and a second administration of gene transfer might not be successful.</w:t>
      </w:r>
    </w:p>
    <w:p>
      <w:pPr>
        <w:spacing w:after="0" w:line="182"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Additionally, if SGT-001, SGT-003 or our other product candidates receive marketing approval, the FDA could require us to adopt a Risk Evaluation and Mitigation Strategy, or REMS, to ensure that the benefits outweigh the risks, which may include, among other things, a medication guide outlining the risks of the product for distribution to patients and a communication plan to health care practitioners. Furthermore, if we or others later identify undesirable side effects caused by SGT-001, SGT-003 or our other product candidates, several potentially significant negative consequences could result, including:</w:t>
      </w:r>
    </w:p>
    <w:p>
      <w:pPr>
        <w:spacing w:after="0" w:line="80" w:lineRule="exact"/>
        <w:rPr>
          <w:sz w:val="20"/>
          <w:szCs w:val="20"/>
          <w:color w:val="auto"/>
        </w:rPr>
      </w:pPr>
    </w:p>
    <w:p>
      <w:pPr>
        <w:ind w:left="960" w:hanging="41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ind w:left="960" w:hanging="41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never completed a clinical trial, and may be unable to do so for any product candidates we may develop, including SGT-001 and SGT-003.</w:t>
      </w:r>
    </w:p>
    <w:p>
      <w:pPr>
        <w:spacing w:after="0" w:line="140"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We will need to successfully complete clinical trials in order to obtain FDA approval to market SGT-001, SGT-003 or our other product candidates. We have limited experience in preparing, submitting and prosecuting regulatory filings, and have not previously submitted a biologics license application, or BLA, for any product candidate. We cannot be sure that submission of an IND will result in the FDA allowing clinical trials to begin or to begin as proposed, or that, once begun, issues will not arise that suspend or terminate such clinical trials. Carrying out later-stage clinical trials and the submission of a successful BLA is a complicated process. This may be particularly true for design of a pivotal trial for the treatment of Duchenne as the FDA has not given clear guidance as to the necessary endpoints for approval of a treatment for Duchenne. In addition, we cannot be certain how many clinical trials of SGT-001, SGT-003 or our other product candidates will be required or how such trials should be designed. Consequently, we may be unable to successfully and efficiently execute and complete necessary clinical trials in a way that leads to BLA submission and approval of SGT-001, SGT-003 or our other product candidates. We may require more time and incur greater costs than our competitors and may not succeed in obtaining regulatory approvals of product candidates that we develop. Failure to commence or complete, or delays in, clinical trials, could prevent us from or delay us in commercializing SGT-001, SGT-003 and our other product candidates.</w:t>
      </w:r>
    </w:p>
    <w:p>
      <w:pPr>
        <w:spacing w:after="0" w:line="182"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In the past, we have made changes to the IGNITE DMD protocol, and these changes, and any other such changes that may be made in the future, may impact our development timeline and result in increased costs and expenses.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Success in preclinical studies or early clinical trials, including our IGNITE DMD clinical trial, may not be indicative of results obtained in later trials.</w:t>
      </w:r>
    </w:p>
    <w:p>
      <w:pPr>
        <w:spacing w:after="0" w:line="140" w:lineRule="exact"/>
        <w:rPr>
          <w:sz w:val="20"/>
          <w:szCs w:val="20"/>
          <w:color w:val="auto"/>
        </w:rPr>
      </w:pPr>
    </w:p>
    <w:p>
      <w:pPr>
        <w:ind w:right="120" w:firstLine="546"/>
        <w:spacing w:after="0" w:line="270" w:lineRule="auto"/>
        <w:rPr>
          <w:sz w:val="20"/>
          <w:szCs w:val="20"/>
          <w:color w:val="auto"/>
        </w:rPr>
      </w:pPr>
      <w:r>
        <w:rPr>
          <w:rFonts w:ascii="Arial" w:cs="Arial" w:eastAsia="Arial" w:hAnsi="Arial"/>
          <w:sz w:val="17"/>
          <w:szCs w:val="17"/>
          <w:color w:val="auto"/>
        </w:rPr>
        <w:t>Results from preclinical studies or early clinical trials, including our IGNITE DMD clinical trial, are not necessarily predictive of future clinical trial results and are not necessarily indicative of final results. Our preclinical studies for SGT-001 in animals have been limited and we have only dosed a limited number of human subjects with SGT-001. There is a high failure rate for gene therapy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We also may experience regulatory delays or rejections as a result of many factors, including due to changes in regulatory policy during the period of our product candidate development. SGT-001, SGT-003 or our other product candidates may fail to show the desired safety and efficacy in clinical development despite positive results in preclinical studies. This failure could cause us to abandon SGT-001, SGT-003 or our other product candidates.</w:t>
      </w:r>
    </w:p>
    <w:p>
      <w:pPr>
        <w:spacing w:after="0" w:line="3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Preliminary or interim data that we announce or publish from time to time may change as more data become available and are subject to audit and verification procedures that could result in material changes in the final data.</w:t>
      </w:r>
    </w:p>
    <w:p>
      <w:pPr>
        <w:spacing w:after="0" w:line="62"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From time to time, we may announce or publish preliminary or interim data from clinical trials. Positive preliminary or interim data may not be predictive of such trial’s subsequent or overall results. Preliminary or interim data are subject to the risk that one or more of the outcomes may materially change as more data become available. Additionally, preliminary or interim data are subject to the risk that one or more of the clinical outcomes may materially change as patient enrollment continues and more patient data become available. Therefore, positive preliminary or interim data in any ongoing clinical trial may not be predictive of such results in the completed trial. We also make assumptions, estimations, calculations and conclusions as part of our analyses of data, and we may not have received or had the opportunity to fully evaluate all data. As a result, preliminary or interim data that we report may differ from future results from the same clinical trials, or different conclusions or considerations may qualify such results, once additional data have been received and fully evaluated. Preliminary or interim data also remain subject to audit and verification procedures that may result in the final data being materially different from the preliminary or interim data we previously published. As a result, preliminary or interim data should be viewed with caution until the final data are available. Material adverse changes in the final data compared to preliminary or interim data could significantly harm our business prospects.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right="1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Before obtaining marketing approval from regulatory authorities for the sale of SGT-001, SGT-003 or our other product candidates, we must conduct extensive clinical trials to demonstrate the safety and efficacy of the product candidate for its intended indications.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296" w:lineRule="exact"/>
        <w:rPr>
          <w:sz w:val="20"/>
          <w:szCs w:val="20"/>
          <w:color w:val="auto"/>
        </w:rPr>
      </w:pPr>
    </w:p>
    <w:p>
      <w:pPr>
        <w:ind w:left="1200" w:hanging="39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trial design;</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agreement with the appropriate external parties on dose escalation;</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enrolling patients in IGNITE DMD for SGT-001;</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in opening clinical trial sites or obtaining required IRB or independent ethics committee approval at each clinical trial site;</w:t>
      </w:r>
    </w:p>
    <w:p>
      <w:pPr>
        <w:spacing w:after="0" w:line="263" w:lineRule="exact"/>
        <w:rPr>
          <w:rFonts w:ascii="Arial" w:cs="Arial" w:eastAsia="Arial" w:hAnsi="Arial"/>
          <w:sz w:val="17"/>
          <w:szCs w:val="17"/>
          <w:color w:val="auto"/>
        </w:rPr>
      </w:pPr>
    </w:p>
    <w:p>
      <w:pPr>
        <w:ind w:left="1200" w:right="140" w:hanging="396"/>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recruiting suitable subjects to participate in our clinical trials, including because such trials may be placebo-controlled trials and patients are not guaranteed to receive treatment with our product candidates;</w:t>
      </w:r>
    </w:p>
    <w:p>
      <w:pPr>
        <w:spacing w:after="0" w:line="170" w:lineRule="exact"/>
        <w:rPr>
          <w:rFonts w:ascii="Arial" w:cs="Arial" w:eastAsia="Arial" w:hAnsi="Arial"/>
          <w:sz w:val="18"/>
          <w:szCs w:val="18"/>
          <w:color w:val="auto"/>
        </w:rPr>
      </w:pPr>
    </w:p>
    <w:p>
      <w:pPr>
        <w:ind w:left="1200" w:hanging="39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any CROs we engage or any other third parties to adhere to clinical trial requirements;</w:t>
      </w:r>
    </w:p>
    <w:p>
      <w:pPr>
        <w:spacing w:after="0" w:line="252" w:lineRule="exact"/>
        <w:rPr>
          <w:rFonts w:ascii="Arial" w:cs="Arial" w:eastAsia="Arial" w:hAnsi="Arial"/>
          <w:sz w:val="18"/>
          <w:szCs w:val="18"/>
          <w:color w:val="auto"/>
        </w:rPr>
      </w:pPr>
    </w:p>
    <w:p>
      <w:pPr>
        <w:ind w:left="1200" w:hanging="396"/>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perform in accordance with FDA good clinical practices, or GCPs, or applicable regulatory guidelines in the European Union and other countries;</w:t>
      </w:r>
    </w:p>
    <w:p>
      <w:pPr>
        <w:spacing w:after="0" w:line="170" w:lineRule="exact"/>
        <w:rPr>
          <w:rFonts w:ascii="Arial" w:cs="Arial" w:eastAsia="Arial" w:hAnsi="Arial"/>
          <w:sz w:val="18"/>
          <w:szCs w:val="18"/>
          <w:color w:val="auto"/>
        </w:rPr>
      </w:pPr>
    </w:p>
    <w:p>
      <w:pPr>
        <w:ind w:left="1200" w:right="340" w:hanging="396"/>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SGT-001, SGT-003 or our other product candidates to the clinical sites, including delays by third parties with whom we have contracted to perform certain of those functions;</w:t>
      </w:r>
    </w:p>
    <w:p>
      <w:pPr>
        <w:spacing w:after="0" w:line="170" w:lineRule="exact"/>
        <w:rPr>
          <w:rFonts w:ascii="Arial" w:cs="Arial" w:eastAsia="Arial" w:hAnsi="Arial"/>
          <w:sz w:val="18"/>
          <w:szCs w:val="18"/>
          <w:color w:val="auto"/>
        </w:rPr>
      </w:pPr>
    </w:p>
    <w:p>
      <w:pPr>
        <w:ind w:left="1200" w:hanging="39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subjects completing participation in a trial or returning for post-treatment follow-up;</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 sites or subjects dropping out of a trial;</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52" w:lineRule="exact"/>
        <w:rPr>
          <w:rFonts w:ascii="Arial" w:cs="Arial" w:eastAsia="Arial" w:hAnsi="Arial"/>
          <w:sz w:val="18"/>
          <w:szCs w:val="18"/>
          <w:color w:val="auto"/>
        </w:rPr>
      </w:pPr>
    </w:p>
    <w:p>
      <w:pPr>
        <w:ind w:left="1200" w:right="560" w:hanging="396"/>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or after an inspection of our clinical trial operations, trial sites or manufacturing facilities;</w:t>
      </w:r>
    </w:p>
    <w:p>
      <w:pPr>
        <w:spacing w:after="0" w:line="170" w:lineRule="exact"/>
        <w:rPr>
          <w:rFonts w:ascii="Arial" w:cs="Arial" w:eastAsia="Arial" w:hAnsi="Arial"/>
          <w:sz w:val="18"/>
          <w:szCs w:val="18"/>
          <w:color w:val="auto"/>
        </w:rPr>
      </w:pPr>
    </w:p>
    <w:p>
      <w:pPr>
        <w:ind w:left="1200" w:hanging="39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w:t>
      </w:r>
    </w:p>
    <w:p>
      <w:pPr>
        <w:spacing w:after="0" w:line="252" w:lineRule="exact"/>
        <w:rPr>
          <w:rFonts w:ascii="Arial" w:cs="Arial" w:eastAsia="Arial" w:hAnsi="Arial"/>
          <w:sz w:val="18"/>
          <w:szCs w:val="18"/>
          <w:color w:val="auto"/>
        </w:rPr>
      </w:pPr>
    </w:p>
    <w:p>
      <w:pPr>
        <w:ind w:left="1200" w:right="240" w:hanging="396"/>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as a result of the COVID-19 pandemic or from the outbreak of another pandemic or contagious disease or other global instability could delay IGNITE DMD, or the commencement or rate of completion of any other clinical trial; or</w:t>
      </w:r>
    </w:p>
    <w:p>
      <w:pPr>
        <w:spacing w:after="0" w:line="170" w:lineRule="exact"/>
        <w:rPr>
          <w:rFonts w:ascii="Arial" w:cs="Arial" w:eastAsia="Arial" w:hAnsi="Arial"/>
          <w:sz w:val="18"/>
          <w:szCs w:val="18"/>
          <w:color w:val="auto"/>
        </w:rPr>
      </w:pPr>
    </w:p>
    <w:p>
      <w:pPr>
        <w:ind w:left="1200" w:hanging="39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52" w:lineRule="exact"/>
        <w:rPr>
          <w:sz w:val="20"/>
          <w:szCs w:val="20"/>
          <w:color w:val="auto"/>
        </w:rPr>
      </w:pPr>
    </w:p>
    <w:p>
      <w:pPr>
        <w:ind w:right="240" w:firstLine="802"/>
        <w:spacing w:after="0" w:line="277" w:lineRule="auto"/>
        <w:rPr>
          <w:sz w:val="20"/>
          <w:szCs w:val="20"/>
          <w:color w:val="auto"/>
        </w:rPr>
      </w:pPr>
      <w:r>
        <w:rPr>
          <w:rFonts w:ascii="Arial" w:cs="Arial" w:eastAsia="Arial" w:hAnsi="Arial"/>
          <w:sz w:val="18"/>
          <w:szCs w:val="18"/>
          <w:color w:val="auto"/>
        </w:rPr>
        <w:t>Additionally, if the results of any clinical trials are inconclusive or if there are safety concerns or serious adverse events associated with SGT-001, SGT-003 or our other product candidates, we may:</w:t>
      </w:r>
    </w:p>
    <w:p>
      <w:pPr>
        <w:spacing w:after="0" w:line="170" w:lineRule="exact"/>
        <w:rPr>
          <w:sz w:val="20"/>
          <w:szCs w:val="20"/>
          <w:color w:val="auto"/>
        </w:rPr>
      </w:pPr>
    </w:p>
    <w:p>
      <w:pPr>
        <w:ind w:left="1200" w:hanging="396"/>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or fail in obtaining marketing approval for SGT-001, SGT-003 or our other product candidates;</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we intended or desired;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left="1200" w:hanging="396"/>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changes in the way our products, if approved, are administered;</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263" w:lineRule="exact"/>
        <w:rPr>
          <w:rFonts w:ascii="Arial" w:cs="Arial" w:eastAsia="Arial" w:hAnsi="Arial"/>
          <w:sz w:val="17"/>
          <w:szCs w:val="17"/>
          <w:color w:val="auto"/>
        </w:rPr>
      </w:pPr>
    </w:p>
    <w:p>
      <w:pPr>
        <w:ind w:left="1200" w:right="240" w:hanging="396"/>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modified REMS;</w:t>
      </w:r>
    </w:p>
    <w:p>
      <w:pPr>
        <w:spacing w:after="0" w:line="170" w:lineRule="exact"/>
        <w:rPr>
          <w:rFonts w:ascii="Arial" w:cs="Arial" w:eastAsia="Arial" w:hAnsi="Arial"/>
          <w:sz w:val="18"/>
          <w:szCs w:val="18"/>
          <w:color w:val="auto"/>
        </w:rPr>
      </w:pPr>
    </w:p>
    <w:p>
      <w:pPr>
        <w:ind w:left="1200" w:hanging="396"/>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sued and held liable for harm caused to patients; or</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00" w:lineRule="exact"/>
        <w:rPr>
          <w:sz w:val="20"/>
          <w:szCs w:val="20"/>
          <w:color w:val="auto"/>
        </w:rPr>
      </w:pPr>
    </w:p>
    <w:p>
      <w:pPr>
        <w:spacing w:after="0" w:line="268"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Our product development costs will increase if we experience delays in testing or marketing approvals. In addition, if we make manufacturing or other changes to SGT-001, SGT-003 or our other product candidates, we may need to conduct additional studies to bridge our modified product candidates to earlier versions. We do not know whether any of our preclinical studies or clinical trials will begin as planned, will need to be restructured or will be completed on schedule, or at all. We may also determine to change the design or protocol of one or more of our clinical trials, which we have done in the past and which could result in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3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third-party clinical trial vendors fail to comply with strict regulations, the clinical trials for SGT-001, SGT-003 or our other product candidates may be delayed or unsuccessful.</w:t>
      </w:r>
    </w:p>
    <w:p>
      <w:pPr>
        <w:spacing w:after="0" w:line="62" w:lineRule="exact"/>
        <w:rPr>
          <w:sz w:val="20"/>
          <w:szCs w:val="20"/>
          <w:color w:val="auto"/>
        </w:rPr>
      </w:pPr>
    </w:p>
    <w:p>
      <w:pPr>
        <w:ind w:right="80" w:firstLine="546"/>
        <w:spacing w:after="0" w:line="296" w:lineRule="auto"/>
        <w:rPr>
          <w:sz w:val="20"/>
          <w:szCs w:val="20"/>
          <w:color w:val="auto"/>
        </w:rPr>
      </w:pPr>
      <w:r>
        <w:rPr>
          <w:rFonts w:ascii="Arial" w:cs="Arial" w:eastAsia="Arial" w:hAnsi="Arial"/>
          <w:sz w:val="16"/>
          <w:szCs w:val="16"/>
          <w:color w:val="auto"/>
        </w:rPr>
        <w:t>We do not have the personnel capacity to conduct or manage the clinical trials that will be necessary for the development of SGT-001, SGT-003 or our other product candidates. For IGNITE DMD we are relying, and for any future clinical trials we expect we will rely, on third parties to assist us in managing, monitoring and conducting our clinical trials. If these third parties fail to comply with applicable regulations or do not adequately fulfill their obligations under the terms of our agreements with them, we may not be able to enter into alternative arrangements without undue delay or additional expenditures and, therefore, the clinical trials for SGT-001, SGT-003 or our other product candidates may be delayed or unsuccessful.</w:t>
      </w:r>
    </w:p>
    <w:p>
      <w:pPr>
        <w:spacing w:after="0" w:line="161"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Furthermore, the FDA can be expected to inspect some or all of the clinical sites participating in our clinical trials to determine if our clinical trials are being conducted according to GCPs. If the FDA determines that these clinical sites are not in compliance with applicable regulations, we may be required to delay, repeat or terminate the clinical trials.</w:t>
      </w:r>
    </w:p>
    <w:p>
      <w:pPr>
        <w:spacing w:after="0" w:line="2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SGT-001, SGT-003 or our other product candidates.</w:t>
      </w:r>
    </w:p>
    <w:p>
      <w:pPr>
        <w:spacing w:after="0" w:line="62"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Identifying and qualifying patients to participate in any clinical trials of SGT-001, SGT-003 and our other product candidates is critical to our success. The timing of any clinical trials depends on our ability to recruit patients to participate as well as complete required follow-up periods. If patients are unwilling or unable to participate in our gene therapy clinical trials, including because of negative publicity from adverse events related to our product candidates, other approved gene therapies or the biotechnology or gene therapy fields, or due to competitive clinical trials for similar patient populations, clinical trials in products employing our vector or our platform or for other reasons, the timeline for recruiting patients, conducting clinical trials and obtaining regulatory approval of SGT-001 may be delayed. We may also experience delays if patients withdraw from the clinical trial or do not complete the required monitoring period. Furthermore, we may face difficulties in recruiting patients to enroll in, or retaining patients in, IGNITE DMD if they or their caretakers are affected by the COVID-19 virus or are fearful of traveling to, or are unable to travel to, our clinical trial sites because of the COVID-19 pandemic. These delays could result in increased costs, delays in advancing SGT-001, SGT-003 or our other product candidates, delays in testing the effectiveness of SGT-001, SGT-003 and our other product candidates or termination of clinical trials altogether.</w:t>
      </w:r>
    </w:p>
    <w:p>
      <w:pPr>
        <w:spacing w:after="0" w:line="168" w:lineRule="exact"/>
        <w:rPr>
          <w:sz w:val="20"/>
          <w:szCs w:val="20"/>
          <w:color w:val="auto"/>
        </w:rPr>
      </w:pPr>
    </w:p>
    <w:p>
      <w:pPr>
        <w:ind w:right="100" w:firstLine="546"/>
        <w:spacing w:after="0" w:line="258"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any clinical trials in a timely manner. Patient enrollment and trial completion is affected by many factors, including:</w:t>
      </w:r>
    </w:p>
    <w:p>
      <w:pPr>
        <w:spacing w:after="0" w:line="1" w:lineRule="exact"/>
        <w:rPr>
          <w:sz w:val="20"/>
          <w:szCs w:val="20"/>
          <w:color w:val="auto"/>
        </w:rPr>
      </w:pPr>
    </w:p>
    <w:p>
      <w:pPr>
        <w:ind w:left="1200" w:hanging="396"/>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size of the patient population and the process for identifying subjects;</w:t>
      </w:r>
    </w:p>
    <w:p>
      <w:pPr>
        <w:spacing w:after="0" w:line="237" w:lineRule="exact"/>
        <w:rPr>
          <w:rFonts w:ascii="Arial" w:cs="Arial" w:eastAsia="Arial" w:hAnsi="Arial"/>
          <w:sz w:val="18"/>
          <w:szCs w:val="18"/>
          <w:color w:val="auto"/>
        </w:rPr>
      </w:pPr>
    </w:p>
    <w:p>
      <w:pPr>
        <w:ind w:left="1200" w:hanging="396"/>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3" w:name="page54"/>
    <w:bookmarkEnd w:id="53"/>
    <w:p>
      <w:pPr>
        <w:ind w:left="1200" w:right="420" w:hanging="396"/>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eligibility and exclusion criteria, including that some patients may have pre-existing antibodies to AAV vectors precluding them from being able to receive AAV-mediated gene transfer;</w:t>
      </w:r>
    </w:p>
    <w:p>
      <w:pPr>
        <w:spacing w:after="0" w:line="170" w:lineRule="exact"/>
        <w:rPr>
          <w:rFonts w:ascii="Arial" w:cs="Arial" w:eastAsia="Arial" w:hAnsi="Arial"/>
          <w:sz w:val="18"/>
          <w:szCs w:val="18"/>
          <w:color w:val="auto"/>
        </w:rPr>
      </w:pPr>
    </w:p>
    <w:p>
      <w:pPr>
        <w:ind w:left="1200" w:hanging="39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and partial clinical holds on ongoing or planned clinical trials;</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the treatment of diseases;</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release or disclosure of data from our completed or ongoing clinical trials;</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severity of the disease;</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 and</w:t>
      </w:r>
    </w:p>
    <w:p>
      <w:pPr>
        <w:spacing w:after="0" w:line="252" w:lineRule="exact"/>
        <w:rPr>
          <w:rFonts w:ascii="Arial" w:cs="Arial" w:eastAsia="Arial" w:hAnsi="Arial"/>
          <w:sz w:val="18"/>
          <w:szCs w:val="18"/>
          <w:color w:val="auto"/>
        </w:rPr>
      </w:pPr>
    </w:p>
    <w:p>
      <w:pPr>
        <w:ind w:left="1200" w:hanging="396"/>
        <w:spacing w:after="0"/>
        <w:tabs>
          <w:tab w:leader="none" w:pos="1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case of pivotal trials, the risk that patients may opt not to enroll because they are not assured treatment with our product candidate.</w:t>
      </w:r>
    </w:p>
    <w:p>
      <w:pPr>
        <w:spacing w:after="0" w:line="200" w:lineRule="exact"/>
        <w:rPr>
          <w:sz w:val="20"/>
          <w:szCs w:val="20"/>
          <w:color w:val="auto"/>
        </w:rPr>
      </w:pPr>
    </w:p>
    <w:p>
      <w:pPr>
        <w:spacing w:after="0" w:line="29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In November 2019, the FDA placed our IGNITE DMD clinical trial of SGT-001 on clinical hold following our report of a serious adverse event in the clinical trial. In April 2020, we submitted a response to the FDA, that included changes to the clinical protocol designed to potentially enhance patient safety, as well as information related to improvements to our manufacturing process. The FDA responded by maintaining the clinical hold and requesting further data and analyses relating to this manufacturing process. In June 2020, we submitted a response to the FDA that provided data and analyses related to improvements to our manufacturing process. In July 2020, we announced that the FDA responded by maintaining the clinical hold and requesting further manufacturing information and updated safety and efficacy data for all patients dosed in the trial, as well as providing direction on the total viral load to be administered per patient. In October 2020, we announced that the FDA lifted the clinical hold placed on the IGNITE DMD clinical trial. Even though the FDA lifted the clinical hold, additional preclinical studies or clinical trials involving SGT-001, further amendments to the SGT-001 enrollment criteria and/or clinical trial protocol, beyond the strengthened risk mitigation plan including new patient management guidance implemented in 2021, or changes to our manufacturing process may be needed from time to time, which may prove difficult to implement and/or complete, and we may face difficulties in recruiting and enrolling such patients. Our ability to successfully initiate, enroll and complete a clinical trial in any foreign country is subject to numerous risks unique to conducting business in foreign countries, including:</w:t>
      </w:r>
    </w:p>
    <w:p>
      <w:pPr>
        <w:spacing w:after="0" w:line="71" w:lineRule="exact"/>
        <w:rPr>
          <w:sz w:val="20"/>
          <w:szCs w:val="20"/>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absence in some countries of established groups with sufficient regulatory expertise for review of gene therapy protocols;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identifying and partnering with qualified local consultants, physicians and partners; and</w:t>
      </w:r>
    </w:p>
    <w:p>
      <w:pPr>
        <w:spacing w:after="0" w:line="144" w:lineRule="exact"/>
        <w:rPr>
          <w:rFonts w:ascii="Arial" w:cs="Arial" w:eastAsia="Arial" w:hAnsi="Arial"/>
          <w:sz w:val="18"/>
          <w:szCs w:val="18"/>
          <w:color w:val="auto"/>
        </w:rPr>
      </w:pPr>
    </w:p>
    <w:p>
      <w:pPr>
        <w:ind w:left="960" w:right="180" w:hanging="412"/>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research and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4" w:name="page55"/>
    <w:bookmarkEnd w:id="54"/>
    <w:p>
      <w:pPr>
        <w:ind w:right="6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clinical trials, we cannot predict when, or if, we will obtain regulatory approval to commercialize SGT-001, SGT-003 or our other product candidates and the approval may be for a more narrow indication than we seek.</w:t>
      </w:r>
    </w:p>
    <w:p>
      <w:pPr>
        <w:spacing w:after="0" w:line="38"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We cannot commercialize SGT-001, SGT-003 or our other product candidates until the appropriate regulatory authorities have reviewed and approved the product candidate.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regulatory review process.</w:t>
      </w:r>
    </w:p>
    <w:p>
      <w:pPr>
        <w:spacing w:after="0" w:line="178" w:lineRule="exact"/>
        <w:rPr>
          <w:sz w:val="20"/>
          <w:szCs w:val="20"/>
          <w:color w:val="auto"/>
        </w:rPr>
      </w:pPr>
    </w:p>
    <w:p>
      <w:pPr>
        <w:ind w:right="100" w:firstLine="546"/>
        <w:spacing w:after="0" w:line="275" w:lineRule="auto"/>
        <w:rPr>
          <w:sz w:val="20"/>
          <w:szCs w:val="20"/>
          <w:color w:val="auto"/>
        </w:rPr>
      </w:pPr>
      <w:r>
        <w:rPr>
          <w:rFonts w:ascii="Arial" w:cs="Arial" w:eastAsia="Arial" w:hAnsi="Arial"/>
          <w:sz w:val="17"/>
          <w:szCs w:val="17"/>
          <w:color w:val="auto"/>
        </w:rPr>
        <w:t>Even if we receive regulatory approval, regulatory authorities may approve a product candidate for more limited indications than requested or they may impose significant limitations in the form of narrow indications, warnings or a REMS.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 candidates will remain subject to regulatory oversight.</w:t>
      </w:r>
    </w:p>
    <w:p>
      <w:pPr>
        <w:spacing w:after="0" w:line="117"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Even if we obtain any regulatory approval for SGT-001, SGT-003 or our other product candidates, we will be subject to ongoing regulatory requirements for manufacturing, labeling, packaging, storage, advertising, promotion, sampling, record-keeping and submission of safety and other post-market information. Any regulatory approvals that we receive for our product candidates may also be subject to a REMS, limitations on the approved indicated uses for which the product may be marketed or conditions of approval, or requirements for potentially costly post-marketing testing, including Phase IV clinical trials, and surveillance to monitor the quality, safety and efficacy of the product. Advertising and promotional materials must comply with FDA rules and are subject to FDA review, in addition to other potentially applicable federal and state laws.</w:t>
      </w:r>
    </w:p>
    <w:p>
      <w:pPr>
        <w:spacing w:after="0" w:line="70"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44"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140" w:firstLine="546"/>
        <w:spacing w:after="0" w:line="254"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92"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 Further, similar restrictions apply to approved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 and the marketing and promotion of authorized drugs, which are strictly regulated in the EU and are also subject to EU Member State laws.</w:t>
      </w:r>
    </w:p>
    <w:p>
      <w:pPr>
        <w:spacing w:after="0" w:line="192"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Accordingly, in connection with our currently approved products and assuming we, or our collaborators, receive marketing approval for one or more of our product candidates, we, and our collaborators, and our and their contract manufacturers will continue to expend time, money and effort in all areas of regulatory compliance, including manufacturing, production, product surveillance and quality control. If we, and our collaborators, are not able to comply with post-approval regulatory requirements, our or our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30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Even if we obtain and maintain approval for SGT-001, SGT-003 or our other product candidates from the FDA, we may never obtain approval for our product candidates outside of the United States, which would limit our market opportunities and adversely affect our business.</w:t>
      </w:r>
    </w:p>
    <w:p>
      <w:pPr>
        <w:spacing w:after="0" w:line="16"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Even if we receive FDA approval of SGT-001, SGT-003 or our other product candidates in the United States, 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Future sales of our product candidates outside of the United States will be subject to foreign regulatory requirements governing clinical trials, manufacturing and marketing approval.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We intend to submit a marketing authorization application, or MAA, to the EMA for approval of SGT-001 in the European Union, but obtaining such approval from the European Commission following the opinion of the EMA is a lengthy and expensive process.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SGT-001, SGT-003 or our other product candidates in certain countries.</w:t>
      </w:r>
    </w:p>
    <w:p>
      <w:pPr>
        <w:spacing w:after="0" w:line="179" w:lineRule="exact"/>
        <w:rPr>
          <w:sz w:val="20"/>
          <w:szCs w:val="20"/>
          <w:color w:val="auto"/>
        </w:rPr>
      </w:pPr>
    </w:p>
    <w:p>
      <w:pPr>
        <w:jc w:val="both"/>
        <w:ind w:right="20" w:firstLine="546"/>
        <w:spacing w:after="0" w:line="263" w:lineRule="auto"/>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Also, regulatory approval for SGT-001, SGT-003 or our other product candidates may be withdrawn. If we fail to comply with the regulatory requirements, our target market will be reduced, and our ability to realize the full market potential of our product candidates will be harmed.</w:t>
      </w:r>
    </w:p>
    <w:p>
      <w:pPr>
        <w:spacing w:after="0" w:line="184"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Additionally, we could face heightened risks with respect to seeking marketing approval in the United Kingdom as a result of the withdrawal of the United Kingdom from the EU, commonly referred to as Brexit. The United Kingdom is no longer part of the European Single Market and European Union Customs Union. As of January 1, 2021, the Medicines and Healthcare products Regulatory Agency, or the MHRA, became responsible for supervising medicines and medical devices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ind w:right="320"/>
        <w:spacing w:after="0" w:line="259" w:lineRule="auto"/>
        <w:rPr>
          <w:sz w:val="20"/>
          <w:szCs w:val="20"/>
          <w:color w:val="auto"/>
        </w:rPr>
      </w:pPr>
      <w:r>
        <w:rPr>
          <w:rFonts w:ascii="Arial" w:cs="Arial" w:eastAsia="Arial" w:hAnsi="Arial"/>
          <w:sz w:val="18"/>
          <w:szCs w:val="18"/>
          <w:color w:val="auto"/>
        </w:rPr>
        <w:t>in Great Britain, comprising England, Scotland and Wales under domestic law, whereas Northern Ireland will continue to be subject to European Union rules under the Northern Ireland Protocol. Any delay in obtaining, or an inability to obtain, any marketing approvals, as a result of Brexit or otherwise, may force us to restrict or delay efforts to seek regulatory approval in the United Kingdom for our product candidates, which could significantly and materially harm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requirements governing gene therapy products are periodically updated and may continue to change in the future.</w:t>
      </w:r>
    </w:p>
    <w:p>
      <w:pPr>
        <w:spacing w:after="0" w:line="117"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The FDA has established the Office of Tissues and Advanced Therapies, or the OTAT, within the Center for Biologics Evaluation and Research, or the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U.S. National Institutes of Health, or the NIH, also are potentially subject to review by the Office of Biotechnology Activities’ Recombinant DNA Advisory Committee, or the RAC; however, the NIH announced that the RAC will only publicly review clinical trials if the trials cannot be evaluated by standard oversight bodies and pose unusual risks. Although the FDA decides whether individual gene therapy protocols may proceed, the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an NIH-funded institution to conduct a clinical trial, that institution’s institutional biosafety committee, or IBC, as well as its IRB would need to review the proposed clinical trial to assess the safety of the trial. In addition, adverse developments in clinical trials of gene therapy products conducted by others may cause the FDA or other oversight bodies to change the requirements for approval of our product candidates.</w:t>
      </w:r>
    </w:p>
    <w:p>
      <w:pPr>
        <w:spacing w:after="0" w:line="172"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The FDA has issued various guidance documents regarding gene therapies, including final guidance documents released in January 2020 relating to chemistry, manufacturing and controls information for gene therapy INDs, gene therapies for rare diseases and gene therapies for retinal disorders.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w:t>
      </w:r>
    </w:p>
    <w:p>
      <w:pPr>
        <w:spacing w:after="0" w:line="185" w:lineRule="exact"/>
        <w:rPr>
          <w:sz w:val="20"/>
          <w:szCs w:val="20"/>
          <w:color w:val="auto"/>
        </w:rPr>
      </w:pPr>
    </w:p>
    <w:p>
      <w:pPr>
        <w:ind w:right="160" w:firstLine="546"/>
        <w:spacing w:after="0" w:line="293" w:lineRule="auto"/>
        <w:rPr>
          <w:sz w:val="20"/>
          <w:szCs w:val="20"/>
          <w:color w:val="auto"/>
        </w:rPr>
      </w:pPr>
      <w:r>
        <w:rPr>
          <w:rFonts w:ascii="Arial" w:cs="Arial" w:eastAsia="Arial" w:hAnsi="Arial"/>
          <w:sz w:val="16"/>
          <w:szCs w:val="16"/>
          <w:color w:val="auto"/>
        </w:rPr>
        <w:t>Further, for a gene therapy product, the FDA also will not approve the product if the manufacturer is not in compliance with good tissue practices, or GTP. These standards are found in FDA regulations and guidances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Similarly, the EMA may issue new guidelines concerning the development and marketing authorization for gene therapy products and require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comply with these new guidelines. The grant of marketing authorization in the European Union for gene therapy products is governed by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Regulation 1394/2007/EC on advanced therapy medicinal products, read in combination with Directive 2001/83/EC of the European Parliament and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Council, commonly known as the Community code on medicinal products. Regulation 1394/2007/EC includes specific rules concerning the authorization,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supervision, and pharmacovigilance of gene therapy medicinal products. Manufacturers of advanced therapy medicinal products must demonstrate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quality, safety, and efficacy of their products to the EMA, which provides an opinion regarding the MAA. The European Commission grants or refuses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authorization in light of the opinion delivered by the EMA.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right="20" w:firstLine="546"/>
        <w:spacing w:after="0" w:line="273" w:lineRule="auto"/>
        <w:rPr>
          <w:sz w:val="20"/>
          <w:szCs w:val="20"/>
          <w:color w:val="auto"/>
        </w:rPr>
      </w:pPr>
      <w:r>
        <w:rPr>
          <w:rFonts w:ascii="Arial" w:cs="Arial" w:eastAsia="Arial" w:hAnsi="Arial"/>
          <w:sz w:val="17"/>
          <w:szCs w:val="17"/>
          <w:color w:val="auto"/>
        </w:rPr>
        <w:t>Finally,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product 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we advance our product candidates through clinical development,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SGT-001, SGT-003 or our other product candidates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benefit from orphan drug designation for SGT-001 or any of our product candidates.</w:t>
      </w:r>
    </w:p>
    <w:p>
      <w:pPr>
        <w:spacing w:after="0" w:line="117" w:lineRule="exact"/>
        <w:rPr>
          <w:sz w:val="20"/>
          <w:szCs w:val="20"/>
          <w:color w:val="auto"/>
        </w:rPr>
      </w:pPr>
    </w:p>
    <w:p>
      <w:pPr>
        <w:ind w:right="80" w:firstLine="546"/>
        <w:spacing w:after="0" w:line="301" w:lineRule="auto"/>
        <w:rPr>
          <w:sz w:val="20"/>
          <w:szCs w:val="20"/>
          <w:color w:val="auto"/>
        </w:rPr>
      </w:pPr>
      <w:r>
        <w:rPr>
          <w:rFonts w:ascii="Arial" w:cs="Arial" w:eastAsia="Arial" w:hAnsi="Arial"/>
          <w:sz w:val="16"/>
          <w:szCs w:val="16"/>
          <w:color w:val="auto"/>
        </w:rPr>
        <w:t>The FDA and EMA granted SGT-001 orphan drug designation for the treatment of Duchenne in August 2016 and September 2016, respectively. The designation of SGT-001 as an orphan drug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 prior to our product candidate receiving exclusive marketing approval.</w:t>
      </w:r>
    </w:p>
    <w:p>
      <w:pPr>
        <w:spacing w:after="0" w:line="157"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We may lose orphan drug exclusivity if the FDA or EMA determines that the request for designation was materially defective or if we cannot assure sufficient quantity of the applicable drug to meet the needs of patients with Duchenne.</w:t>
      </w:r>
    </w:p>
    <w:p>
      <w:pPr>
        <w:spacing w:after="0" w:line="170"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Even if we maintain orphan drug exclusivity for SGT-001 or obtain orphan drug exclusivity for any other product candidate, the exclusivity may not effectively protect the product candidate from competition because regulatory authorities still may authorize different drugs for the same condition or the same drug for the same condition if it is determined by the FDA to be clinically superior to the product with orphan drug exclusivity. Moreover, the concept of what constitutes the “same drug” for purposes of orphan drug exclusivity remains in flux in the context of gene therapies, and the FDA issued final guidance in September 2021 suggesting that it would not consider two gene therapy products to be different drugs solely based on minor differences in the transgenes or vectors.</w:t>
      </w:r>
    </w:p>
    <w:p>
      <w:pPr>
        <w:spacing w:after="0" w:line="192" w:lineRule="exact"/>
        <w:rPr>
          <w:sz w:val="20"/>
          <w:szCs w:val="20"/>
          <w:color w:val="auto"/>
        </w:rPr>
      </w:pPr>
    </w:p>
    <w:p>
      <w:pPr>
        <w:ind w:right="40" w:firstLine="546"/>
        <w:spacing w:after="0" w:line="296" w:lineRule="auto"/>
        <w:rPr>
          <w:sz w:val="20"/>
          <w:szCs w:val="20"/>
          <w:color w:val="auto"/>
        </w:rPr>
      </w:pPr>
      <w:r>
        <w:rPr>
          <w:rFonts w:ascii="Arial" w:cs="Arial" w:eastAsia="Arial" w:hAnsi="Arial"/>
          <w:sz w:val="16"/>
          <w:szCs w:val="16"/>
          <w:color w:val="auto"/>
        </w:rPr>
        <w:t>The FDA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Agency to mean the “indication or use.”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1" w:lineRule="exact"/>
        <w:rPr>
          <w:sz w:val="20"/>
          <w:szCs w:val="20"/>
          <w:color w:val="auto"/>
        </w:rPr>
      </w:pPr>
    </w:p>
    <w:p>
      <w:pPr>
        <w:ind w:right="640" w:firstLine="546"/>
        <w:spacing w:after="0" w:line="342" w:lineRule="auto"/>
        <w:rPr>
          <w:sz w:val="20"/>
          <w:szCs w:val="20"/>
          <w:color w:val="auto"/>
        </w:rPr>
      </w:pPr>
      <w:r>
        <w:rPr>
          <w:rFonts w:ascii="Arial" w:cs="Arial" w:eastAsia="Arial" w:hAnsi="Arial"/>
          <w:sz w:val="16"/>
          <w:szCs w:val="16"/>
          <w:b w:val="1"/>
          <w:bCs w:val="1"/>
          <w:i w:val="1"/>
          <w:iCs w:val="1"/>
          <w:color w:val="auto"/>
        </w:rPr>
        <w:t>We may seek a breakthrough therapy designation for SGT-001, SGT-003 or our other product candidates, but we might not receive such designation, and even if we do, such designation may not lead to a faster development or regulatory review or approval process.</w:t>
      </w:r>
    </w:p>
    <w:p>
      <w:pPr>
        <w:spacing w:after="0" w:line="16" w:lineRule="exact"/>
        <w:rPr>
          <w:sz w:val="20"/>
          <w:szCs w:val="20"/>
          <w:color w:val="auto"/>
        </w:rPr>
      </w:pPr>
    </w:p>
    <w:p>
      <w:pPr>
        <w:ind w:right="180" w:firstLine="546"/>
        <w:spacing w:after="0" w:line="290" w:lineRule="auto"/>
        <w:rPr>
          <w:sz w:val="20"/>
          <w:szCs w:val="20"/>
          <w:color w:val="auto"/>
        </w:rPr>
      </w:pPr>
      <w:r>
        <w:rPr>
          <w:rFonts w:ascii="Arial" w:cs="Arial" w:eastAsia="Arial" w:hAnsi="Arial"/>
          <w:sz w:val="16"/>
          <w:szCs w:val="16"/>
          <w:color w:val="auto"/>
        </w:rPr>
        <w:t>We may seek a breakthrough therapy designation for SGT-001, SGT-003 or our other product candidates; however, we cannot assure our stockholders that SGT-001, SGT-003 or our other product candidates will meet the criteria for that designation. A breakthrough therapy is defined as a therapy that is intended, alone or in combination with one or more other therapies, to treat a serious condition, and preliminary clinical evidence indicates that the therapy may demonstrate substantial improvement over existing therapies on one or more clinically significant endpoints, such as substantial treatment effects observed early in clinical development. For therapies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priority review if supported by clinical data at the time the new drug application is submitted to the FDA.</w:t>
      </w:r>
    </w:p>
    <w:p>
      <w:pPr>
        <w:spacing w:after="0" w:line="165"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 compared to drugs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ind w:right="280"/>
        <w:spacing w:after="0" w:line="263" w:lineRule="auto"/>
        <w:rPr>
          <w:sz w:val="20"/>
          <w:szCs w:val="20"/>
          <w:color w:val="auto"/>
        </w:rPr>
      </w:pPr>
      <w:r>
        <w:rPr>
          <w:rFonts w:ascii="Arial" w:cs="Arial" w:eastAsia="Arial" w:hAnsi="Arial"/>
          <w:sz w:val="18"/>
          <w:szCs w:val="18"/>
          <w:color w:val="auto"/>
        </w:rPr>
        <w:t>considered for approval under conventional FDA procedures and does not assure ultimate approval by the FDA. In addition, even if one or more of our product candidates qualifies as a breakthrough therapy, the FDA may later decide that the product candidate no longer meets the conditions for qualification or decide that the time period for FDA review or approval will not be shortened.</w:t>
      </w:r>
    </w:p>
    <w:p>
      <w:pPr>
        <w:spacing w:after="0" w:line="292" w:lineRule="exact"/>
        <w:rPr>
          <w:sz w:val="20"/>
          <w:szCs w:val="20"/>
          <w:color w:val="auto"/>
        </w:rPr>
      </w:pPr>
    </w:p>
    <w:p>
      <w:pPr>
        <w:ind w:right="400"/>
        <w:spacing w:after="0" w:line="375" w:lineRule="auto"/>
        <w:rPr>
          <w:sz w:val="20"/>
          <w:szCs w:val="20"/>
          <w:color w:val="auto"/>
        </w:rPr>
      </w:pPr>
      <w:r>
        <w:rPr>
          <w:rFonts w:ascii="Arial" w:cs="Arial" w:eastAsia="Arial" w:hAnsi="Arial"/>
          <w:sz w:val="15"/>
          <w:szCs w:val="15"/>
          <w:b w:val="1"/>
          <w:bCs w:val="1"/>
          <w:i w:val="1"/>
          <w:iCs w:val="1"/>
          <w:color w:val="auto"/>
        </w:rPr>
        <w:t>Accelerated approval by the FDA, even if granted for SGT-001, SGT-003 or our other product candidates, may not lead to a faster development or regulatory review or approval process and it does not increase the likelihood that our product candidates will receive marketing approval.</w:t>
      </w:r>
    </w:p>
    <w:p>
      <w:pPr>
        <w:spacing w:after="0" w:line="1" w:lineRule="exact"/>
        <w:rPr>
          <w:sz w:val="20"/>
          <w:szCs w:val="20"/>
          <w:color w:val="auto"/>
        </w:rPr>
      </w:pPr>
    </w:p>
    <w:p>
      <w:pPr>
        <w:ind w:right="40" w:firstLine="546"/>
        <w:spacing w:after="0" w:line="291" w:lineRule="auto"/>
        <w:rPr>
          <w:sz w:val="20"/>
          <w:szCs w:val="20"/>
          <w:color w:val="auto"/>
        </w:rPr>
      </w:pPr>
      <w:r>
        <w:rPr>
          <w:rFonts w:ascii="Arial" w:cs="Arial" w:eastAsia="Arial" w:hAnsi="Arial"/>
          <w:sz w:val="16"/>
          <w:szCs w:val="16"/>
          <w:color w:val="auto"/>
        </w:rPr>
        <w:t>We may seek approval of SGT-001, SGT-003 or our other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The FDA or other applicable regulatory agency makes the determination regarding whether a surrogate endpoint is reasonably likely to predict long-term clinical benefit. Given that expression of microdystrophin has not yet been established to predict long-term clinical benefit, it is not currently accepted, and it is possible the FDA and/or other applicable regulatory agencies could decide never to accept it, as a surrogate endpoint for the accelerated approval pathway.</w:t>
      </w:r>
    </w:p>
    <w:p>
      <w:pPr>
        <w:spacing w:after="0" w:line="166"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As a condition of approval, the FDA may require that a sponsor of a drug or biologic product candidate receiving accelerated approval perform adequate and well-controlled post-marketing clinical trials. 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84" w:lineRule="exact"/>
        <w:rPr>
          <w:sz w:val="20"/>
          <w:szCs w:val="20"/>
          <w:color w:val="auto"/>
        </w:rPr>
      </w:pPr>
    </w:p>
    <w:p>
      <w:pPr>
        <w:ind w:right="540"/>
        <w:spacing w:after="0" w:line="375" w:lineRule="auto"/>
        <w:rPr>
          <w:sz w:val="20"/>
          <w:szCs w:val="20"/>
          <w:color w:val="auto"/>
        </w:rPr>
      </w:pPr>
      <w:r>
        <w:rPr>
          <w:rFonts w:ascii="Arial" w:cs="Arial" w:eastAsia="Arial" w:hAnsi="Arial"/>
          <w:sz w:val="15"/>
          <w:szCs w:val="15"/>
          <w:b w:val="1"/>
          <w:bCs w:val="1"/>
          <w:i w:val="1"/>
          <w:iCs w:val="1"/>
          <w:color w:val="auto"/>
        </w:rPr>
        <w:t>A potential regenerative medicine advanced therapy designation by the FDA for our product candidates may not lead to a faster development or regulatory review or approval process, and it does not increase the likelihood that our product candidates will receive marketing approval.</w:t>
      </w:r>
    </w:p>
    <w:p>
      <w:pPr>
        <w:spacing w:after="0" w:line="1"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We may seek a regenerative medicine advanced therapy designation, or RMAT, for some of our product candidates. A regenerative medicine advanced therapy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regenerative medicine advanced therapy program is intended to facilitate efficient development and expedite review of regenerative medicine advanced therapies, which are intended to treat, modify, reverse, or cure a serious or life-threatening disease or condition. A new drug application or a BLA for a regenerative medicine advanced therapy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179" w:lineRule="exact"/>
        <w:rPr>
          <w:sz w:val="20"/>
          <w:szCs w:val="20"/>
          <w:color w:val="auto"/>
        </w:rPr>
      </w:pPr>
    </w:p>
    <w:p>
      <w:pPr>
        <w:ind w:right="140" w:firstLine="546"/>
        <w:spacing w:after="0" w:line="273" w:lineRule="auto"/>
        <w:rPr>
          <w:sz w:val="20"/>
          <w:szCs w:val="20"/>
          <w:color w:val="auto"/>
        </w:rPr>
      </w:pPr>
      <w:r>
        <w:rPr>
          <w:rFonts w:ascii="Arial" w:cs="Arial" w:eastAsia="Arial" w:hAnsi="Arial"/>
          <w:sz w:val="17"/>
          <w:szCs w:val="17"/>
          <w:color w:val="auto"/>
        </w:rPr>
        <w:t>Designation as a regenerative medicine advanced therapy is within the discretion of the FDA. Accordingly, even if we believe one of our product candidates meets the criteria for designation as a regenerative medicine advanced therapy, the FDA may disagree and instead determine not to make such designation. In any event, the receipt of a regenerative medicine advanced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regenerative medicine advanced therapies, the FDA may later decide that the biological products no longer meet the conditions for qualification.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59" w:name="page60"/>
    <w:bookmarkEnd w:id="59"/>
    <w:p>
      <w:pPr>
        <w:ind w:right="140"/>
        <w:spacing w:after="0" w:line="308" w:lineRule="auto"/>
        <w:rPr>
          <w:sz w:val="20"/>
          <w:szCs w:val="20"/>
          <w:color w:val="auto"/>
        </w:rPr>
      </w:pPr>
      <w:r>
        <w:rPr>
          <w:rFonts w:ascii="Arial" w:cs="Arial" w:eastAsia="Arial" w:hAnsi="Arial"/>
          <w:sz w:val="17"/>
          <w:szCs w:val="17"/>
          <w:b w:val="1"/>
          <w:bCs w:val="1"/>
          <w:i w:val="1"/>
          <w:iCs w:val="1"/>
          <w:color w:val="auto"/>
        </w:rPr>
        <w:t>We may seek PRIME Designation in the EU for one or more of our product candidates but we might not receive such designations and, even if we do, such designations may not lead to a faster development or regulatory review or approval process.</w:t>
      </w:r>
    </w:p>
    <w:p>
      <w:pPr>
        <w:spacing w:after="0" w:line="146" w:lineRule="exact"/>
        <w:rPr>
          <w:sz w:val="20"/>
          <w:szCs w:val="20"/>
          <w:color w:val="auto"/>
        </w:rPr>
      </w:pPr>
    </w:p>
    <w:p>
      <w:pPr>
        <w:ind w:right="60" w:firstLine="546"/>
        <w:spacing w:after="0" w:line="272" w:lineRule="auto"/>
        <w:rPr>
          <w:sz w:val="20"/>
          <w:szCs w:val="20"/>
          <w:color w:val="auto"/>
        </w:rPr>
      </w:pPr>
      <w:r>
        <w:rPr>
          <w:rFonts w:ascii="Arial" w:cs="Arial" w:eastAsia="Arial" w:hAnsi="Arial"/>
          <w:sz w:val="17"/>
          <w:szCs w:val="17"/>
          <w:color w:val="auto"/>
        </w:rPr>
        <w:t>In the EU, we may seek PRIME designation for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285"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3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FDA has granted Rare Pediatric Disease Designation to SGT-001; however, a BLA for SGT-001 may not meet the eligibility criteria for a priority review voucher upon approval.</w:t>
      </w:r>
    </w:p>
    <w:p>
      <w:pPr>
        <w:spacing w:after="0" w:line="62" w:lineRule="exact"/>
        <w:rPr>
          <w:sz w:val="20"/>
          <w:szCs w:val="20"/>
          <w:color w:val="auto"/>
        </w:rPr>
      </w:pPr>
    </w:p>
    <w:p>
      <w:pPr>
        <w:ind w:right="60" w:firstLine="546"/>
        <w:spacing w:after="0" w:line="272" w:lineRule="auto"/>
        <w:rPr>
          <w:sz w:val="20"/>
          <w:szCs w:val="20"/>
          <w:color w:val="auto"/>
        </w:rPr>
      </w:pPr>
      <w:r>
        <w:rPr>
          <w:rFonts w:ascii="Arial" w:cs="Arial" w:eastAsia="Arial" w:hAnsi="Arial"/>
          <w:sz w:val="17"/>
          <w:szCs w:val="17"/>
          <w:color w:val="auto"/>
        </w:rPr>
        <w:t>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w:t>
      </w:r>
    </w:p>
    <w:p>
      <w:pPr>
        <w:spacing w:after="0" w:line="177" w:lineRule="exact"/>
        <w:rPr>
          <w:sz w:val="20"/>
          <w:szCs w:val="20"/>
          <w:color w:val="auto"/>
        </w:rPr>
      </w:pPr>
    </w:p>
    <w:p>
      <w:pPr>
        <w:ind w:right="180" w:firstLine="546"/>
        <w:spacing w:after="0" w:line="291" w:lineRule="auto"/>
        <w:rPr>
          <w:sz w:val="20"/>
          <w:szCs w:val="20"/>
          <w:color w:val="auto"/>
        </w:rPr>
      </w:pPr>
      <w:r>
        <w:rPr>
          <w:rFonts w:ascii="Arial" w:cs="Arial" w:eastAsia="Arial" w:hAnsi="Arial"/>
          <w:sz w:val="16"/>
          <w:szCs w:val="16"/>
          <w:color w:val="auto"/>
        </w:rPr>
        <w:t>For the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w:t>
      </w:r>
    </w:p>
    <w:p>
      <w:pPr>
        <w:ind w:right="60" w:firstLine="8"/>
        <w:spacing w:after="0" w:line="255"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rare disease or conditions within the meaning of the Orphan Drug Act. The FDA has granted Rare Pediatric Disease designation to SGT-001. The FDA may determine, however, that a BLA for SGT-001, SGT-003 or our other product candidates does not meet the eligibility criteria for a priority review voucher upon approval.</w:t>
      </w:r>
    </w:p>
    <w:p>
      <w:pPr>
        <w:spacing w:after="0" w:line="190"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The passage of the 21st Century Cures Act in December 2016 extended the Rare Pediatric Disease Priority Review Voucher Program, authorizing the FDA to award vouchers through September 30, 2022, for drugs with rare pediatric disease designation granted by September 30, 2020. On September 30, 2020, Congress provided a short-term extension of the Priority Review Voucher Program. On December 27, 2020, the Rare Pediatric Disease Priority Review Voucher Program was further extended. Under the current statutory sunset provisions, after September 30, 2024, FDA may only award a voucher for an approved rare pediatric disease product application if the sponsor has rare pediatric disease designation for the drug, and that designation was granted by September 30, 2024. After September 30, 2026, FDA may not award any rare pediatric disease priority review vouchers. If we do not obtain approval of a BLA by these dates, and if the Rare Pediatric Disease Priority Review Voucher Program is not further extended by congressional action, we may not receive a Priority Review Voucher.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ind w:right="500"/>
        <w:spacing w:after="0" w:line="308" w:lineRule="auto"/>
        <w:rPr>
          <w:sz w:val="20"/>
          <w:szCs w:val="20"/>
          <w:color w:val="auto"/>
        </w:rPr>
      </w:pPr>
      <w:r>
        <w:rPr>
          <w:rFonts w:ascii="Arial" w:cs="Arial" w:eastAsia="Arial" w:hAnsi="Arial"/>
          <w:sz w:val="17"/>
          <w:szCs w:val="17"/>
          <w:b w:val="1"/>
          <w:bCs w:val="1"/>
          <w:i w:val="1"/>
          <w:iCs w:val="1"/>
          <w:color w:val="auto"/>
        </w:rPr>
        <w:t>The FDA has granted fast track designation for SGT-001. However, such designation may not actually lead to a faster development or regulatory review or approval process. We might not receive such designation for SGT-003 or our other product candidates.</w:t>
      </w:r>
    </w:p>
    <w:p>
      <w:pPr>
        <w:spacing w:after="0" w:line="38" w:lineRule="exact"/>
        <w:rPr>
          <w:sz w:val="20"/>
          <w:szCs w:val="20"/>
          <w:color w:val="auto"/>
        </w:rPr>
      </w:pPr>
    </w:p>
    <w:p>
      <w:pPr>
        <w:ind w:right="180" w:firstLine="546"/>
        <w:spacing w:after="0" w:line="273" w:lineRule="auto"/>
        <w:rPr>
          <w:sz w:val="20"/>
          <w:szCs w:val="20"/>
          <w:color w:val="auto"/>
        </w:rPr>
      </w:pPr>
      <w:r>
        <w:rPr>
          <w:rFonts w:ascii="Arial" w:cs="Arial" w:eastAsia="Arial" w:hAnsi="Arial"/>
          <w:sz w:val="17"/>
          <w:szCs w:val="17"/>
          <w:color w:val="auto"/>
        </w:rPr>
        <w:t>If a therapy is intended for the treatment of a serious condition and nonclinical or clinical data demonstrate the potential to address unmet medical need for this condition, a drug sponsor may apply for FDA fast track designation. The FDA has granted fast track designation to SGT-001; however,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seek priority review designation for SGT-001, SGT-003 or our other product candidates, but we might not receive such designation, and even if we do, such designation may not lead to a faster development or regulatory review or approval process.</w:t>
      </w:r>
    </w:p>
    <w:p>
      <w:pPr>
        <w:spacing w:after="0" w:line="62" w:lineRule="exact"/>
        <w:rPr>
          <w:sz w:val="20"/>
          <w:szCs w:val="20"/>
          <w:color w:val="auto"/>
        </w:rPr>
      </w:pPr>
    </w:p>
    <w:p>
      <w:pPr>
        <w:ind w:right="40" w:firstLine="546"/>
        <w:spacing w:after="0" w:line="290"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however, we cannot assume that SGT-001, SGT-003 or our other product candidates will meet the criteria for that designation.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7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4"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70"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Separately, in response to the COVID-19 pandemic, a number of companies announced receipt of complete response letters due to the FDA’s inability to complete required inspections for their applications. As of May 26,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review timelines could be extended, including where a pre-approval inspection or an inspection of clinical sites is required and due to the ongoing COVID-19 pandemic and travel restrictions, the FDA is unable to complete such required inspections during the review period. Regulatory authorities outside the U.S. may adopt similar restrictions or other policy measures in response to the COVID-19 pandemic and may experience delays in their regulatory activities.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80"/>
        <w:spacing w:after="0" w:line="375" w:lineRule="auto"/>
        <w:rPr>
          <w:sz w:val="20"/>
          <w:szCs w:val="20"/>
          <w:color w:val="auto"/>
        </w:rPr>
      </w:pPr>
      <w:r>
        <w:rPr>
          <w:rFonts w:ascii="Arial" w:cs="Arial" w:eastAsia="Arial" w:hAnsi="Arial"/>
          <w:sz w:val="15"/>
          <w:szCs w:val="15"/>
          <w:b w:val="1"/>
          <w:bCs w:val="1"/>
          <w:i w:val="1"/>
          <w:iCs w:val="1"/>
          <w:color w:val="auto"/>
        </w:rPr>
        <w:t>We face significant competition and our competitors may achieve regulatory approval before us or develop therapies that are more advanced or effective than ours, which may adversely affect our ability to successfully market or commercialize SGT-001, SGT-003 or our other product candidates.</w:t>
      </w:r>
    </w:p>
    <w:p>
      <w:pPr>
        <w:spacing w:after="0" w:line="1" w:lineRule="exact"/>
        <w:rPr>
          <w:sz w:val="20"/>
          <w:szCs w:val="20"/>
          <w:color w:val="auto"/>
        </w:rPr>
      </w:pPr>
    </w:p>
    <w:p>
      <w:pPr>
        <w:ind w:right="80" w:firstLine="546"/>
        <w:spacing w:after="0" w:line="288"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and better-funded pharmaceutical, specialty pharmaceutical and biotechnology companies, as well as from academic institutions, government agencies and private and public research institutions. Our product candidates, if successfully developed and approved, will compete with established therapies as well as with new treatments that may be introduced by our competitors. There are a variety of product candidates, including gene therapies, in development for Duchenne. 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68"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For example, we are aware of several companies and research institutions conducting clinicals trials of product candidates focused on systemic gene transfers for Duchenne, including Pfizer Inc. and Sarepta Therapeutics, Inc. with product candidates currently in Phase III clinical development, Genethon with a product candidate currently in Phase I/II/III clinical trial development, and REGENXBIO Inc., which has announced that it intends to start a Phase I/II clinical trial in the first half of 2022.</w:t>
      </w:r>
    </w:p>
    <w:p>
      <w:pPr>
        <w:spacing w:after="0" w:line="187"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Our commercial opportunity could be reduced or eliminated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84" w:lineRule="exact"/>
        <w:rPr>
          <w:sz w:val="20"/>
          <w:szCs w:val="20"/>
          <w:color w:val="auto"/>
        </w:rPr>
      </w:pPr>
    </w:p>
    <w:p>
      <w:pPr>
        <w:jc w:val="both"/>
        <w:ind w:right="380" w:firstLine="546"/>
        <w:spacing w:after="0" w:line="286" w:lineRule="auto"/>
        <w:rPr>
          <w:sz w:val="20"/>
          <w:szCs w:val="20"/>
          <w:color w:val="auto"/>
        </w:rPr>
      </w:pPr>
      <w:r>
        <w:rPr>
          <w:rFonts w:ascii="Arial" w:cs="Arial" w:eastAsia="Arial" w:hAnsi="Arial"/>
          <w:sz w:val="17"/>
          <w:szCs w:val="17"/>
          <w:color w:val="auto"/>
        </w:rPr>
        <w:t>We are aware of several companies focused on developing gene therapies in various indications, as well as several companies addressing other methods for modifying genes and regulating gene expression. Any advances in gene therapy technology made by a competitor may be used to develop therapies that could compete against SGT-001 or any future gene therapy product candidates we develop.</w:t>
      </w:r>
    </w:p>
    <w:p>
      <w:pPr>
        <w:spacing w:after="0" w:line="273" w:lineRule="exact"/>
        <w:rPr>
          <w:sz w:val="20"/>
          <w:szCs w:val="20"/>
          <w:color w:val="auto"/>
        </w:rPr>
      </w:pPr>
    </w:p>
    <w:p>
      <w:pPr>
        <w:jc w:val="both"/>
        <w:ind w:right="400"/>
        <w:spacing w:after="0" w:line="277" w:lineRule="auto"/>
        <w:rPr>
          <w:sz w:val="20"/>
          <w:szCs w:val="20"/>
          <w:color w:val="auto"/>
        </w:rPr>
      </w:pPr>
      <w:r>
        <w:rPr>
          <w:rFonts w:ascii="Arial" w:cs="Arial" w:eastAsia="Arial" w:hAnsi="Arial"/>
          <w:sz w:val="18"/>
          <w:szCs w:val="18"/>
          <w:b w:val="1"/>
          <w:bCs w:val="1"/>
          <w:i w:val="1"/>
          <w:iCs w:val="1"/>
          <w:color w:val="auto"/>
        </w:rPr>
        <w:t>We may fail to capitalize on other potential product candidates that may represent a greater commercial opportunity or for which there is a greater likelihood of success.</w:t>
      </w:r>
    </w:p>
    <w:p>
      <w:pPr>
        <w:spacing w:after="0" w:line="62"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The success of our business depends upon our ability to develop and commercialize SGT-001, SGT-003 and our other product candidates. Because we have limited resources, we may forego or delay pursuit of opportunities with certain programs or product candidates or for indications that later prove to have greater commercial potential than SGT-001, SGT-003 or our other product candidates. For example, in January 2020, in connection with implementing our strategic plan to create a leaner company focused on advancing SGT-001, we curtailed certain activities supporting our other research and development programs.</w:t>
      </w:r>
    </w:p>
    <w:p>
      <w:pPr>
        <w:spacing w:after="0" w:line="80" w:lineRule="exact"/>
        <w:rPr>
          <w:sz w:val="20"/>
          <w:szCs w:val="20"/>
          <w:color w:val="auto"/>
        </w:rPr>
      </w:pPr>
    </w:p>
    <w:p>
      <w:pPr>
        <w:ind w:right="180" w:firstLine="546"/>
        <w:spacing w:after="0" w:line="259" w:lineRule="auto"/>
        <w:rPr>
          <w:sz w:val="20"/>
          <w:szCs w:val="20"/>
          <w:color w:val="auto"/>
        </w:rPr>
      </w:pPr>
      <w:r>
        <w:rPr>
          <w:rFonts w:ascii="Arial" w:cs="Arial" w:eastAsia="Arial" w:hAnsi="Arial"/>
          <w:sz w:val="18"/>
          <w:szCs w:val="18"/>
          <w:color w:val="auto"/>
        </w:rPr>
        <w:t>In addition, in October 2020, we entered into a collaboration and license agreement with Ultragenyx, pursuant to which we granted Ultragenyx an exclusive worldwide license under certain intellectual property rights controlled by us to develop AAV8 or other clade E AAV variant pharmaceutical products that express our MD5 nNOS binding domain form of microdystrophin protein for the treatment of Duchenne and other disease indications resulting from a lack of functional dystrophin, which we refer to as the Licensed Products.</w:t>
      </w:r>
    </w:p>
    <w:p>
      <w:pPr>
        <w:spacing w:after="0" w:line="187" w:lineRule="exact"/>
        <w:rPr>
          <w:sz w:val="20"/>
          <w:szCs w:val="20"/>
          <w:color w:val="auto"/>
        </w:rPr>
      </w:pPr>
    </w:p>
    <w:p>
      <w:pPr>
        <w:ind w:right="120" w:firstLine="546"/>
        <w:spacing w:after="0" w:line="293" w:lineRule="auto"/>
        <w:rPr>
          <w:sz w:val="20"/>
          <w:szCs w:val="20"/>
          <w:color w:val="auto"/>
        </w:rPr>
      </w:pPr>
      <w:r>
        <w:rPr>
          <w:rFonts w:ascii="Arial" w:cs="Arial" w:eastAsia="Arial" w:hAnsi="Arial"/>
          <w:sz w:val="16"/>
          <w:szCs w:val="16"/>
          <w:color w:val="auto"/>
        </w:rPr>
        <w:t>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If any of these events occur, we may be forced to abandon our development efforts with respect to a particular product candidate or fail to develop a potentially successful product candidate.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Risks related to the manufacturing and commercialization of SGT-001, SGT-003 and our other product candidates</w:t>
      </w:r>
    </w:p>
    <w:p>
      <w:pPr>
        <w:spacing w:after="0" w:line="229"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76"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In October 2020, we entered into a collaboration and license agreement with Ultragenyx, pursuant to which we granted Ultragenyx an exclusive worldwide license under certain intellectual property rights controlled by us to develop the Licensed Products.</w:t>
      </w:r>
    </w:p>
    <w:p>
      <w:pPr>
        <w:spacing w:after="0" w:line="62"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While we have retained all rights to and are developing on our own SGT-001 and SGT-003, we may in the future enter into development, distribution or marketing arrangements with third parties with respect to SGT-001, SGT-003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77"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Collaborations that we enter into, including our collaboration with Ultragenyx, may not be successful, and any success will depend heavily on the efforts and activities of such collaborators. Collaborations pose a number of risks, including the following:</w:t>
      </w:r>
    </w:p>
    <w:p>
      <w:pPr>
        <w:spacing w:after="0" w:line="62" w:lineRule="exact"/>
        <w:rPr>
          <w:sz w:val="20"/>
          <w:szCs w:val="20"/>
          <w:color w:val="auto"/>
        </w:rPr>
      </w:pPr>
    </w:p>
    <w:p>
      <w:pPr>
        <w:ind w:left="960" w:right="820" w:hanging="412"/>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44" w:lineRule="exact"/>
        <w:rPr>
          <w:rFonts w:ascii="Arial" w:cs="Arial" w:eastAsia="Arial" w:hAnsi="Arial"/>
          <w:sz w:val="18"/>
          <w:szCs w:val="18"/>
          <w:color w:val="auto"/>
        </w:rPr>
      </w:pPr>
    </w:p>
    <w:p>
      <w:pPr>
        <w:ind w:left="960" w:right="180" w:hanging="412"/>
        <w:spacing w:after="0" w:line="263"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5" w:lineRule="exact"/>
        <w:rPr>
          <w:rFonts w:ascii="Arial" w:cs="Arial" w:eastAsia="Arial" w:hAnsi="Arial"/>
          <w:sz w:val="18"/>
          <w:szCs w:val="18"/>
          <w:color w:val="auto"/>
        </w:rPr>
      </w:pPr>
    </w:p>
    <w:p>
      <w:pPr>
        <w:ind w:left="960" w:right="40" w:hanging="412"/>
        <w:spacing w:after="0" w:line="286" w:lineRule="auto"/>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57" w:lineRule="exact"/>
        <w:rPr>
          <w:rFonts w:ascii="Arial" w:cs="Arial" w:eastAsia="Arial" w:hAnsi="Arial"/>
          <w:sz w:val="17"/>
          <w:szCs w:val="17"/>
          <w:color w:val="auto"/>
        </w:rPr>
      </w:pPr>
    </w:p>
    <w:p>
      <w:pPr>
        <w:ind w:left="960" w:right="500" w:hanging="412"/>
        <w:spacing w:after="0" w:line="308" w:lineRule="auto"/>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960" w:right="60" w:hanging="412"/>
        <w:spacing w:after="0" w:line="263"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5" w:lineRule="exact"/>
        <w:rPr>
          <w:rFonts w:ascii="Arial" w:cs="Arial" w:eastAsia="Arial" w:hAnsi="Arial"/>
          <w:sz w:val="18"/>
          <w:szCs w:val="18"/>
          <w:color w:val="auto"/>
        </w:rPr>
      </w:pPr>
    </w:p>
    <w:p>
      <w:pPr>
        <w:ind w:left="960" w:right="400" w:hanging="412"/>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including Ultragenyx, could develop products that compete directly or indirectly with our product candidates and products pursuant to the collaboration;</w:t>
      </w:r>
    </w:p>
    <w:p>
      <w:pPr>
        <w:spacing w:after="0" w:line="62" w:lineRule="exact"/>
        <w:rPr>
          <w:rFonts w:ascii="Arial" w:cs="Arial" w:eastAsia="Arial" w:hAnsi="Arial"/>
          <w:sz w:val="18"/>
          <w:szCs w:val="18"/>
          <w:color w:val="auto"/>
        </w:rPr>
      </w:pPr>
    </w:p>
    <w:p>
      <w:pPr>
        <w:ind w:left="960" w:right="460" w:hanging="412"/>
        <w:spacing w:after="0" w:line="263"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960" w:right="100" w:hanging="412"/>
        <w:spacing w:after="0" w:line="342"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 w:lineRule="exact"/>
        <w:rPr>
          <w:rFonts w:ascii="Arial" w:cs="Arial" w:eastAsia="Arial" w:hAnsi="Arial"/>
          <w:sz w:val="16"/>
          <w:szCs w:val="16"/>
          <w:color w:val="auto"/>
        </w:rPr>
      </w:pPr>
    </w:p>
    <w:p>
      <w:pPr>
        <w:ind w:left="960" w:right="80" w:hanging="412"/>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960" w:right="500" w:hanging="412"/>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63" w:name="page64"/>
    <w:bookmarkEnd w:id="63"/>
    <w:p>
      <w:pPr>
        <w:ind w:left="960" w:hanging="412"/>
        <w:spacing w:after="0" w:line="259"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960" w:right="60" w:hanging="412"/>
        <w:spacing w:after="0" w:line="263"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44" w:lineRule="exact"/>
        <w:rPr>
          <w:rFonts w:ascii="Arial" w:cs="Arial" w:eastAsia="Arial" w:hAnsi="Arial"/>
          <w:sz w:val="18"/>
          <w:szCs w:val="18"/>
          <w:color w:val="auto"/>
        </w:rPr>
      </w:pPr>
    </w:p>
    <w:p>
      <w:pPr>
        <w:ind w:left="960" w:right="480" w:hanging="412"/>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960" w:right="40" w:hanging="412"/>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25" w:lineRule="exact"/>
        <w:rPr>
          <w:sz w:val="20"/>
          <w:szCs w:val="20"/>
          <w:color w:val="auto"/>
        </w:rPr>
      </w:pPr>
    </w:p>
    <w:p>
      <w:pPr>
        <w:ind w:right="360" w:firstLine="546"/>
        <w:spacing w:after="0" w:line="259" w:lineRule="auto"/>
        <w:rPr>
          <w:sz w:val="20"/>
          <w:szCs w:val="20"/>
          <w:color w:val="auto"/>
        </w:rPr>
      </w:pPr>
      <w:r>
        <w:rPr>
          <w:rFonts w:ascii="Arial" w:cs="Arial" w:eastAsia="Arial" w:hAnsi="Arial"/>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not be successful in finding strategic collaborators for continuing development of SGT-001, SGT-003 or our other product candidates or successfully commercializing or competing in the market for certain indications.</w:t>
      </w:r>
    </w:p>
    <w:p>
      <w:pPr>
        <w:spacing w:after="0" w:line="62" w:lineRule="exact"/>
        <w:rPr>
          <w:sz w:val="20"/>
          <w:szCs w:val="20"/>
          <w:color w:val="auto"/>
        </w:rPr>
      </w:pPr>
    </w:p>
    <w:p>
      <w:pPr>
        <w:ind w:right="180" w:firstLine="546"/>
        <w:spacing w:after="0" w:line="287" w:lineRule="auto"/>
        <w:rPr>
          <w:sz w:val="20"/>
          <w:szCs w:val="20"/>
          <w:color w:val="auto"/>
        </w:rPr>
      </w:pPr>
      <w:r>
        <w:rPr>
          <w:rFonts w:ascii="Arial" w:cs="Arial" w:eastAsia="Arial" w:hAnsi="Arial"/>
          <w:sz w:val="16"/>
          <w:szCs w:val="16"/>
          <w:color w:val="auto"/>
        </w:rPr>
        <w:t>We may seek to establish strategic partnerships for developing SGT-001, SGT-003 or our other product candidates due to capital costs required to develop, manufacture and commercialize our product candidates. We may not be successful in our efforts to establish such strategic partnerships or other alternative arrangements because, among other things, our research and development pipeline may be insufficient, SGT-001 may be deemed to be at too early of a stage of development for collaborative effort or third parties may not view SGT-001 as having the requisite potential to demonstrate safety and efficacy. We cannot be certain that, following a strategic transaction, we will achieve an economic or business benefit that justifies such transaction. If we seek to but are unable to reach agreements with suitable collaborators on a timely basis, on acceptable terms or at all, we may have to curtail, reduce or delay the development of a product candidate, delay its potential commercialization, reduce the scope of any sales or marketing activities or increase our expenditures and undertake development, manufacturing or commercialization activities independently. If we elect to fund our own independent development or commercialization activities, we will need to obtain additional expertise and additional capital, which may not be available to us on acceptable terms or at all. If we fail to enter into collaborations and do not have sufficient funds or expertise to undertake the necessary development, manufacturing and commercialization activities, we may not be able to further develop SGT-001, SGT-003 or our other product candidates.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both"/>
        <w:spacing w:after="0" w:line="375" w:lineRule="auto"/>
        <w:rPr>
          <w:sz w:val="20"/>
          <w:szCs w:val="20"/>
          <w:color w:val="auto"/>
        </w:rPr>
      </w:pPr>
      <w:r>
        <w:rPr>
          <w:rFonts w:ascii="Arial" w:cs="Arial" w:eastAsia="Arial" w:hAnsi="Arial"/>
          <w:sz w:val="15"/>
          <w:szCs w:val="15"/>
          <w:b w:val="1"/>
          <w:bCs w:val="1"/>
          <w:i w:val="1"/>
          <w:iCs w:val="1"/>
          <w:color w:val="auto"/>
        </w:rPr>
        <w:t>We have limited gene transfer manufacturing experience and could experience production problems and delays in obtaining regulatory approval of our manufacturing processes, which could result in delays in the development or commercialization of SGT-001, SGT-003 or our other product candidates.</w:t>
      </w:r>
    </w:p>
    <w:p>
      <w:pPr>
        <w:spacing w:after="0" w:line="1"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The manufacturing process we use to produce SGT-001 is complex and has not been validated for commercial use. We have limited experience manufacturing SGT-001, SGT-003 and our other product candidates. Building our own manufacturing facility, if we decide to do so in the future, would require substantial additional investment, would be time-consuming and may be subject to delays, including those resulting from compliance with regulatory requirements. In addition, building a manufacturing facility may cost more than we currently anticipate. Although we may establish our own manufacturing facility to support a commercial launch, if we are unable to do so or otherwise decide not to do so, we may be unable to produce commercial materials or meet demand, if any should develop, for SGT-001, SGT-003 and our other product candidates. Any such failure could delay or prevent our commercialization of SGT-001, SGT-003 or our other product candidates. The production of SGT-001 requires processing steps that are more complex than those required for most chemical pharmaceuticals. Moreover, unlike chemical pharmaceuticals, the physical and chemical properties of a gene transfer product candidate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that SGT-001 is made strictly and consistently in compliance with the process. As a result of the limited number of FDA approvals for gene transfer products to date, the timeframe required for us to obtain approval for a cGMP gene therapy manufacturing facility in the United States is uncertain. We must supply all necessary documentation in support of a BLA or MAA on a timely basis and must adhere to the FDA’s and the European Union’s cGMP requirements before we can obtain marketing approval for SGT-001, SGT-003 and our other product candidates. In order to obtain approval, we will need to ensure that all of our processes, methods and equipment are compliant with cGMP requirements, and perform extensive audits of contract laboratories, manufacturers and suppliers.</w:t>
      </w:r>
    </w:p>
    <w:p>
      <w:pPr>
        <w:spacing w:after="0" w:line="180" w:lineRule="exact"/>
        <w:rPr>
          <w:sz w:val="20"/>
          <w:szCs w:val="20"/>
          <w:color w:val="auto"/>
        </w:rPr>
      </w:pPr>
    </w:p>
    <w:p>
      <w:pPr>
        <w:ind w:right="120" w:firstLine="546"/>
        <w:spacing w:after="0" w:line="269" w:lineRule="auto"/>
        <w:rPr>
          <w:sz w:val="20"/>
          <w:szCs w:val="20"/>
          <w:color w:val="auto"/>
        </w:rPr>
      </w:pPr>
      <w:r>
        <w:rPr>
          <w:rFonts w:ascii="Arial" w:cs="Arial" w:eastAsia="Arial" w:hAnsi="Arial"/>
          <w:sz w:val="17"/>
          <w:szCs w:val="17"/>
          <w:color w:val="auto"/>
        </w:rPr>
        <w:t>We currently rely on third-party manufacturers for our SGT-001 supply. In order to produce sufficient quantities of SGT-001 for clinical trials and initial U.S. commercial demand, we continue to further optimize and increase the capacity of our manufacturing process at our third-party manufacturer, and potentially through our own commercial scale manufacturing facility. We may need to change our current manufacturing process. We may not be able to produce sufficient quantities of SGT-001 due to several factors, including equipment malfunctions, facility contamination, material shortages or contamination, natural disasters, a public health issue (for example, an outbreak of a contagious disease such as the COVID-19 pandemic), disruption in utility services, human error or disruptions in the operations of our suppliers. For example, through our contract manufacturer we have performed and released within specifications manufacturing runs of SGT-001 for clinical supply and have experienced variability with respect to the success and yield of these runs. We continue to engage in process development activities to improve the reproducibility, reliability, quality and consistency of yields of our manufacturing process. While we are able to produce for more than one patient from a single batch, additional manufacturing runs will be required to produce necessary or adequate supply for IGNITE DMD and there is no guarantee that all of those runs will be within specifications or produce adequate supply. If we are not able to produce sufficient supply on the timeline expected, our overall development schedule for SGT-001 could be delayed, and we could incur additional expense.</w:t>
      </w:r>
    </w:p>
    <w:p>
      <w:pPr>
        <w:spacing w:after="0" w:line="179" w:lineRule="exact"/>
        <w:rPr>
          <w:sz w:val="20"/>
          <w:szCs w:val="20"/>
          <w:color w:val="auto"/>
        </w:rPr>
      </w:pPr>
    </w:p>
    <w:p>
      <w:pPr>
        <w:ind w:right="60" w:firstLine="546"/>
        <w:spacing w:after="0" w:line="293" w:lineRule="auto"/>
        <w:rPr>
          <w:sz w:val="20"/>
          <w:szCs w:val="20"/>
          <w:color w:val="auto"/>
        </w:rPr>
      </w:pPr>
      <w:r>
        <w:rPr>
          <w:rFonts w:ascii="Arial" w:cs="Arial" w:eastAsia="Arial" w:hAnsi="Arial"/>
          <w:sz w:val="16"/>
          <w:szCs w:val="16"/>
          <w:color w:val="auto"/>
        </w:rPr>
        <w:t>If supply from a manufacturing facility is interrupted, including as a result of equipment malfunctions, facility contamination, material shortages or contamination, natural disasters, the COVID-19 pandemic or another public health issue, disruption in utility services or human error, there could be a significant disruption in supply of SGT-001, SGT-003 or our other product candidates. In such instance, we may need to locate appropriate replacement third-party manufacturers, and we may not be able to enter into arrangements with such additional third-party manufacturers on favorable terms or at all. Use of new third-party manufacturers could increase the risk of delays in production or insufficient supplies of our product candidates as we transfer our manufacturing technology to these manufacturers and as they gain experience manufacturing our product candidates.</w:t>
      </w:r>
    </w:p>
    <w:p>
      <w:pPr>
        <w:spacing w:after="0" w:line="164" w:lineRule="exact"/>
        <w:rPr>
          <w:sz w:val="20"/>
          <w:szCs w:val="20"/>
          <w:color w:val="auto"/>
        </w:rPr>
      </w:pPr>
    </w:p>
    <w:p>
      <w:pPr>
        <w:ind w:right="40" w:firstLine="546"/>
        <w:spacing w:after="0" w:line="275"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a regulatory authority may impose restrictions relative to that product, the manufacturing facility or us, including requiring recall or withdrawal of the product from the market or suspension of manufacturing.</w:t>
      </w:r>
    </w:p>
    <w:p>
      <w:pPr>
        <w:spacing w:after="0" w:line="176"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In addition, the FDA, the EMA and other foreign regulatory authorities may require us to submit samples of any lot of any approved product together with the protocols showing the results of applicable tests at any time. Under some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5" w:name="page66"/>
    <w:bookmarkEnd w:id="65"/>
    <w:p>
      <w:pPr>
        <w:ind w:right="60"/>
        <w:spacing w:after="0" w:line="277" w:lineRule="auto"/>
        <w:rPr>
          <w:sz w:val="20"/>
          <w:szCs w:val="20"/>
          <w:color w:val="auto"/>
        </w:rPr>
      </w:pPr>
      <w:r>
        <w:rPr>
          <w:rFonts w:ascii="Arial" w:cs="Arial" w:eastAsia="Arial" w:hAnsi="Arial"/>
          <w:sz w:val="18"/>
          <w:szCs w:val="18"/>
          <w:color w:val="auto"/>
        </w:rPr>
        <w:t>circumstances, the FDA, the EMA or other foreign regulatory authorities may require that we not distribute a lot until the agency authorizes its release. Lot failures or product recalls could cause us to delay or abandon clinical trials or product launches.</w:t>
      </w:r>
    </w:p>
    <w:p>
      <w:pPr>
        <w:spacing w:after="0" w:line="170"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We also may encounter problems hiring and retaining the experienced specialist scientific, quality control and manufacturing personnel needed to operate our manufacturing process, which could result in delays in our production or difficulties in maintaining compliance with applicable regulatory requirements.</w:t>
      </w:r>
    </w:p>
    <w:p>
      <w:pPr>
        <w:spacing w:after="0" w:line="184"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programs. Problems in our manufacturing process or facilities also could restrict our ability to meet market demand for SGT-001, SGT-003, our other product candidates or future product candidates.</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expect to utilize third parties to conduct our product manufacturing for the foreseeable future. Therefore, we are subject to the risk that these third parties may not perform satisfactorily or meet regulatory requirements.</w:t>
      </w:r>
    </w:p>
    <w:p>
      <w:pPr>
        <w:spacing w:after="0" w:line="62" w:lineRule="exact"/>
        <w:rPr>
          <w:sz w:val="20"/>
          <w:szCs w:val="20"/>
          <w:color w:val="auto"/>
        </w:rPr>
      </w:pPr>
    </w:p>
    <w:p>
      <w:pPr>
        <w:ind w:right="20" w:firstLine="546"/>
        <w:spacing w:after="0" w:line="288" w:lineRule="auto"/>
        <w:rPr>
          <w:sz w:val="20"/>
          <w:szCs w:val="20"/>
          <w:color w:val="auto"/>
        </w:rPr>
      </w:pPr>
      <w:r>
        <w:rPr>
          <w:rFonts w:ascii="Arial" w:cs="Arial" w:eastAsia="Arial" w:hAnsi="Arial"/>
          <w:sz w:val="16"/>
          <w:szCs w:val="16"/>
          <w:color w:val="auto"/>
        </w:rPr>
        <w:t>Until such time, if ever, as we establish a manufacturing facility that has been properly validated to comply with FDA cGMP requirements, we will not be able to independently manufacture material for our current and future clinical programs. For clinical trials of SGT-001, we are utilizing, and expect to continue to utilize, and for clinical trials of SGT-003 and our other product candidates, we expect to utilize, materials manufactured by cGMP-compliant third-party suppliers. Even following our potential establishment of a validated cGMP manufacturing facility, we intend to utilize third-party manufacturing capabilities in order to provide multiple sources of supply. In the event that the establishment of our own manufacturing facility is delayed or not otherwise pursued and if these third-party manufacturers do not successfully carry out their contractual duties, meet expected deadlines or manufacture SGT-001, SGT-003 and our other product candidates in accordance with regulatory requirements or if there are disagreements between us and these third-party manufacturers, we may not be able to complete, or may be delayed in completing, the clinical trials required for approval of SGT-001, SGT-003 and our other product candidates. In such instances, we may need to locate an appropriate replacement third-party relationship, which may not be readily available or on acceptable terms, which would cause additional delay or increased expense prior to the approval of our product candidates.</w:t>
      </w:r>
    </w:p>
    <w:p>
      <w:pPr>
        <w:spacing w:after="0" w:line="168"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Additionally, we rely on our third-party manufacturers for their compliance with the cGMP and their maintenance of adequate quality control, quality assurance and qualified personnel. Furthermore, all of our third-party suppliers and manufacturers are engaged with other companies to supply and/or manufacture materials or products for such companies, which exposes them to regulatory risks for the production of such materials and products. FDA inspections may identify compliance issues at third-party manufacturer facilities or at the facilities of third-party suppliers that may disrupt production or distribution, or require substantial resources to correct and prevent recurrence of any deficiencies, and could result in fines or penalties by regulatory authorities. In addition, discovery of problems with a product or the failure to comply with applicable requirements may result in restrictions on a product, manufacturer or holder of an approved BLA, including withdrawal or recall of the product from the market or other voluntary, FDA-initiated or judicial action, including fines, injunctions, civil penalties, license revocations, seizure, total or partial suspension of production or criminal penalties, any of which could significantly and adversely affect supplies of our product candidates.</w:t>
      </w:r>
    </w:p>
    <w:p>
      <w:pPr>
        <w:spacing w:after="0" w:line="181"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In addition, we do not currently have long-term supply or manufacturing arrangements in place for the production of SGT-001, SGT-003 or our other product candidates at commercial scale. Although we intend to establish additional sources for long-term supply, potentially including our own commercial-scale cGMP-compliant manufacturing facility and one or more third-party manufacturers, if the gene therapy industry were to grow, we may encounter increasing competition for the materials necessary for the production of SGT-001, SGT-003 or our other product candidates. We may experience difficulties in scaling up production beyond clinical batches. Furthermore, demand for third-party cGMP manufacturing facilities may grow at a faster rate than existing manufacturing capacity, which could disrupt our ability to find and retain third-party manufacturers capable of producing sufficient quantities of SGT-001, SGT-003 or our other product candidates for future clinical trials or to meet initial commercial demand in the United States. We currently rely, and expect to continue to rely, on additional third parties to manufacture materials for our product candidates and to perform quality testing. Even following the potential establishment of our own cGMP-compliant manufacturing capabilities, we intend to maintain third-party manufacturers for these materials, as well as to serve as additional sources of SGT-001, SGT-003 and our other product candidates, which will expose us to risks including:</w:t>
      </w:r>
    </w:p>
    <w:p>
      <w:pPr>
        <w:spacing w:after="0" w:line="60" w:lineRule="exact"/>
        <w:rPr>
          <w:sz w:val="20"/>
          <w:szCs w:val="20"/>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control of manufacturing activities;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ind w:left="960" w:right="280" w:hanging="412"/>
        <w:spacing w:after="0" w:line="263"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of certain contract manufacturing organizations, or CMOs, to produce our product candidates in the necessary quantities, or in compliance with current cGMP or in compliance with pertinent regulatory requirements and within our planned time frame and cost parameters;</w:t>
      </w:r>
    </w:p>
    <w:p>
      <w:pPr>
        <w:spacing w:after="0" w:line="75" w:lineRule="exact"/>
        <w:rPr>
          <w:rFonts w:ascii="Arial" w:cs="Arial" w:eastAsia="Arial" w:hAnsi="Arial"/>
          <w:sz w:val="18"/>
          <w:szCs w:val="18"/>
          <w:color w:val="auto"/>
        </w:rPr>
      </w:pPr>
    </w:p>
    <w:p>
      <w:pPr>
        <w:ind w:left="960" w:right="220" w:hanging="41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62" w:lineRule="exact"/>
        <w:rPr>
          <w:rFonts w:ascii="Arial" w:cs="Arial" w:eastAsia="Arial" w:hAnsi="Arial"/>
          <w:sz w:val="18"/>
          <w:szCs w:val="18"/>
          <w:color w:val="auto"/>
        </w:rPr>
      </w:pPr>
    </w:p>
    <w:p>
      <w:pPr>
        <w:ind w:left="960" w:right="380" w:hanging="412"/>
        <w:spacing w:after="0" w:line="308" w:lineRule="auto"/>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disruptions to the operations of our third-party manufacturer and our and their suppliers caused by conditions unrelated to our business or operations, including the bankruptcy of the manufacturer or supplier, natural disasters or public health issues.</w:t>
      </w:r>
    </w:p>
    <w:p>
      <w:pPr>
        <w:spacing w:after="0" w:line="146"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SGT-001, SGT-003 or our other product candidates. Some of these events could be the basis for FDA action, including injunction, recall, seizure or total or partial suspension of product manufacture.</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SGT-001, SGT-003 and our other product candidates, we will be unable to generate any product revenue.</w:t>
      </w:r>
    </w:p>
    <w:p>
      <w:pPr>
        <w:spacing w:after="0" w:line="62"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product candidate that may result from our development programs,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SGT-001, SGT-003 and our other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SGT-001, SGT-003 and our other product candidates. Without an internal team or the support of a third party to perform marketing and sales functions, we will be unable to compete successfully against these more established companies.</w:t>
      </w:r>
    </w:p>
    <w:p>
      <w:pPr>
        <w:spacing w:after="0" w:line="2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establish medical affairs capabilities, we will be unable to establish an educated market of physicians to administer SGT-001, SGT-003 or our other product candidates.</w:t>
      </w:r>
    </w:p>
    <w:p>
      <w:pPr>
        <w:spacing w:after="0" w:line="62"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We currently have no medical affairs team. If we are unable to successfully build a medical affairs team to address scientific and medical questions and provide expert guidance and education in the application, administration and utilization of SGT-001, SGT-003 and our other product candidates to physicians, we may not be able to establish an educated market for our products. The establishment and development of our own medical affairs team will be expensive and time-consuming and could delay any product launch. Moreover, we cannot be certain that we will be able to successfully develop this capability.</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SGT-001 are smaller than we believe they are, our revenue prospects may be adversely affected and our business may suffer.</w:t>
      </w:r>
    </w:p>
    <w:p>
      <w:pPr>
        <w:spacing w:after="0" w:line="62"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We currently focus our research and product development on treatments for Duchenne. Our understanding of the patient population with this disease is based on estimates in published literature and by Duchenne foundations. These estimates may prove to be incorrect and new studies may reduce the estimated incidence or prevalence of this disease. The number of patients in the United States, the European Union and elsewhere may turn out to be lower than expected, patients may not be otherwise amenable to treatment with our product candidate or patients may become increasingly difficult to identify and access.</w:t>
      </w:r>
    </w:p>
    <w:p>
      <w:pPr>
        <w:spacing w:after="0" w:line="188" w:lineRule="exact"/>
        <w:rPr>
          <w:sz w:val="20"/>
          <w:szCs w:val="20"/>
          <w:color w:val="auto"/>
        </w:rPr>
      </w:pPr>
    </w:p>
    <w:p>
      <w:pPr>
        <w:ind w:right="160" w:firstLine="546"/>
        <w:spacing w:after="0" w:line="259" w:lineRule="auto"/>
        <w:rPr>
          <w:sz w:val="20"/>
          <w:szCs w:val="20"/>
          <w:color w:val="auto"/>
        </w:rPr>
      </w:pPr>
      <w:r>
        <w:rPr>
          <w:rFonts w:ascii="Arial" w:cs="Arial" w:eastAsia="Arial" w:hAnsi="Arial"/>
          <w:sz w:val="18"/>
          <w:szCs w:val="18"/>
          <w:color w:val="auto"/>
        </w:rPr>
        <w:t>Further, there are several factors that could contribute to making the actual number of patients who receive SGT-001 less than the potentially addressable market. These include the lack of widespread availability of, and limited reimbursement for, new therapies in many underdeveloped markets. Further, the severity of the progression of a degenerative disease such as Duchenne up to the time of treatment will likely diminish the therapeutic benefit conferred by a gene therapy due to irreversible cell damage.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7" w:name="page68"/>
    <w:bookmarkEnd w:id="67"/>
    <w:p>
      <w:pPr>
        <w:ind w:right="60"/>
        <w:spacing w:after="0" w:line="277" w:lineRule="auto"/>
        <w:rPr>
          <w:sz w:val="20"/>
          <w:szCs w:val="20"/>
          <w:color w:val="auto"/>
        </w:rPr>
      </w:pPr>
      <w:r>
        <w:rPr>
          <w:rFonts w:ascii="Arial" w:cs="Arial" w:eastAsia="Arial" w:hAnsi="Arial"/>
          <w:sz w:val="18"/>
          <w:szCs w:val="18"/>
          <w:b w:val="1"/>
          <w:bCs w:val="1"/>
          <w:i w:val="1"/>
          <w:iCs w:val="1"/>
          <w:color w:val="auto"/>
        </w:rPr>
        <w:t>Certain patients’ immune systems might prohibit the successful delivery of certain gene therapy products, thereby potentially limiting the population of patients amenable to gene transfer.</w:t>
      </w:r>
    </w:p>
    <w:p>
      <w:pPr>
        <w:spacing w:after="0" w:line="62" w:lineRule="exact"/>
        <w:rPr>
          <w:sz w:val="20"/>
          <w:szCs w:val="20"/>
          <w:color w:val="auto"/>
        </w:rPr>
      </w:pPr>
    </w:p>
    <w:p>
      <w:pPr>
        <w:ind w:right="200" w:firstLine="546"/>
        <w:spacing w:after="0" w:line="257" w:lineRule="auto"/>
        <w:rPr>
          <w:sz w:val="20"/>
          <w:szCs w:val="20"/>
          <w:color w:val="auto"/>
        </w:rPr>
      </w:pPr>
      <w:r>
        <w:rPr>
          <w:rFonts w:ascii="Arial" w:cs="Arial" w:eastAsia="Arial" w:hAnsi="Arial"/>
          <w:sz w:val="18"/>
          <w:szCs w:val="18"/>
          <w:color w:val="auto"/>
        </w:rPr>
        <w:t>As with many AAV-mediated gene therapy approaches, certain patients’ immune systems might prohibit the successful delivery of certain gene therapy products, thereby potentially limiting the population of patients amenable to gene transfer. While we are working to better understand the prevalence of antibodies to AAV, or seroprevalence, as it relates to gene therapies for Duchenne, the exact Duchenne-wide seroprevalence is currently unknown and it varies by AAV serotype and age. We may not be able to address this potentially limiting factor for gene therapy as a treatment for certain patients.</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product candidates, including SGT-001, if approved, will depend upon market acceptance by physicians, patients, third-party payors and others in the medical community.</w:t>
      </w:r>
    </w:p>
    <w:p>
      <w:pPr>
        <w:spacing w:after="0" w:line="62"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Even with the requisite approvals from the FDA in the United States, the European Commission in the European Union and other regulatory authorities internationally, the commercial success of SGT-001 will depend, in part, on the acceptance of physicians, patients and health care payors of gene therapy products in general, and SGT-001 in particular, as medically necessary, cost-effective and safe. Any product that we commercialize may not gain acceptance by physicians, patients, health care payors and others in the medical community due to ethical, social, medical and legal concerns. If these products do not achieve an adequate level of acceptance, we may not generate significant product revenue and may not become profitable. The degree of market acceptance of gene therapy products and, in particular, SGT-001, if approved for commercial sale, will depend on multiple factors, including:</w:t>
      </w:r>
    </w:p>
    <w:p>
      <w:pPr>
        <w:spacing w:after="0" w:line="56" w:lineRule="exact"/>
        <w:rPr>
          <w:sz w:val="20"/>
          <w:szCs w:val="20"/>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and safety of SGT-001 as demonstrated in clinical trials;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and potential and perceived advantages of SGT-001 over alternative treatments;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SGT-001 is approved by the FDA, the European Commission or other regulatory authorities;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44" w:lineRule="exact"/>
        <w:rPr>
          <w:rFonts w:ascii="Arial" w:cs="Arial" w:eastAsia="Arial" w:hAnsi="Arial"/>
          <w:sz w:val="18"/>
          <w:szCs w:val="18"/>
          <w:color w:val="auto"/>
        </w:rPr>
      </w:pPr>
    </w:p>
    <w:p>
      <w:pPr>
        <w:ind w:left="960" w:right="280" w:hanging="412"/>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products to meet market demand;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publicity concerning our product candidates or competing products and treatments;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favorable third-party payor coverage and adequate reimbursement.</w:t>
      </w:r>
    </w:p>
    <w:p>
      <w:pPr>
        <w:spacing w:after="0" w:line="252"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Even if a potential product candidate displays a favorable efficacy and safety profile in preclinical studies and clinical trials, market acceptance of the product will not be fully known until after it is launched.</w:t>
      </w:r>
    </w:p>
    <w:p>
      <w:pPr>
        <w:spacing w:after="0" w:line="170" w:lineRule="exact"/>
        <w:rPr>
          <w:sz w:val="20"/>
          <w:szCs w:val="20"/>
          <w:color w:val="auto"/>
        </w:rPr>
      </w:pPr>
    </w:p>
    <w:p>
      <w:pPr>
        <w:jc w:val="both"/>
        <w:ind w:right="220" w:firstLine="546"/>
        <w:spacing w:after="0" w:line="301" w:lineRule="auto"/>
        <w:rPr>
          <w:sz w:val="20"/>
          <w:szCs w:val="20"/>
          <w:color w:val="auto"/>
        </w:rPr>
      </w:pPr>
      <w:r>
        <w:rPr>
          <w:rFonts w:ascii="Arial" w:cs="Arial" w:eastAsia="Arial" w:hAnsi="Arial"/>
          <w:sz w:val="16"/>
          <w:szCs w:val="16"/>
          <w:color w:val="auto"/>
        </w:rPr>
        <w:t>Our efforts to educate the medical community and third-party payors on the benefits of SGT-001, SGT-003 and our other product candidates may require significant resources and may never be successful. Such efforts may require more resources than are typically required due to the complexity and uniqueness of our potential product candidates. If SGT-001, SGT-003 or our other product candidates are approved but fail to achieve market acceptance among physicians, patients or third-party payors, we will not be able to generate significant revenue from any such product.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spacing w:after="0" w:line="279" w:lineRule="auto"/>
        <w:rPr>
          <w:sz w:val="20"/>
          <w:szCs w:val="20"/>
          <w:color w:val="auto"/>
        </w:rPr>
      </w:pPr>
      <w:r>
        <w:rPr>
          <w:rFonts w:ascii="Arial" w:cs="Arial" w:eastAsia="Arial" w:hAnsi="Arial"/>
          <w:sz w:val="17"/>
          <w:szCs w:val="17"/>
          <w:b w:val="1"/>
          <w:bCs w:val="1"/>
          <w:i w:val="1"/>
          <w:iCs w:val="1"/>
          <w:color w:val="auto"/>
        </w:rPr>
        <w:t>Our gene transfer approach utilizes a vector derived from a virus, which may be perceived as unsafe or may result in unforeseen adverse events. Negative public opinion and increased regulatory scrutiny of gene therapy may damage public perception of the safety of our SGT-001 or SGT-003 gene transfer product candidates or other gene transfer product candidates and adversely affect our ability to conduct our business or obtain regulatory approvals for SGT-001, SGT-003 or other gene transfer product candidates.</w:t>
      </w:r>
    </w:p>
    <w:p>
      <w:pPr>
        <w:spacing w:after="0" w:line="63" w:lineRule="exact"/>
        <w:rPr>
          <w:sz w:val="20"/>
          <w:szCs w:val="20"/>
          <w:color w:val="auto"/>
        </w:rPr>
      </w:pPr>
    </w:p>
    <w:p>
      <w:pPr>
        <w:ind w:right="20" w:firstLine="546"/>
        <w:spacing w:after="0" w:line="268" w:lineRule="auto"/>
        <w:rPr>
          <w:sz w:val="20"/>
          <w:szCs w:val="20"/>
          <w:color w:val="auto"/>
        </w:rPr>
      </w:pPr>
      <w:r>
        <w:rPr>
          <w:rFonts w:ascii="Arial" w:cs="Arial" w:eastAsia="Arial" w:hAnsi="Arial"/>
          <w:sz w:val="17"/>
          <w:szCs w:val="17"/>
          <w:color w:val="auto"/>
        </w:rPr>
        <w:t>Gene transfer remains a novel technology and public perception may be influenced by claims that gene transfer is unsafe, and gene transfer may not gain the acceptance of the public or the medical community. In particular, our success will depend upon physicians who specialize in the treatment of Duchenne prescribing treatments that involve the use of SGT-001 or SGT-003 in lieu of, or in addition to, other treatments with which they are more familiar and for which greater clinical data may be available. More restrictive government regulations or negative public opinion may delay or impair the development and commercialization of SGT-001, SGT-003 or demand for any product candidate we may develop. A public backlash developed against gene therapy following the death of a patient in 1999 during a gene therapy clinical trial of research subjects with ornithine transcarbamylase, or OTC, deficiency, a rare disorder in which the liver lacks a functional copy of the OTC gene. The death of the clinical trial subject was due to complications of adenovirus vector administration. Dr. James M. Wilson, former chair of our Scientific Advisory Board, was a co-investigator of the 1999 trial while he was Director of the Institute for Human Gene Therapy of the University of Pennsylvania. Serious adverse events in our clinical trials, including the events that led to the previously-lifted clinical holds on IGNITE DMD or other clinical trials involving gene transfer products or our competitors’ products, even if not ultimately attributable to the relevant product candidates, and the resulting publicity, could result in increased government regulation, unfavorable public perception, potential regulatory delays in the testing or approval of SGT-001 or SGT-003, stricter labeling requirements for SGT-001 or SGT-003 if approved and a decrease in demand for SGT-001 or SGT-003.</w:t>
      </w:r>
    </w:p>
    <w:p>
      <w:pPr>
        <w:spacing w:after="0" w:line="29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6"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Given the nature of biologics manufacturing, there is a risk of contamination in our manufacturing processes. Any contamination could materially adversely affect our ability to produce SGT-001 on schedule and could cause reputational damage.</w:t>
      </w:r>
    </w:p>
    <w:p>
      <w:pPr>
        <w:spacing w:after="0" w:line="170"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SGT-001 could adversely impact or disrupt the commercial manufacturing or the production of clinical material, which could materially and adversely affect our development timelines.</w:t>
      </w:r>
    </w:p>
    <w:p>
      <w:pPr>
        <w:spacing w:after="0" w:line="29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76"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There is significant uncertainty related to third-party coverage and reimbursement of newly approved products. We expect the cost of a single administration of gene transfer products, such as those we are developing, to be substantial, when and if they achieve regulatory approval. We expect that coverage and reimbursement by government and private payors will be essential for most patients to be able to afford these treatments. Accordingly, sales of SGT-001, SGT-003 or our other product candidates, if approved, will depend substantially, both domestically and abroad, on the extent to which the costs of such product candidates will be paid by health maintenance, managed care, pharmacy benefit and similar health 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69" w:lineRule="exact"/>
        <w:rPr>
          <w:sz w:val="20"/>
          <w:szCs w:val="20"/>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durable and a one-time treatment;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ind w:right="240" w:firstLine="546"/>
        <w:spacing w:after="0" w:line="279" w:lineRule="auto"/>
        <w:rPr>
          <w:sz w:val="20"/>
          <w:szCs w:val="20"/>
          <w:color w:val="auto"/>
        </w:rPr>
      </w:pPr>
      <w:r>
        <w:rPr>
          <w:rFonts w:ascii="Arial" w:cs="Arial" w:eastAsia="Arial" w:hAnsi="Arial"/>
          <w:sz w:val="17"/>
          <w:szCs w:val="17"/>
          <w:color w:val="auto"/>
        </w:rPr>
        <w:t>Obtaining coverage and reimbursement for a product from third-party payors is a time-consuming and costly process that could require us to provide to the payor supporting scientific, clinical and cost-effectiveness data. If coverage and reimbursement are not available, or are available only at limited levels, we may not be able to successfully commercialize SGT-001, SGT-003 and our other product candidates. Even if coverage is provided, the approved reimbursement amount may not be adequate to realize a sufficient return on our investment.</w:t>
      </w:r>
    </w:p>
    <w:p>
      <w:pPr>
        <w:spacing w:after="0" w:line="171" w:lineRule="exact"/>
        <w:rPr>
          <w:sz w:val="20"/>
          <w:szCs w:val="20"/>
          <w:color w:val="auto"/>
        </w:rPr>
      </w:pPr>
    </w:p>
    <w:p>
      <w:pPr>
        <w:ind w:right="160" w:firstLine="546"/>
        <w:spacing w:after="0" w:line="293" w:lineRule="auto"/>
        <w:rPr>
          <w:sz w:val="20"/>
          <w:szCs w:val="20"/>
          <w:color w:val="auto"/>
        </w:rPr>
      </w:pPr>
      <w:r>
        <w:rPr>
          <w:rFonts w:ascii="Arial" w:cs="Arial" w:eastAsia="Arial" w:hAnsi="Arial"/>
          <w:sz w:val="16"/>
          <w:szCs w:val="16"/>
          <w:color w:val="auto"/>
        </w:rPr>
        <w:t>To our knowledge, only a limited number of gene transfer products have been approved for coverage and reimbursement by the Centers for Medicare &amp; Medicaid Services, or the CMS, the agency responsible for administering the Medicaid program. It is difficult to predict what the CMS will decide with respect to coverage and reimbursement for fundamentally novel products such as ours, as there is no body of established practices and precedents for these types of products either in the United States or the European Union. For example, several cancer drugs have been approved for reimbursement in the United States and have not been approved for reimbursement in certain European Union member states and vice versa. It is difficult to predict what third-party payors will decide with respect to the coverage and reimbursement for SGT-001, SGT-003 and our other product candidates.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 if any.</w:t>
      </w:r>
    </w:p>
    <w:p>
      <w:pPr>
        <w:spacing w:after="0" w:line="117" w:lineRule="exact"/>
        <w:rPr>
          <w:sz w:val="20"/>
          <w:szCs w:val="20"/>
          <w:color w:val="auto"/>
        </w:rPr>
      </w:pPr>
    </w:p>
    <w:p>
      <w:pPr>
        <w:ind w:right="100" w:firstLine="546"/>
        <w:spacing w:after="0" w:line="293" w:lineRule="auto"/>
        <w:rPr>
          <w:sz w:val="20"/>
          <w:szCs w:val="20"/>
          <w:color w:val="auto"/>
        </w:rPr>
      </w:pPr>
      <w:r>
        <w:rPr>
          <w:rFonts w:ascii="Arial" w:cs="Arial" w:eastAsia="Arial" w:hAnsi="Arial"/>
          <w:sz w:val="16"/>
          <w:szCs w:val="16"/>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general, the prices of therapeutics outside the United States are substantially lower than in the United States. Other countries may allow companies to fix their own prices for therapeutics, but monitor and control company profits. Additional foreign price controls or other changes in pricing regulations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product revenue.</w:t>
      </w:r>
    </w:p>
    <w:p>
      <w:pPr>
        <w:spacing w:after="0" w:line="164"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Additionally, in countries where the pricing of gene therapy products is subject to governmental control, pricing negotiations with governmental authorities can take considerable time after the receipt of marketing approval for a product.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Reimbursement of our products may be unavailable or limited in scope or amount, which would adversely affect our revenue, if any.</w:t>
      </w:r>
    </w:p>
    <w:p>
      <w:pPr>
        <w:spacing w:after="0" w:line="30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we obtain approval to commercialize SGT-001, SGT-003 and our other product candidates outside of the United States, in particular in the European Union, a variety of risks associated with international operations could materially adversely affect our business.</w:t>
      </w:r>
    </w:p>
    <w:p>
      <w:pPr>
        <w:spacing w:after="0" w:line="38"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color w:val="auto"/>
        </w:rPr>
        <w:t>We expect that we will be subject to additional risks in commercializing SGT-001, SGT-003 and our other product candidates outside the United States, including:</w:t>
      </w:r>
    </w:p>
    <w:p>
      <w:pPr>
        <w:spacing w:after="0" w:line="62" w:lineRule="exact"/>
        <w:rPr>
          <w:sz w:val="20"/>
          <w:szCs w:val="20"/>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therapeutics in foreign countries;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960" w:right="40" w:hanging="41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material supply or manufacturing capabilities abroad; and</w:t>
      </w:r>
    </w:p>
    <w:p>
      <w:pPr>
        <w:spacing w:after="0" w:line="144" w:lineRule="exact"/>
        <w:rPr>
          <w:rFonts w:ascii="Arial" w:cs="Arial" w:eastAsia="Arial" w:hAnsi="Arial"/>
          <w:sz w:val="18"/>
          <w:szCs w:val="18"/>
          <w:color w:val="auto"/>
        </w:rPr>
      </w:pPr>
    </w:p>
    <w:p>
      <w:pPr>
        <w:ind w:left="960" w:right="280" w:hanging="412"/>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ind w:right="80" w:firstLine="546"/>
        <w:spacing w:after="0" w:line="277" w:lineRule="auto"/>
        <w:rPr>
          <w:sz w:val="20"/>
          <w:szCs w:val="20"/>
          <w:color w:val="auto"/>
        </w:rPr>
      </w:pPr>
      <w:r>
        <w:rPr>
          <w:rFonts w:ascii="Arial" w:cs="Arial" w:eastAsia="Arial" w:hAnsi="Arial"/>
          <w:sz w:val="18"/>
          <w:szCs w:val="18"/>
          <w:color w:val="auto"/>
        </w:rPr>
        <w:t>The failure to comply with applicable foreign regulatory requirements may result in, among other things, fines, suspension, variation or withdrawal of regulatory approvals, product recalls, seizure of products, operating restrictions and criminal prosecution.</w:t>
      </w:r>
    </w:p>
    <w:p>
      <w:pPr>
        <w:spacing w:after="0" w:line="2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200" w:firstLine="546"/>
        <w:spacing w:after="0" w:line="308" w:lineRule="auto"/>
        <w:rPr>
          <w:sz w:val="20"/>
          <w:szCs w:val="20"/>
          <w:color w:val="auto"/>
        </w:rPr>
      </w:pPr>
      <w:r>
        <w:rPr>
          <w:rFonts w:ascii="Arial" w:cs="Arial" w:eastAsia="Arial" w:hAnsi="Arial"/>
          <w:sz w:val="17"/>
          <w:szCs w:val="17"/>
          <w:color w:val="auto"/>
        </w:rPr>
        <w:t>We may evaluate various acquisitions and strategic collaborations, including licensing or acquiring complementary products, intellectual property rights, technologies or businesses. Any potential acquisition or strategic collaboration may entail numerous risks, including:</w:t>
      </w:r>
    </w:p>
    <w:p>
      <w:pPr>
        <w:spacing w:after="0" w:line="38" w:lineRule="exact"/>
        <w:rPr>
          <w:sz w:val="20"/>
          <w:szCs w:val="20"/>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44" w:lineRule="exact"/>
        <w:rPr>
          <w:rFonts w:ascii="Arial" w:cs="Arial" w:eastAsia="Arial" w:hAnsi="Arial"/>
          <w:sz w:val="18"/>
          <w:szCs w:val="18"/>
          <w:color w:val="auto"/>
        </w:rPr>
      </w:pPr>
    </w:p>
    <w:p>
      <w:pPr>
        <w:ind w:left="960" w:right="240" w:hanging="41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62" w:lineRule="exact"/>
        <w:rPr>
          <w:rFonts w:ascii="Arial" w:cs="Arial" w:eastAsia="Arial" w:hAnsi="Arial"/>
          <w:sz w:val="18"/>
          <w:szCs w:val="18"/>
          <w:color w:val="auto"/>
        </w:rPr>
      </w:pPr>
    </w:p>
    <w:p>
      <w:pPr>
        <w:ind w:left="960" w:right="440" w:hanging="41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acquisition or strategic collaboration;</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44" w:lineRule="exact"/>
        <w:rPr>
          <w:rFonts w:ascii="Arial" w:cs="Arial" w:eastAsia="Arial" w:hAnsi="Arial"/>
          <w:sz w:val="18"/>
          <w:szCs w:val="18"/>
          <w:color w:val="auto"/>
        </w:rPr>
      </w:pPr>
    </w:p>
    <w:p>
      <w:pPr>
        <w:ind w:left="960" w:right="80" w:hanging="41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960" w:right="140" w:hanging="41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collaboration or even to offset transaction costs.</w:t>
      </w:r>
    </w:p>
    <w:p>
      <w:pPr>
        <w:spacing w:after="0" w:line="170" w:lineRule="exact"/>
        <w:rPr>
          <w:sz w:val="20"/>
          <w:szCs w:val="20"/>
          <w:color w:val="auto"/>
        </w:rPr>
      </w:pPr>
    </w:p>
    <w:p>
      <w:pPr>
        <w:ind w:right="440" w:firstLine="546"/>
        <w:spacing w:after="0" w:line="259" w:lineRule="auto"/>
        <w:rPr>
          <w:sz w:val="20"/>
          <w:szCs w:val="20"/>
          <w:color w:val="auto"/>
        </w:rPr>
      </w:pPr>
      <w:r>
        <w:rPr>
          <w:rFonts w:ascii="Arial" w:cs="Arial" w:eastAsia="Arial" w:hAnsi="Arial"/>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We are highly dependent on members of our executive team, the loss of whose services may adversely impact the achievement of our objectives. While we have entered into employment agreements with certain of our executive officers, any of them could leave our employment at any time. We currently do not have “key person” insurance on any of our employees. The loss of the services of one or more of our current key employees might impede the achievement of our research, development and commercialization objectives.</w:t>
      </w:r>
    </w:p>
    <w:p>
      <w:pPr>
        <w:spacing w:after="0" w:line="187" w:lineRule="exact"/>
        <w:rPr>
          <w:sz w:val="20"/>
          <w:szCs w:val="20"/>
          <w:color w:val="auto"/>
        </w:rPr>
      </w:pPr>
    </w:p>
    <w:p>
      <w:pPr>
        <w:ind w:right="40" w:firstLine="546"/>
        <w:spacing w:after="0" w:line="291" w:lineRule="auto"/>
        <w:rPr>
          <w:sz w:val="20"/>
          <w:szCs w:val="20"/>
          <w:color w:val="auto"/>
        </w:rPr>
      </w:pPr>
      <w:r>
        <w:rPr>
          <w:rFonts w:ascii="Arial" w:cs="Arial" w:eastAsia="Arial" w:hAnsi="Arial"/>
          <w:sz w:val="16"/>
          <w:szCs w:val="16"/>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the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in the scale and complexity of our operations, our performance may suffer.</w:t>
      </w:r>
    </w:p>
    <w:p>
      <w:pPr>
        <w:spacing w:after="0" w:line="117"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SGT-001 and any other product candidate that is approved for sale. Future growth would impose significant added responsibilities on members of management. It is likely that our management, finance, development personnel, systems and facilities currently in place may not be adequate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ind w:right="160"/>
        <w:spacing w:after="0" w:line="259" w:lineRule="auto"/>
        <w:rPr>
          <w:sz w:val="20"/>
          <w:szCs w:val="20"/>
          <w:color w:val="auto"/>
        </w:rPr>
      </w:pPr>
      <w:r>
        <w:rPr>
          <w:rFonts w:ascii="Arial" w:cs="Arial" w:eastAsia="Arial" w:hAnsi="Arial"/>
          <w:sz w:val="18"/>
          <w:szCs w:val="18"/>
          <w:color w:val="auto"/>
        </w:rPr>
        <w:t>support this future growth. Our need to effectively manage our operations, growth and any future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62"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the federal Health Insurance Portability and Accountability Act of 1996, or HIPAA, other U.S. federal and state law, and requirements of non-U.S. jurisdictions, including the European Union Data Protection Directive.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firstLine="546"/>
        <w:spacing w:after="0" w:line="311" w:lineRule="auto"/>
        <w:rPr>
          <w:sz w:val="20"/>
          <w:szCs w:val="20"/>
          <w:color w:val="auto"/>
        </w:rPr>
      </w:pPr>
      <w:r>
        <w:rPr>
          <w:rFonts w:ascii="Arial" w:cs="Arial" w:eastAsia="Arial" w:hAnsi="Arial"/>
          <w:sz w:val="16"/>
          <w:szCs w:val="16"/>
          <w:color w:val="auto"/>
        </w:rPr>
        <w:t>Our business and financial prospects could be affected by changes in health care spending and policy in the United States and abroad. We operate in a highly regulated industry and new laws or judicial decisions, or new interpretations of existing laws or decisions, related to health care availability, the method of delivery or payment for health care products and services could negatively impact our business, operations and financial condition.</w:t>
      </w:r>
    </w:p>
    <w:p>
      <w:pPr>
        <w:spacing w:after="0" w:line="149" w:lineRule="exact"/>
        <w:rPr>
          <w:sz w:val="20"/>
          <w:szCs w:val="20"/>
          <w:color w:val="auto"/>
        </w:rPr>
      </w:pPr>
    </w:p>
    <w:p>
      <w:pPr>
        <w:ind w:right="180" w:firstLine="546"/>
        <w:spacing w:after="0" w:line="279" w:lineRule="auto"/>
        <w:rPr>
          <w:sz w:val="20"/>
          <w:szCs w:val="20"/>
          <w:color w:val="auto"/>
        </w:rPr>
      </w:pPr>
      <w:r>
        <w:rPr>
          <w:rFonts w:ascii="Arial" w:cs="Arial" w:eastAsia="Arial" w:hAnsi="Arial"/>
          <w:sz w:val="17"/>
          <w:szCs w:val="17"/>
          <w:color w:val="auto"/>
        </w:rPr>
        <w:t>For example, in the United States there is significant interest in promoting health care reform, as evidenced by the enactment of the Patient Protection and Affordable Care Act and the companion Health Care and Education Reconciliation Act, or the Health Care Reform Law. The Health Care Reform Law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171" w:lineRule="exact"/>
        <w:rPr>
          <w:sz w:val="20"/>
          <w:szCs w:val="20"/>
          <w:color w:val="auto"/>
        </w:rPr>
      </w:pPr>
    </w:p>
    <w:p>
      <w:pPr>
        <w:ind w:right="20" w:firstLine="551"/>
        <w:spacing w:after="0" w:line="269" w:lineRule="auto"/>
        <w:rPr>
          <w:sz w:val="20"/>
          <w:szCs w:val="20"/>
          <w:color w:val="auto"/>
        </w:rPr>
      </w:pPr>
      <w:r>
        <w:rPr>
          <w:rFonts w:ascii="Arial" w:cs="Arial" w:eastAsia="Arial" w:hAnsi="Arial"/>
          <w:sz w:val="17"/>
          <w:szCs w:val="17"/>
          <w:color w:val="auto"/>
        </w:rPr>
        <w:t>The Health Care Reform Law also imposed substantial changes to the U.S. system for paying for health care, including programs to extend medical benefits to millions of individuals who have lacked insurance coverage. Generally, implementation of the Health Care Reform Law has thus far included significant cost-saving, revenue and payment reduction measures with respect to, for example, several government health care programs that might cover our products in the United States, should they be commercialized, including Medicaid and Medicare. Additional downward pricing pressure associated with the Health Care Reform Law includes that the Health Care Reform Law established and provided significant funding for a Patient-Centered Outcomes Research Institute to coordinate and fund Comparative Effectiveness Research, as those terms are defined in the Health Care Reform Law. While the stated intent of Comparative Effectiveness Research is to develop information to guide providers to the most efficacious therapies, outcomes of Comparative Effectiveness Research could influence the reimbursement or coverage for therapies that are determined to be less cost-effective than others. Should any of our products be approved for sale, but then determined to be less cost-effective than alternative therapies, the levels of reimbursement for these products, or the willingness to reimburse at all, could be adversely impacted.</w:t>
      </w:r>
    </w:p>
    <w:p>
      <w:pPr>
        <w:spacing w:after="0" w:line="185" w:lineRule="exact"/>
        <w:rPr>
          <w:sz w:val="20"/>
          <w:szCs w:val="20"/>
          <w:color w:val="auto"/>
        </w:rPr>
      </w:pPr>
    </w:p>
    <w:p>
      <w:pPr>
        <w:ind w:right="100" w:firstLine="551"/>
        <w:spacing w:after="0" w:line="271" w:lineRule="auto"/>
        <w:rPr>
          <w:sz w:val="20"/>
          <w:szCs w:val="20"/>
          <w:color w:val="auto"/>
        </w:rPr>
      </w:pPr>
      <w:r>
        <w:rPr>
          <w:rFonts w:ascii="Arial" w:cs="Arial" w:eastAsia="Arial" w:hAnsi="Arial"/>
          <w:sz w:val="17"/>
          <w:szCs w:val="17"/>
          <w:color w:val="auto"/>
        </w:rPr>
        <w:t>In addition to legislative changes resulting from the passage of the Health Care Reform Law, other legislative changes have been proposed and adopted since the Health Care Reform Law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2029 unless additional Congressional action is taken. The Coronavirus Aid, Relief, and Economic Security Act, or the CARES Act, suspended the 2% Medicare sequester from May 1, 2020 through December 31, 2020, and extended the sequester through 2031. These Medicare sequester reductions have been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2" w:name="page73"/>
    <w:bookmarkEnd w:id="72"/>
    <w:p>
      <w:pPr>
        <w:ind w:right="20"/>
        <w:spacing w:after="0" w:line="275" w:lineRule="auto"/>
        <w:rPr>
          <w:sz w:val="20"/>
          <w:szCs w:val="20"/>
          <w:color w:val="auto"/>
        </w:rPr>
      </w:pPr>
      <w:r>
        <w:rPr>
          <w:rFonts w:ascii="Arial" w:cs="Arial" w:eastAsia="Arial" w:hAnsi="Arial"/>
          <w:sz w:val="17"/>
          <w:szCs w:val="17"/>
          <w:color w:val="auto"/>
        </w:rPr>
        <w:t>suspended through the end of March 2022. From April 2022 through June 2022, a 1% sequester cut will be in effect,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76" w:lineRule="exact"/>
        <w:rPr>
          <w:sz w:val="20"/>
          <w:szCs w:val="20"/>
          <w:color w:val="auto"/>
        </w:rPr>
      </w:pPr>
    </w:p>
    <w:p>
      <w:pPr>
        <w:ind w:firstLine="551"/>
        <w:spacing w:after="0" w:line="289" w:lineRule="auto"/>
        <w:rPr>
          <w:sz w:val="20"/>
          <w:szCs w:val="20"/>
          <w:color w:val="auto"/>
        </w:rPr>
      </w:pPr>
      <w:r>
        <w:rPr>
          <w:rFonts w:ascii="Arial" w:cs="Arial" w:eastAsia="Arial" w:hAnsi="Arial"/>
          <w:sz w:val="16"/>
          <w:szCs w:val="16"/>
          <w:color w:val="auto"/>
        </w:rPr>
        <w:t>Since enactment of the Health Care Reform Law, there have been, and continue to be, numerous legal challenges and Congressional actions to repeal and replace provisions of the law. For example, with enactment of the Tax Cuts and Jobs Act of 2017, or the TCJA, Congress repealed the “individual mandate.” The repeal of this provision of the Health Care Reform Law, which requires most Americans to carry a minimal level of health insurance, became effective in 2019. Further, on December 14, 2018, a U.S. District Court judge in the Northern District of Texas ruled that the individual mandate portion of the Health Care Reform Law is an essential and inseverable feature of the Health Care Reform Law, and therefore because the mandate was repealed as part of the TCJA, the remaining provisions of the Health Care Reform Law are invalid as well. The U.S. Supreme Court heard this case on November 10, 2020 and on June 17, 2021, dismissed this action after finding that the plaintiffs do not have standing to challenge the constitutionality of the statute. It is unclear how such litigation and other efforts to repeal and replace the Health Care Reform Law will impact the Health Care Reform Law and our business. Litigation and legislation over the Health Care Reform Law are likely to continue, with unpredictable and uncertain results.</w:t>
      </w:r>
    </w:p>
    <w:p>
      <w:pPr>
        <w:spacing w:after="0" w:line="166" w:lineRule="exact"/>
        <w:rPr>
          <w:sz w:val="20"/>
          <w:szCs w:val="20"/>
          <w:color w:val="auto"/>
        </w:rPr>
      </w:pPr>
    </w:p>
    <w:p>
      <w:pPr>
        <w:ind w:firstLine="551"/>
        <w:spacing w:after="0" w:line="270" w:lineRule="auto"/>
        <w:rPr>
          <w:sz w:val="20"/>
          <w:szCs w:val="20"/>
          <w:color w:val="auto"/>
        </w:rPr>
      </w:pPr>
      <w:r>
        <w:rPr>
          <w:rFonts w:ascii="Arial" w:cs="Arial" w:eastAsia="Arial" w:hAnsi="Arial"/>
          <w:sz w:val="17"/>
          <w:szCs w:val="17"/>
          <w:color w:val="auto"/>
        </w:rPr>
        <w:t>Although the previous administration took actions to undermine or delay implementation of the Health Care Reform Law, those policies President Biden rescinded those actions with the issuance of an Executive Order on January 28, 2021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Health Care Reform Law that may reduce coverage or undermine the programs, including work requirements; policies that undermine the Health Insurance Marketplace or other markets for health insurance; policies that make it more difficult to enroll in Medicaid and the Health Care Reform Law; and policies that reduce affordability of coverage or financial assistance, including for dependents. This Executive Order also directs the U.S. Department of Health and Human Services to create a special enrollment period for the Health Insurance Marketplace in response to the COVID-19 pandemic.</w:t>
      </w:r>
    </w:p>
    <w:p>
      <w:pPr>
        <w:spacing w:after="0" w:line="181" w:lineRule="exact"/>
        <w:rPr>
          <w:sz w:val="20"/>
          <w:szCs w:val="20"/>
          <w:color w:val="auto"/>
        </w:rPr>
      </w:pPr>
    </w:p>
    <w:p>
      <w:pPr>
        <w:ind w:right="20" w:firstLine="551"/>
        <w:spacing w:after="0" w:line="272" w:lineRule="auto"/>
        <w:rPr>
          <w:sz w:val="20"/>
          <w:szCs w:val="20"/>
          <w:color w:val="auto"/>
        </w:rPr>
      </w:pPr>
      <w:r>
        <w:rPr>
          <w:rFonts w:ascii="Arial" w:cs="Arial" w:eastAsia="Arial" w:hAnsi="Arial"/>
          <w:sz w:val="17"/>
          <w:szCs w:val="17"/>
          <w:color w:val="auto"/>
        </w:rPr>
        <w:t>With enactment of the TCJA, Congress repealed the “individual mandate.” The repeal of this provision, which requires most Americans to carry a minimal level of health insurance, became effective in 2019. Additionally, the 2020 federal spending package permanently eliminated, effective January 1, 2020, the Health Care Reform Law-mandated “Cadillac” tax on high-cost employer-sponsored health coverage and medical device tax and, effective January 1, 2021, also eliminates the health insurer tax. Further, the Bipartisan Budget Act of 2018, among other things, amended the Health Care Reform Law, effective January 1, 2019, to increase the point-of-sale discount that is owed by pharmaceutical manufacturers who participate in Medicare Part D and to close the coverage gap in most Medicare drug plans, commonly referred to as the “donut hole.” The Congress may consider other legislation to replace elements of the Health Care Reform Law.</w:t>
      </w:r>
    </w:p>
    <w:p>
      <w:pPr>
        <w:spacing w:after="0" w:line="218" w:lineRule="exact"/>
        <w:rPr>
          <w:sz w:val="20"/>
          <w:szCs w:val="20"/>
          <w:color w:val="auto"/>
        </w:rPr>
      </w:pPr>
    </w:p>
    <w:p>
      <w:pPr>
        <w:ind w:firstLine="551"/>
        <w:spacing w:after="0" w:line="271" w:lineRule="auto"/>
        <w:rPr>
          <w:sz w:val="20"/>
          <w:szCs w:val="20"/>
          <w:color w:val="auto"/>
        </w:rPr>
      </w:pPr>
      <w:r>
        <w:rPr>
          <w:rFonts w:ascii="Arial" w:cs="Arial" w:eastAsia="Arial" w:hAnsi="Arial"/>
          <w:sz w:val="17"/>
          <w:szCs w:val="17"/>
          <w:color w:val="auto"/>
        </w:rPr>
        <w:t>In addition, the CMS has proposed regulations that would give states greater flexibility in setting benchmarks for insurers in the individual and small group marketplaces, which may have the effect of relaxing the essential health benefits required under the Health Care Reform Law for plans sold through such marketplaces. On November 30, 2018, CMS announced a proposed rule that would amend the Medicare Advantage and Medicare Part D prescription drug benefit regulations to reduce out-of-pocket costs for plan enrollees and allow Medicare plans to negotiate lower rates for certain drugs. Among other things, the proposed rule changes would allow Medicare Advantage plans to use preauthorization, or PA, and step therapy, or ST, for six protected classes of drugs, with certain exceptions; permit plans to implement PA and ST in Medicare Part B drugs; and change the definition of “negotiated prices” as well as add a definition of “price concession” in the regulations. It is unclear whether these proposed changes will be accepted, and if so, what effect such changes will have on our business.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170"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The prices of prescription pharmaceuticals have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products. In 2020, CMS issued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will explore all options to incorporate value into payments for Medicare Part B pharmaceuticals and improve beneficiaries' access to evidence-based care.</w:t>
      </w:r>
    </w:p>
    <w:p>
      <w:pPr>
        <w:spacing w:after="0" w:line="248" w:lineRule="exact"/>
        <w:rPr>
          <w:sz w:val="20"/>
          <w:szCs w:val="20"/>
          <w:color w:val="auto"/>
        </w:rPr>
      </w:pPr>
    </w:p>
    <w:p>
      <w:pPr>
        <w:ind w:right="20" w:firstLine="802"/>
        <w:spacing w:after="0" w:line="270" w:lineRule="auto"/>
        <w:rPr>
          <w:sz w:val="20"/>
          <w:szCs w:val="20"/>
          <w:color w:val="auto"/>
        </w:rPr>
      </w:pPr>
      <w:r>
        <w:rPr>
          <w:rFonts w:ascii="Arial" w:cs="Arial" w:eastAsia="Arial" w:hAnsi="Arial"/>
          <w:sz w:val="17"/>
          <w:szCs w:val="17"/>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w:t>
      </w:r>
    </w:p>
    <w:p>
      <w:pPr>
        <w:spacing w:after="0" w:line="181"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On July 9, 2021, President Biden signed Executive Order 14063, which focuses on, among other things, the price of pharmaceuticals. To address these costs, the Order directs HHS to create a plan within 45 days to combat “excessive pricing of prescription drugs and enhance domestic pharmaceutical supply chains, to reduce the prices paid by the federal government for such drugs, and to address the recurrent problem of price gouging.” 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178"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if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8"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w:t>
      </w:r>
    </w:p>
    <w:p>
      <w:pPr>
        <w:spacing w:after="0" w:line="187" w:lineRule="exact"/>
        <w:rPr>
          <w:sz w:val="20"/>
          <w:szCs w:val="20"/>
          <w:color w:val="auto"/>
        </w:rPr>
      </w:pPr>
    </w:p>
    <w:p>
      <w:pPr>
        <w:jc w:val="both"/>
        <w:ind w:right="60" w:firstLine="546"/>
        <w:spacing w:after="0" w:line="259" w:lineRule="auto"/>
        <w:rPr>
          <w:sz w:val="20"/>
          <w:szCs w:val="20"/>
          <w:color w:val="auto"/>
        </w:rPr>
      </w:pPr>
      <w:r>
        <w:rPr>
          <w:rFonts w:ascii="Arial" w:cs="Arial" w:eastAsia="Arial" w:hAnsi="Arial"/>
          <w:sz w:val="18"/>
          <w:szCs w:val="18"/>
          <w:color w:val="auto"/>
        </w:rPr>
        <w:t>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health care payors of to contain or reduce costs of health care may adversely affect:</w:t>
      </w:r>
    </w:p>
    <w:p>
      <w:pPr>
        <w:spacing w:after="0" w:line="79" w:lineRule="exact"/>
        <w:rPr>
          <w:sz w:val="20"/>
          <w:szCs w:val="20"/>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demand for any product candidates for which we may obtain regulatory approval;</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4" w:name="page75"/>
    <w:bookmarkEnd w:id="74"/>
    <w:p>
      <w:pPr>
        <w:ind w:right="40" w:firstLine="546"/>
        <w:spacing w:after="0" w:line="269" w:lineRule="auto"/>
        <w:rPr>
          <w:sz w:val="20"/>
          <w:szCs w:val="20"/>
          <w:color w:val="auto"/>
        </w:rPr>
      </w:pPr>
      <w:r>
        <w:rPr>
          <w:rFonts w:ascii="Arial" w:cs="Arial" w:eastAsia="Arial" w:hAnsi="Arial"/>
          <w:sz w:val="17"/>
          <w:szCs w:val="17"/>
          <w:color w:val="231F20"/>
        </w:rPr>
        <w:t>Finally, 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185"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231F20"/>
        </w:rPr>
        <w:t>In markets outside of the United States and the European Union,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34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will be subject, directly or indirectly, to federal and state health care fraud and abuse laws, false claims laws, health information privacy and security laws, and other health care laws and regulations. If we are unable to comply, or have not fully complied, with such laws, we could face substantial penalties.</w:t>
      </w:r>
    </w:p>
    <w:p>
      <w:pPr>
        <w:spacing w:after="0" w:line="76"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If we obtain FDA approval for SGT-001, SGT-003 or our other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laws and the Physician Payment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4" w:lineRule="exact"/>
        <w:rPr>
          <w:sz w:val="20"/>
          <w:szCs w:val="20"/>
          <w:color w:val="auto"/>
        </w:rPr>
      </w:pPr>
    </w:p>
    <w:p>
      <w:pPr>
        <w:ind w:left="960" w:right="20" w:hanging="412"/>
        <w:spacing w:after="0" w:line="254"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 care program, such as the Medicare and Medicaid programs. This statute has been interpreted to apply to arrangements between pharmaceutical manufacturers on the one hand, and prescribers, purchasers and formulary managers on the other. The Health Care Reform Law amended the intent requirement of the federal Anti-Kickback Statute. A person or entity no longer needs to have actual knowledge of this statute or specific intent to violate it;</w:t>
      </w:r>
    </w:p>
    <w:p>
      <w:pPr>
        <w:spacing w:after="0" w:line="86" w:lineRule="exact"/>
        <w:rPr>
          <w:rFonts w:ascii="Arial" w:cs="Arial" w:eastAsia="Arial" w:hAnsi="Arial"/>
          <w:sz w:val="18"/>
          <w:szCs w:val="18"/>
          <w:color w:val="auto"/>
        </w:rPr>
      </w:pPr>
    </w:p>
    <w:p>
      <w:pPr>
        <w:ind w:left="960" w:right="140" w:hanging="412"/>
        <w:spacing w:after="0" w:line="25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Health Care Reform Law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79" w:lineRule="exact"/>
        <w:rPr>
          <w:rFonts w:ascii="Arial" w:cs="Arial" w:eastAsia="Arial" w:hAnsi="Arial"/>
          <w:sz w:val="18"/>
          <w:szCs w:val="18"/>
          <w:color w:val="auto"/>
        </w:rPr>
      </w:pPr>
    </w:p>
    <w:p>
      <w:pPr>
        <w:ind w:left="960" w:right="160" w:hanging="412"/>
        <w:spacing w:after="0" w:line="308" w:lineRule="auto"/>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HIPAA, which created new federal criminal statutes that prohibit a person from knowingly and willfully executing a scheme or from making false or fraudulent statements to defraud any health care benefit program, regardless of the payor (e.g., public or private);</w:t>
      </w:r>
    </w:p>
    <w:p>
      <w:pPr>
        <w:spacing w:after="0" w:line="38" w:lineRule="exact"/>
        <w:rPr>
          <w:rFonts w:ascii="Arial" w:cs="Arial" w:eastAsia="Arial" w:hAnsi="Arial"/>
          <w:sz w:val="17"/>
          <w:szCs w:val="17"/>
          <w:color w:val="auto"/>
        </w:rPr>
      </w:pPr>
    </w:p>
    <w:p>
      <w:pPr>
        <w:ind w:left="960" w:right="60" w:hanging="412"/>
        <w:spacing w:after="0" w:line="296" w:lineRule="auto"/>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ind w:left="960" w:right="80" w:hanging="412"/>
        <w:spacing w:after="0" w:line="25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transparency laws, including the federal Physician Payment Sunshine Act, that require certain manufacturers of drugs, devices, biologics and medical supplies for which payment is available under Medicare, Medicaid or the Children’s Health Insurance Program, with specific exceptions, to report annually to the CMS information related to: (i) payments or other “transfers of value” made to physicians, other healthcare professionals and teaching hospitals and (ii) ownership and investment interests held by physicians, other healthcare professionals and their immediate family members;</w:t>
      </w:r>
    </w:p>
    <w:p>
      <w:pPr>
        <w:spacing w:after="0" w:line="79" w:lineRule="exact"/>
        <w:rPr>
          <w:rFonts w:ascii="Arial" w:cs="Arial" w:eastAsia="Arial" w:hAnsi="Arial"/>
          <w:sz w:val="18"/>
          <w:szCs w:val="18"/>
          <w:color w:val="auto"/>
        </w:rPr>
      </w:pPr>
    </w:p>
    <w:p>
      <w:pPr>
        <w:ind w:left="960" w:right="80" w:hanging="412"/>
        <w:spacing w:after="0" w:line="301" w:lineRule="auto"/>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state laws that require drug manufacturers to report information related to payments and other transfers of value to physicians and other health 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 and</w:t>
      </w:r>
    </w:p>
    <w:p>
      <w:pPr>
        <w:spacing w:after="0" w:line="49" w:lineRule="exact"/>
        <w:rPr>
          <w:rFonts w:ascii="Arial" w:cs="Arial" w:eastAsia="Arial" w:hAnsi="Arial"/>
          <w:sz w:val="16"/>
          <w:szCs w:val="16"/>
          <w:color w:val="auto"/>
        </w:rPr>
      </w:pPr>
    </w:p>
    <w:p>
      <w:pPr>
        <w:ind w:left="960" w:right="20" w:hanging="41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w:t>
      </w:r>
    </w:p>
    <w:p>
      <w:pPr>
        <w:spacing w:after="0" w:line="188" w:lineRule="exact"/>
        <w:rPr>
          <w:sz w:val="20"/>
          <w:szCs w:val="20"/>
          <w:color w:val="auto"/>
        </w:rPr>
      </w:pPr>
    </w:p>
    <w:p>
      <w:pPr>
        <w:ind w:right="80" w:firstLine="546"/>
        <w:spacing w:after="0" w:line="296"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we may run afoul of one or more of the requirements.</w:t>
      </w:r>
    </w:p>
    <w:p>
      <w:pPr>
        <w:spacing w:after="0" w:line="31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89" w:lineRule="exact"/>
        <w:rPr>
          <w:sz w:val="20"/>
          <w:szCs w:val="20"/>
          <w:color w:val="auto"/>
        </w:rPr>
      </w:pPr>
    </w:p>
    <w:p>
      <w:pPr>
        <w:ind w:firstLine="551"/>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General Data Protection Regulation, or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201" w:lineRule="exact"/>
        <w:rPr>
          <w:sz w:val="20"/>
          <w:szCs w:val="20"/>
          <w:color w:val="auto"/>
        </w:rPr>
      </w:pPr>
    </w:p>
    <w:p>
      <w:pPr>
        <w:ind w:right="100" w:firstLine="551"/>
        <w:spacing w:after="0" w:line="293" w:lineRule="auto"/>
        <w:rPr>
          <w:sz w:val="20"/>
          <w:szCs w:val="20"/>
          <w:color w:val="auto"/>
        </w:rPr>
      </w:pPr>
      <w:r>
        <w:rPr>
          <w:rFonts w:ascii="Arial" w:cs="Arial" w:eastAsia="Arial" w:hAnsi="Arial"/>
          <w:sz w:val="16"/>
          <w:szCs w:val="16"/>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which went into effect on January 1, 2020, is creating similar risks and obligations as those created by GDPR, though the Act does exempt certain information collected as part of a clinical trial subject to the Federal Policy for the Protection of Human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6" w:name="page77"/>
    <w:bookmarkEnd w:id="76"/>
    <w:p>
      <w:pPr>
        <w:ind w:right="20"/>
        <w:spacing w:after="0" w:line="296" w:lineRule="auto"/>
        <w:rPr>
          <w:sz w:val="20"/>
          <w:szCs w:val="20"/>
          <w:color w:val="auto"/>
        </w:rPr>
      </w:pPr>
      <w:r>
        <w:rPr>
          <w:rFonts w:ascii="Arial" w:cs="Arial" w:eastAsia="Arial" w:hAnsi="Arial"/>
          <w:sz w:val="16"/>
          <w:szCs w:val="16"/>
          <w:color w:val="auto"/>
        </w:rPr>
        <w:t>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88"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such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68" w:lineRule="exact"/>
        <w:rPr>
          <w:sz w:val="20"/>
          <w:szCs w:val="20"/>
          <w:color w:val="auto"/>
        </w:rPr>
      </w:pPr>
    </w:p>
    <w:p>
      <w:pPr>
        <w:ind w:right="140" w:firstLine="546"/>
        <w:spacing w:after="0" w:line="293" w:lineRule="auto"/>
        <w:rPr>
          <w:sz w:val="20"/>
          <w:szCs w:val="20"/>
          <w:color w:val="auto"/>
        </w:rPr>
      </w:pPr>
      <w:r>
        <w:rPr>
          <w:rFonts w:ascii="Arial" w:cs="Arial" w:eastAsia="Arial" w:hAnsi="Arial"/>
          <w:sz w:val="16"/>
          <w:szCs w:val="16"/>
          <w:color w:val="auto"/>
        </w:rPr>
        <w:t xml:space="preserve">Further, </w:t>
      </w:r>
      <w:r>
        <w:rPr>
          <w:rFonts w:ascii="Arial" w:cs="Arial" w:eastAsia="Arial" w:hAnsi="Arial"/>
          <w:sz w:val="16"/>
          <w:szCs w:val="16"/>
          <w:color w:val="231F20"/>
        </w:rPr>
        <w:t>we cannot provide any assurances that our third-party service providers with access to our or our customers’, suppliers’, trial patients’ and</w:t>
      </w:r>
      <w:r>
        <w:rPr>
          <w:rFonts w:ascii="Arial" w:cs="Arial" w:eastAsia="Arial" w:hAnsi="Arial"/>
          <w:sz w:val="16"/>
          <w:szCs w:val="16"/>
          <w:color w:val="auto"/>
        </w:rPr>
        <w:t xml:space="preserve"> </w:t>
      </w:r>
      <w:r>
        <w:rPr>
          <w:rFonts w:ascii="Arial" w:cs="Arial" w:eastAsia="Arial" w:hAnsi="Arial"/>
          <w:sz w:val="16"/>
          <w:szCs w:val="16"/>
          <w:color w:val="231F20"/>
        </w:rPr>
        <w:t>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provide any assurances that our contractual measures and our own privacy and security-related safeguards will protect us from the risks associated with the third-party processing, storage and transmission of such information.</w:t>
      </w:r>
    </w:p>
    <w:p>
      <w:pPr>
        <w:spacing w:after="0" w:line="1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231F20"/>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171"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231F20"/>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8"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231F20"/>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6"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231F20"/>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77" w:name="page78"/>
    <w:bookmarkEnd w:id="77"/>
    <w:p>
      <w:pPr>
        <w:spacing w:after="0" w:line="301" w:lineRule="auto"/>
        <w:rPr>
          <w:sz w:val="20"/>
          <w:szCs w:val="20"/>
          <w:color w:val="auto"/>
        </w:rPr>
      </w:pPr>
      <w:r>
        <w:rPr>
          <w:rFonts w:ascii="Arial" w:cs="Arial" w:eastAsia="Arial" w:hAnsi="Arial"/>
          <w:sz w:val="16"/>
          <w:szCs w:val="16"/>
          <w:color w:val="231F20"/>
        </w:rPr>
        <w:t>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57"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231F20"/>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62" w:lineRule="exact"/>
        <w:rPr>
          <w:sz w:val="20"/>
          <w:szCs w:val="20"/>
          <w:color w:val="auto"/>
        </w:rPr>
      </w:pPr>
    </w:p>
    <w:p>
      <w:pPr>
        <w:ind w:right="480" w:firstLine="546"/>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SGT-001, SGT-003, our other product candidates and any future product candidate in preclinical studies and clinical trials and may face an even greater risk if we commercialize any product candidate that we may develop. If we cannot successfully defend ourselves against claims that our product candidates caused injuries, we could incur substantial liabilities. Regardless of merit or eventual outcome, liability claims may result in:</w:t>
      </w:r>
    </w:p>
    <w:p>
      <w:pPr>
        <w:spacing w:after="0" w:line="79" w:lineRule="exact"/>
        <w:rPr>
          <w:sz w:val="20"/>
          <w:szCs w:val="20"/>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anticipate that we will need to increase our insurance coverage each time we commence a clinical trial and if we successfully commercialize any product candidate. Insurance coverage is increasingly expensive. We may not be able to maintain insurance coverage at a reasonable cost or in an amount adequate to satisfy any liability that may arise.</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viruses and other biologic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We also could incur significant costs associated with civil or criminal fines and penalties. We do not carry specific biological or hazardous waste insurance coverage, and our property, casualty and general liability insurance policies specifically exclude coverage for damages and fines arising from biological or hazardous waste exposure or contamination. 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Accordingly, in the event of contamination or injury, we could be held liable for damages or be penalized with fines in an amount exceeding our resources, and our clinical trials or regulatory approvals could be suspended.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ind w:right="80" w:firstLine="546"/>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w:t>
      </w:r>
    </w:p>
    <w:p>
      <w:pPr>
        <w:spacing w:after="0" w:line="2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contractors or consultants, may fail or suffer security breaches, which could result in a material disruption of our product development.</w:t>
      </w:r>
    </w:p>
    <w:p>
      <w:pPr>
        <w:spacing w:after="0" w:line="62" w:lineRule="exact"/>
        <w:rPr>
          <w:sz w:val="20"/>
          <w:szCs w:val="20"/>
          <w:color w:val="auto"/>
        </w:rPr>
      </w:pPr>
    </w:p>
    <w:p>
      <w:pPr>
        <w:ind w:right="180" w:firstLine="551"/>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78" w:lineRule="exact"/>
        <w:rPr>
          <w:sz w:val="20"/>
          <w:szCs w:val="20"/>
          <w:color w:val="auto"/>
        </w:rPr>
      </w:pPr>
    </w:p>
    <w:p>
      <w:pPr>
        <w:ind w:right="20" w:firstLine="551"/>
        <w:spacing w:after="0" w:line="272" w:lineRule="auto"/>
        <w:rPr>
          <w:sz w:val="20"/>
          <w:szCs w:val="20"/>
          <w:color w:val="auto"/>
        </w:rPr>
      </w:pPr>
      <w:r>
        <w:rPr>
          <w:rFonts w:ascii="Arial" w:cs="Arial" w:eastAsia="Arial" w:hAnsi="Arial"/>
          <w:sz w:val="17"/>
          <w:szCs w:val="17"/>
          <w:color w:val="auto"/>
        </w:rPr>
        <w:t>While we are not aware of any such material system failure, accident, cyber-attack or security breach to date, if such an event were to occur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preclinical studies or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SGT-001, SGT-003 and our other product candidates could be delayed.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heavily rely on certain in-licensed patents and other intellectual property rights in connection with our development of SGT-001, SGT-003 and our other product candidates and may be required to acquire or license additional patents or other intellectual property rights to continue to develop and commercialize SGT-001, SGT-003 and our other product candidates.</w:t>
      </w:r>
    </w:p>
    <w:p>
      <w:pPr>
        <w:spacing w:after="0" w:line="76" w:lineRule="exact"/>
        <w:rPr>
          <w:sz w:val="20"/>
          <w:szCs w:val="20"/>
          <w:color w:val="auto"/>
        </w:rPr>
      </w:pPr>
    </w:p>
    <w:p>
      <w:pPr>
        <w:ind w:firstLine="551"/>
        <w:spacing w:after="0" w:line="253" w:lineRule="auto"/>
        <w:rPr>
          <w:sz w:val="20"/>
          <w:szCs w:val="20"/>
          <w:color w:val="auto"/>
        </w:rPr>
      </w:pPr>
      <w:r>
        <w:rPr>
          <w:rFonts w:ascii="Arial" w:cs="Arial" w:eastAsia="Arial" w:hAnsi="Arial"/>
          <w:sz w:val="18"/>
          <w:szCs w:val="18"/>
          <w:color w:val="auto"/>
        </w:rPr>
        <w:t>Our ability to develop and commercialize SGT-001, SGT-003 and our other product candidates is heavily dependent on licenses to patent rights and other intellectual property granted to us by third parties. In particular, we have licensed certain patents and patent applications from the University of Missouri and the University of Washington that are important or necessary to the development of SGT-001, SGT-003 and other elements of our gene transfer program. Our existing license agreements impose, and we expect that future license agreements will impose, various diligence, development and commercialization obligations, milestone payments, royalties and other obligations on us. If we fail to comply with our obligations under these agreements, we may be subject to damages, which may be significant, and the licensor may have the right to terminate the license, in which event we may not be able to develop or market product candidates or technologies covered by the license, including SGT-001 or SGT-003. In addition, certain of these license agreements are not assignable by us without the consent of the respective licensor, which may have an adverse effect on our ability to engage in certain transactions.</w:t>
      </w:r>
    </w:p>
    <w:p>
      <w:pPr>
        <w:spacing w:after="0" w:line="196" w:lineRule="exact"/>
        <w:rPr>
          <w:sz w:val="20"/>
          <w:szCs w:val="20"/>
          <w:color w:val="auto"/>
        </w:rPr>
      </w:pPr>
    </w:p>
    <w:p>
      <w:pPr>
        <w:ind w:right="60" w:firstLine="551"/>
        <w:spacing w:after="0" w:line="270" w:lineRule="auto"/>
        <w:rPr>
          <w:sz w:val="20"/>
          <w:szCs w:val="20"/>
          <w:color w:val="auto"/>
        </w:rPr>
      </w:pPr>
      <w:r>
        <w:rPr>
          <w:rFonts w:ascii="Arial" w:cs="Arial" w:eastAsia="Arial" w:hAnsi="Arial"/>
          <w:sz w:val="17"/>
          <w:szCs w:val="17"/>
          <w:color w:val="auto"/>
        </w:rPr>
        <w:t>Under our existing license agreements, we do not have, and under future license agreements we may not have, the right to control the preparation, filing and prosecution of patent applications, or the maintenance, enforcement and defense of the patents and patent applications that we license from third parties. For example, under our inbound license agreements with the University of Missouri and the University of Washington, each of the applicable licensors controls the prosecution of patent applications and the maintenance of patents and patent applications. Therefore, we cannot be certain that these patents and applications will be prosecuted, maintained, enforced and defended in a manner consistent with the best interests of our business. If our licensors fail to maintain, enforce or defend such patents, or lose rights to those patents or patent applications, the rights we have licensed may be reduced or eliminated and our right to develop and commercialize any of our product candidates that are the subject of such licensed rights, including SGT-001 and SGT-003, could be adversely affected. For more information, see Part I, Item 1, “Business—Strategic partnerships and collaborations/licenses” of this Annual Report on Form 10-K.</w:t>
      </w:r>
    </w:p>
    <w:p>
      <w:pPr>
        <w:spacing w:after="0" w:line="181" w:lineRule="exact"/>
        <w:rPr>
          <w:sz w:val="20"/>
          <w:szCs w:val="20"/>
          <w:color w:val="auto"/>
        </w:rPr>
      </w:pPr>
    </w:p>
    <w:p>
      <w:pPr>
        <w:ind w:right="100" w:firstLine="551"/>
        <w:spacing w:after="0" w:line="259" w:lineRule="auto"/>
        <w:rPr>
          <w:sz w:val="20"/>
          <w:szCs w:val="20"/>
          <w:color w:val="auto"/>
        </w:rPr>
      </w:pPr>
      <w:r>
        <w:rPr>
          <w:rFonts w:ascii="Arial" w:cs="Arial" w:eastAsia="Arial" w:hAnsi="Arial"/>
          <w:sz w:val="18"/>
          <w:szCs w:val="18"/>
          <w:color w:val="auto"/>
        </w:rPr>
        <w:t>Moreover, licenses to additional third-party intellectual property, technology and materials are required for our development programs but may not be available in the future or may not be available on commercially reasonable terms. For example, we are aware of certain third-party patents related to certain microdystrophin constructs, which, if in force at the time of SGT-001’s commercialization, may be claimed by third parties to cover SGT-001. In addition, third parties may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9" w:name="page80"/>
    <w:bookmarkEnd w:id="79"/>
    <w:p>
      <w:pPr>
        <w:ind w:right="100"/>
        <w:spacing w:after="0" w:line="253" w:lineRule="auto"/>
        <w:rPr>
          <w:sz w:val="20"/>
          <w:szCs w:val="20"/>
          <w:color w:val="auto"/>
        </w:rPr>
      </w:pPr>
      <w:r>
        <w:rPr>
          <w:rFonts w:ascii="Arial" w:cs="Arial" w:eastAsia="Arial" w:hAnsi="Arial"/>
          <w:sz w:val="18"/>
          <w:szCs w:val="18"/>
          <w:color w:val="auto"/>
        </w:rPr>
        <w:t>claim that the AAV vectors we are developing for use in SGT-001, SGT-003 or our other product candidates are covered by patents held by them. We believe that we would have valid defenses to any such claims; however, if any such claims were ultimately successful, we might require a license to continue to use and sell SGT-001, SGT-003, or our other product candidates and such AAV vectors. Such licenses may not be available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Moreover, even if we are able to obtain such licenses, they may only be non-exclusive, which could permit competitors and other third parties to use the same intellectual property in competition with us.</w:t>
      </w:r>
    </w:p>
    <w:p>
      <w:pPr>
        <w:spacing w:after="0" w:line="194" w:lineRule="exact"/>
        <w:rPr>
          <w:sz w:val="20"/>
          <w:szCs w:val="20"/>
          <w:color w:val="auto"/>
        </w:rPr>
      </w:pPr>
    </w:p>
    <w:p>
      <w:pPr>
        <w:jc w:val="both"/>
        <w:ind w:right="80" w:firstLine="546"/>
        <w:spacing w:after="0" w:line="301" w:lineRule="auto"/>
        <w:rPr>
          <w:sz w:val="20"/>
          <w:szCs w:val="20"/>
          <w:color w:val="auto"/>
        </w:rPr>
      </w:pPr>
      <w:r>
        <w:rPr>
          <w:rFonts w:ascii="Arial" w:cs="Arial" w:eastAsia="Arial" w:hAnsi="Arial"/>
          <w:sz w:val="16"/>
          <w:szCs w:val="16"/>
          <w:color w:val="auto"/>
        </w:rPr>
        <w:t>We may collaborate with non-profit and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required timeframe or under terms that are acceptable to us. If we are unable to do so, the institution may offer the intellectual property rights to other parties, potentially blocking our ability to pursue our program.</w:t>
      </w:r>
    </w:p>
    <w:p>
      <w:pPr>
        <w:spacing w:after="0" w:line="157"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If we are unable to successfully obtain rights to any third-party intellectual property rights that are required for the development and commercialization of SGT-001, SGT-003 or any of our other product candidates, and such third-party intellectual property rights are successfully asserted against us, we may be liable for damages, which may be significant, and we may be required to cease the development and commercialization of SGT-001, SGT-003 or our other product candidates.</w:t>
      </w:r>
    </w:p>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6" w:lineRule="exact"/>
        <w:rPr>
          <w:sz w:val="20"/>
          <w:szCs w:val="20"/>
          <w:color w:val="auto"/>
        </w:rPr>
      </w:pPr>
    </w:p>
    <w:p>
      <w:pPr>
        <w:ind w:right="140" w:firstLine="546"/>
        <w:spacing w:after="0" w:line="273" w:lineRule="auto"/>
        <w:rPr>
          <w:sz w:val="20"/>
          <w:szCs w:val="20"/>
          <w:color w:val="auto"/>
        </w:rPr>
      </w:pPr>
      <w:r>
        <w:rPr>
          <w:rFonts w:ascii="Arial" w:cs="Arial" w:eastAsia="Arial" w:hAnsi="Arial"/>
          <w:sz w:val="17"/>
          <w:szCs w:val="17"/>
          <w:color w:val="auto"/>
        </w:rPr>
        <w:t>Our success depends, in large part, on our and our licensors’ ability to seek, obtain, maintain, enforce and defend patent rights in the United States and other countries with respect to SGT-001, SGT-003, our other product candidates and our future innovation related to our manufacturing technology. Our licensors and we have sought, and we intend to continue to seek, to protect our proprietary position by filing patent applications in the United States and, in at least some cases, one or more countries outside the United States related to SGT-001, SGT-003 and certain other product candidates that are important to our business. However, we cannot predict whether the patent applications we and our licensors are currently pursuing will issue as patents or whether the claims of any issued patents will provide us with a competitive advantage.</w:t>
      </w:r>
    </w:p>
    <w:p>
      <w:pPr>
        <w:spacing w:after="0" w:line="178"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Moreover, although we have pending patent applications in the United States and abroad, we cannot predict whether or in which jurisdictions the pending applications will result in issuance of patents that effectively protect any of our product candidates or will effectively prevent others from commercializing competitive products. Further, each of the provisional patent applications is not eligible to become an issued patent until, among other things, we file a non-provisional patent application within 12 months of the filing date of each provisional patent application. If we do not timely file a non-provisional patent application in respect of a provisional patent application, we may lose our priority date with respect to such provisional patent application and any patent protection on the inventions disclosed in such provisional patent application. While we intend to timely file non-provisional patent applications relating to our provisional patent applications, we cannot predict whether such future patent applications will result in the issuance of patents that effectively protect any of our product candidates or will effectively prevent others from commercializing competitive products.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file, prosecute, maintain, enforce, defend or license all patents that are necessary to our business.</w:t>
      </w:r>
    </w:p>
    <w:p>
      <w:pPr>
        <w:spacing w:after="0" w:line="117" w:lineRule="exact"/>
        <w:rPr>
          <w:sz w:val="20"/>
          <w:szCs w:val="20"/>
          <w:color w:val="auto"/>
        </w:rPr>
      </w:pPr>
    </w:p>
    <w:p>
      <w:pPr>
        <w:ind w:right="200" w:firstLine="546"/>
        <w:spacing w:after="0" w:line="308" w:lineRule="auto"/>
        <w:rPr>
          <w:sz w:val="20"/>
          <w:szCs w:val="20"/>
          <w:color w:val="auto"/>
        </w:rPr>
      </w:pPr>
      <w:r>
        <w:rPr>
          <w:rFonts w:ascii="Arial" w:cs="Arial" w:eastAsia="Arial" w:hAnsi="Arial"/>
          <w:sz w:val="17"/>
          <w:szCs w:val="17"/>
          <w:color w:val="auto"/>
        </w:rPr>
        <w:t>The patent prosecution process is expensive, time-consuming and complex, and we and our licensors may not be able to file, prosecute, maintain, enforce, defend or license all necessary or desirable patents and patent applications at a reasonable cost or in a timely manner.</w:t>
      </w:r>
    </w:p>
    <w:p>
      <w:pPr>
        <w:spacing w:after="0" w:line="146"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It is also currently unknown what claims may, if ever, issue from pending applications included in our patent rights. Additionally, certain of our in-licensed U.S. patent rights lack corresponding foreign patents or patent applications, and therefore we will be unable to obtain patent protection for our product candidates in certain jurisdictions. We or our licensors may not be able to obtain or maintain patent protection with respect to SGT-001, SGT-003 or our other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0" w:name="page81"/>
    <w:bookmarkEnd w:id="80"/>
    <w:p>
      <w:pPr>
        <w:ind w:right="140" w:firstLine="546"/>
        <w:spacing w:after="0" w:line="263" w:lineRule="auto"/>
        <w:rPr>
          <w:sz w:val="20"/>
          <w:szCs w:val="20"/>
          <w:color w:val="auto"/>
        </w:rPr>
      </w:pPr>
      <w:r>
        <w:rPr>
          <w:rFonts w:ascii="Arial" w:cs="Arial" w:eastAsia="Arial" w:hAnsi="Arial"/>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licensed patents or future owned patents.</w:t>
      </w:r>
    </w:p>
    <w:p>
      <w:pPr>
        <w:spacing w:after="0" w:line="184"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w:t>
      </w:r>
    </w:p>
    <w:p>
      <w:pPr>
        <w:spacing w:after="0" w:line="188"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Patent applications included in our current and future patent rights may not result in patents being issued that protect our product candidates, effectively prevent others from commercializing competitive products or otherwise provide any competitive advantage. In fact, patent applications may not issue as patents at all. Even assuming patents issue from patent applications in which we have rights, changes in either the patent laws or interpretation of the patent laws in the United States and other jurisdictions may diminish the value of our patents or narrow the scope of our patent protection.</w:t>
      </w:r>
    </w:p>
    <w:p>
      <w:pPr>
        <w:spacing w:after="0" w:line="195" w:lineRule="exact"/>
        <w:rPr>
          <w:sz w:val="20"/>
          <w:szCs w:val="20"/>
          <w:color w:val="auto"/>
        </w:rPr>
      </w:pPr>
    </w:p>
    <w:p>
      <w:pPr>
        <w:ind w:firstLine="546"/>
        <w:spacing w:after="0" w:line="284" w:lineRule="auto"/>
        <w:rPr>
          <w:sz w:val="20"/>
          <w:szCs w:val="20"/>
          <w:color w:val="auto"/>
        </w:rPr>
      </w:pPr>
      <w:r>
        <w:rPr>
          <w:rFonts w:ascii="Arial" w:cs="Arial" w:eastAsia="Arial" w:hAnsi="Arial"/>
          <w:sz w:val="16"/>
          <w:szCs w:val="16"/>
          <w:color w:val="auto"/>
        </w:rPr>
        <w:t>Other parties have developed products that may be related or competitive to our own and such parties may have filed or may file patent applications, or may have received or may receive patents, claiming inventions that may overlap or conflict with those claimed in our patent applications or issued patents. We may not be aware of all third-party intellectual property rights potentially relating to SGT-001, SGT-003 or our other current or future product candidates. In addition, we cannot provide any assurances that any of the inventions disclosed in our patent applications will be found to be patentable, including over third-party or our own prior art patents, publications or other disclosures, or will issue as patents. Even if our patent applications issue as patents, we cannot provide any assurances that such patents will not be challenged or ultimately held to be invalid or unenforceable. Publications of discoveries in the scientific literature often lag behind the actual discoveries, and patent applications in the United States and in other jurisdictions are typically not published until 18 months after filing, or, in some cases, at all. Therefore, we cannot know with certainty whether the inventors of our licensed patents and applications were the first to make the inventions claimed in those patents or pending patent applications, or that they were the first to file for patent protection of such inventions. Similarly, should we own any issued patents or patent applications in the future, we may not be certain that we were the first to file for patent protection for the inventions claimed in such patents or patent applications. Furthermore, given the differences in patent laws in the United States, Europe and other foreign jurisdictions, for example, the availability of grace periods for filing patent applications and what can be considered as prior art, we cannot make any assurances that any claims in our pending and future patent applications in the United States or other jurisdictions will issue, or if they do issue, whether they will issue in a form that provides us with any meaningful competitive advantage. Similarly, we cannot make any assurances that if the patentability, validity, enforceability or scope of our pending or future patents and patent applications in the United States or foreign jurisdictions are challenged by any third party, that the claims of such pending or future patents and patent applications will survive any such challenge in a form that provides us with any meaningful competitive advantage. For example, we are aware of certain third-party patents and publications related to certain microdystrophin constructs. While we believe that our owned or in-licensed patents and patent applications claim novel and non-obvious features of microdystrophin constructs that are not described in such third-party patents or publications, such third-party patents and publications may have earlier priority or publication dates and may be asserted as prior art against our owned or in-licensed patents and applications. Any such challenge, if successful, could limit or eliminate patent protection for our products and product candidates or otherwise materially harm our business. As a result, the issuance, scope, validity, enforceability and commercial value of our patent rights cannot be predicted with any certainty.</w:t>
      </w:r>
    </w:p>
    <w:p>
      <w:pPr>
        <w:spacing w:after="0" w:line="178"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may own in the future do issue as patents, they may not issue in a form that will provide us with any meaningful protection, prevent competitors or other third parties from competing with us or otherwise provide us with any competitive advantage. Any patents that we license or may own in the future may be challenged, narrowed, circumvented, or invalidated by third parties. Consequently, we do not know whether any of our product candidates will be protectable or remain protected by valid and enforceable patents. Our competitors or other third parties may be able to circumvent our patents by developing similar or alternative products in a non-infringing manner.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1" w:name="page82"/>
    <w:bookmarkEnd w:id="81"/>
    <w:p>
      <w:pPr>
        <w:ind w:right="40" w:firstLine="546"/>
        <w:spacing w:after="0" w:line="253" w:lineRule="auto"/>
        <w:rPr>
          <w:sz w:val="20"/>
          <w:szCs w:val="20"/>
          <w:color w:val="auto"/>
        </w:rPr>
      </w:pPr>
      <w:r>
        <w:rPr>
          <w:rFonts w:ascii="Arial" w:cs="Arial" w:eastAsia="Arial" w:hAnsi="Arial"/>
          <w:sz w:val="18"/>
          <w:szCs w:val="18"/>
          <w:color w:val="auto"/>
        </w:rPr>
        <w:t>The degree of patent protection we require to successfully compete in the marketplace may be unavailable. We cannot provide any assurances that any of the patents or patent applications included in our patent rights include or will include claims with a scope sufficient to protect SGT-001, SGT-003 and our other product candidates or otherwise provide any competitive advantage. In addition, the laws of foreign countries may not protect our proprietary rights to the same extent as the laws of the United States. Furthermore, patents have a limited lifespan. In the United States, the natural expiration of a patent is generally twenty years after it is filed. Certain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patent rights may not provide us with adequate and continuing patent protection sufficient to exclude others from commercializing products similar or identical to our product candidates, including biosimilar versions of such products.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licensed patents, and any patents we may own in the future, may be challenged, narrowed, invalidated or held unenforceable.</w:t>
      </w:r>
    </w:p>
    <w:p>
      <w:pPr>
        <w:spacing w:after="0" w:line="117" w:lineRule="exact"/>
        <w:rPr>
          <w:sz w:val="20"/>
          <w:szCs w:val="20"/>
          <w:color w:val="auto"/>
        </w:rPr>
      </w:pPr>
    </w:p>
    <w:p>
      <w:pPr>
        <w:ind w:right="120" w:firstLine="546"/>
        <w:spacing w:after="0" w:line="293" w:lineRule="auto"/>
        <w:rPr>
          <w:sz w:val="20"/>
          <w:szCs w:val="20"/>
          <w:color w:val="auto"/>
        </w:rPr>
      </w:pPr>
      <w:r>
        <w:rPr>
          <w:rFonts w:ascii="Arial" w:cs="Arial" w:eastAsia="Arial" w:hAnsi="Arial"/>
          <w:sz w:val="16"/>
          <w:szCs w:val="16"/>
          <w:color w:val="auto"/>
        </w:rPr>
        <w:t>Even if we acquire patent protection that we expect should enable us to maintain some competitive advantage, third parties, including competitors, may challenge the validity, enforceability or scope thereof, which may result in such patents being narrowed, invalidated or held unenforceable. In litigation, a competitor could claim that our in-licensed patents or any patents we may own in the future are not valid or enforceable for a number of reasons. If a court agrees, we would lose our rights to those challenged patents. Third parties also may raise similar claims before administrative bodies in the United States or abroad, even outside the context of litigation. Such proceedings could result in the revocation or cancellation of or amendment to our licensed patents and any patents we may own in the future in such a way that they no longer cover SGT-001, SGT-003 or our other product candidates.</w:t>
      </w:r>
    </w:p>
    <w:p>
      <w:pPr>
        <w:spacing w:after="0" w:line="164" w:lineRule="exact"/>
        <w:rPr>
          <w:sz w:val="20"/>
          <w:szCs w:val="20"/>
          <w:color w:val="auto"/>
        </w:rPr>
      </w:pPr>
    </w:p>
    <w:p>
      <w:pPr>
        <w:ind w:firstLine="551"/>
        <w:spacing w:after="0" w:line="268" w:lineRule="auto"/>
        <w:rPr>
          <w:sz w:val="20"/>
          <w:szCs w:val="20"/>
          <w:color w:val="auto"/>
        </w:rPr>
      </w:pPr>
      <w:r>
        <w:rPr>
          <w:rFonts w:ascii="Arial" w:cs="Arial" w:eastAsia="Arial" w:hAnsi="Arial"/>
          <w:sz w:val="17"/>
          <w:szCs w:val="17"/>
          <w:color w:val="auto"/>
        </w:rPr>
        <w:t xml:space="preserve">Even if issued, the issuance of a patent is not conclusive as to its inventorship, scope, validity or enforceability, and our current and future patent rights may be challenged in the courts or patent offices in the United States and abroad. For example, we may be subject to a third-party submission of prior art to the U.S. Patent and Trademark Office, or USPTO, challenging the validity of one or more claims of patents included in our patent rights. Such submissions may also be made prior to a patent’s issuance, precluding the granting of a patent based on one of the pending patent applications included in our patent rights. We may become involved in opposition, derivation, revocation, reexamination, post-grant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challenging one or more patents included in our patent rights. For example, competitors may claim that they invented the inventions claimed in patents or patent applications included in our patent rights, such as the microdystrophin we use in SGT-001, prior to the inventors of such patents or patent applications, or may have filed one or more patent applications before the filing of the patents or patent applications included in our patent rights. A competitor who can establish an earlier filing or invention date may also assert that we are infringing their patents and that we therefore cannot practice our technology related to our product candidates as claimed in the patents or patent applications included in our patent rights. Competitors may also contest patents or patent applications included in our patent rights by showing that the claimed subject matter was not patent-eligible, was not novel or was obvious or that the patent claims failed any other requirement for patentability or enforceability. In addition, we may in the future be subject to claims by our or our licensors’ current or former employees or consultants asserting an ownership right in the patents or patent applications included in our patent rights as an inventor or co-inventor, as a result of the work they performed.</w:t>
      </w:r>
    </w:p>
    <w:p>
      <w:pPr>
        <w:spacing w:after="0" w:line="184" w:lineRule="exact"/>
        <w:rPr>
          <w:sz w:val="20"/>
          <w:szCs w:val="20"/>
          <w:color w:val="auto"/>
        </w:rPr>
      </w:pPr>
    </w:p>
    <w:p>
      <w:pPr>
        <w:ind w:right="20" w:firstLine="551"/>
        <w:spacing w:after="0" w:line="270"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therapeutics, without payment to us, or could limit the duration of the patent protection covering our product candidates. Such challenges may also result in our inability to manufacture or commercialize our product candidates without infringing third-party patent rights, and we may be required to obtain a license from third parties, which may not be available on commercially reasonable terms or at all, or we may need to cease the development, manufacture and commercialization of one or more of our product candidates. In addition, if the breadth or strength of protection provided by the patents and patent applications included in our patent rights is threatened, it could dissuade companies from collaborating with us to license, develop or commercialize current or future product candidates. Such proceedings also may result in substantial cost and require significant time from our scientists and management, even if the eventual outcome is favorable to us.</w:t>
      </w:r>
    </w:p>
    <w:p>
      <w:pPr>
        <w:spacing w:after="0" w:line="181" w:lineRule="exact"/>
        <w:rPr>
          <w:sz w:val="20"/>
          <w:szCs w:val="20"/>
          <w:color w:val="auto"/>
        </w:rPr>
      </w:pPr>
    </w:p>
    <w:p>
      <w:pPr>
        <w:ind w:right="60" w:firstLine="551"/>
        <w:spacing w:after="0" w:line="273" w:lineRule="auto"/>
        <w:rPr>
          <w:sz w:val="20"/>
          <w:szCs w:val="20"/>
          <w:color w:val="auto"/>
        </w:rPr>
      </w:pPr>
      <w:r>
        <w:rPr>
          <w:rFonts w:ascii="Arial" w:cs="Arial" w:eastAsia="Arial" w:hAnsi="Arial"/>
          <w:sz w:val="17"/>
          <w:szCs w:val="17"/>
          <w:color w:val="auto"/>
        </w:rPr>
        <w:t>Even if they are unchallenged, the patents and pending patent applications included in our patent rights may not provide us with any meaningful protection or prevent competitors from designing around our patent claims to circumvent our patent rights by developing similar or alternative therapeutics in a non-infringing manner. For example, a third party may develop a competitive therapeutic that provides benefits similar to one or more of our product candidates but that uses a vector or an expression construct that falls outside the scope of our patent protection. If the patent protection provided by the patents and patent applications we license or pursue with respect to our product candidates is not sufficiently broad to impede such competition, our ability to successfully commercialize our product candidates could be negatively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ind w:right="120"/>
        <w:spacing w:after="0" w:line="308" w:lineRule="auto"/>
        <w:rPr>
          <w:sz w:val="20"/>
          <w:szCs w:val="20"/>
          <w:color w:val="auto"/>
        </w:rPr>
      </w:pPr>
      <w:r>
        <w:rPr>
          <w:rFonts w:ascii="Arial" w:cs="Arial" w:eastAsia="Arial" w:hAnsi="Arial"/>
          <w:sz w:val="17"/>
          <w:szCs w:val="17"/>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38"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We currently depend, and will continue to depend, on our license, collaboration and other similar agreements. Further development and commercialization of SGT-001, SGT-003 and our other current and future product candidates may require us to enter into additional license, collaboration or other similar agreements.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any of our licenses or material relationships are terminated or breached, we may:</w:t>
      </w:r>
    </w:p>
    <w:p>
      <w:pPr>
        <w:spacing w:after="0" w:line="117" w:lineRule="exact"/>
        <w:rPr>
          <w:sz w:val="20"/>
          <w:szCs w:val="20"/>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lose our rights to develop and market SGT-001, SGT-003 or our other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lose patent protection for SGT-001, SGT-003 or our other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experience significant delays in the development or commercialization of SGT-001, SGT-003 or our other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 be able to obtain any other licenses on acceptable terms, if at all; or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 liability for damages.</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risks apply to any agreements that we may enter into in the future for SGT-001, SGT-003 and our other current and future product candidates.</w:t>
      </w:r>
    </w:p>
    <w:p>
      <w:pPr>
        <w:spacing w:after="0" w:line="356" w:lineRule="exact"/>
        <w:rPr>
          <w:sz w:val="20"/>
          <w:szCs w:val="20"/>
          <w:color w:val="auto"/>
        </w:rPr>
      </w:pPr>
    </w:p>
    <w:p>
      <w:pPr>
        <w:ind w:right="7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120" w:firstLine="546"/>
        <w:spacing w:after="0" w:line="275" w:lineRule="auto"/>
        <w:rPr>
          <w:sz w:val="20"/>
          <w:szCs w:val="20"/>
          <w:color w:val="auto"/>
        </w:rPr>
      </w:pPr>
      <w:r>
        <w:rPr>
          <w:rFonts w:ascii="Arial" w:cs="Arial" w:eastAsia="Arial" w:hAnsi="Arial"/>
          <w:sz w:val="17"/>
          <w:szCs w:val="17"/>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 of these license agreements, when and if commercial sales of a licensed product commence, we must pay royalties to our licensors on net sales of the respective licensed products.</w:t>
      </w:r>
    </w:p>
    <w:p>
      <w:pPr>
        <w:spacing w:after="0" w:line="176" w:lineRule="exact"/>
        <w:rPr>
          <w:sz w:val="20"/>
          <w:szCs w:val="20"/>
          <w:color w:val="auto"/>
        </w:rPr>
      </w:pPr>
    </w:p>
    <w:p>
      <w:pPr>
        <w:ind w:right="60" w:firstLine="546"/>
        <w:spacing w:after="0" w:line="270" w:lineRule="auto"/>
        <w:rPr>
          <w:sz w:val="20"/>
          <w:szCs w:val="20"/>
          <w:color w:val="auto"/>
        </w:rPr>
      </w:pPr>
      <w:r>
        <w:rPr>
          <w:rFonts w:ascii="Arial" w:cs="Arial" w:eastAsia="Arial" w:hAnsi="Arial"/>
          <w:sz w:val="17"/>
          <w:szCs w:val="17"/>
          <w:color w:val="auto"/>
        </w:rPr>
        <w:t>We have entered into license agreements with third parties and may need to obtain additional licenses from one or more of these same third parties or from others to advance our research or allow our commercialization of SGT-001, SGT-003 or our other product candidates. It is possible that we may be unable to obtain additional licenses at a reasonable cost or on reasonable terms, if at all. In that event, we may be required to expend significant time and resources to redesign SGT-001, SGT-003, our other product candidates or the methods for manufacturing them or to develop or license replacement products, all of which may not be feasible on a technical or commercial basis. If we are unable to do so, we may be unable to develop or commercialize SGT-001, SGT-003 or our other product candidates. We cannot provide any assurances that third-party patents or other intellectual property rights do not exist that might be enforced against our manufacturing methods, product candidates or any technologies we may develop, resulting in either an injunction prohibiting our manufacture or sales, or, with respect to our sales, an obligation on our part to pay royalties and/or other forms of compensation to third parties.</w:t>
      </w:r>
    </w:p>
    <w:p>
      <w:pPr>
        <w:spacing w:after="0" w:line="181" w:lineRule="exact"/>
        <w:rPr>
          <w:sz w:val="20"/>
          <w:szCs w:val="20"/>
          <w:color w:val="auto"/>
        </w:rPr>
      </w:pPr>
    </w:p>
    <w:p>
      <w:pPr>
        <w:ind w:right="20" w:firstLine="546"/>
        <w:spacing w:after="0" w:line="291" w:lineRule="auto"/>
        <w:rPr>
          <w:sz w:val="20"/>
          <w:szCs w:val="20"/>
          <w:color w:val="auto"/>
        </w:rPr>
      </w:pPr>
      <w:r>
        <w:rPr>
          <w:rFonts w:ascii="Arial" w:cs="Arial" w:eastAsia="Arial" w:hAnsi="Arial"/>
          <w:sz w:val="16"/>
          <w:szCs w:val="16"/>
          <w:color w:val="auto"/>
        </w:rPr>
        <w:t>In each of our existing license agreements, and we expect in our future agreements, patent prosecution of our licensed technology is controlled solely by the licensor, and we may be required to reimburse the licensor for their costs of patent prosecution.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Further, in each of our license agreements our licensors have the first right to bring any actions against any third party for infringing on the patents we have licensed. Our license agreements also require us to meet development thresholds to maintain the license, including establishing a set timeline for developing and commercializing product candidates. Disputes may arise regarding intellectual property subject to our licensing agreements, including:</w:t>
      </w:r>
    </w:p>
    <w:p>
      <w:pPr>
        <w:spacing w:after="0" w:line="58" w:lineRule="exact"/>
        <w:rPr>
          <w:sz w:val="20"/>
          <w:szCs w:val="20"/>
          <w:color w:val="auto"/>
        </w:rPr>
      </w:pPr>
    </w:p>
    <w:p>
      <w:pPr>
        <w:ind w:left="5540" w:right="3500" w:hanging="4992"/>
        <w:spacing w:after="0" w:line="559" w:lineRule="auto"/>
        <w:tabs>
          <w:tab w:leader="none" w:pos="9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3" w:name="page84"/>
    <w:bookmarkEnd w:id="83"/>
    <w:p>
      <w:pPr>
        <w:ind w:left="960" w:hanging="412"/>
        <w:spacing w:after="0"/>
        <w:tabs>
          <w:tab w:leader="none" w:pos="9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extent to which our products or processes infringe on intellectual property of the licensor that is not subject to the licensing agreement;</w:t>
      </w:r>
    </w:p>
    <w:p>
      <w:pPr>
        <w:spacing w:after="0" w:line="167" w:lineRule="exact"/>
        <w:rPr>
          <w:rFonts w:ascii="Arial" w:cs="Arial" w:eastAsia="Arial" w:hAnsi="Arial"/>
          <w:sz w:val="16"/>
          <w:szCs w:val="16"/>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44"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inventorship or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priority of invention of licensed patented inventions.</w:t>
      </w:r>
    </w:p>
    <w:p>
      <w:pPr>
        <w:spacing w:after="0" w:line="252" w:lineRule="exact"/>
        <w:rPr>
          <w:sz w:val="20"/>
          <w:szCs w:val="20"/>
          <w:color w:val="auto"/>
        </w:rPr>
      </w:pPr>
    </w:p>
    <w:p>
      <w:pPr>
        <w:ind w:right="220" w:firstLine="546"/>
        <w:spacing w:after="0" w:line="254"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SGT-001, SGT-003 or our other product candidates. In spite of our best efforts, our licensors might conclude that we have materially breached our license agreements and might therefore terminate the license agreements, thereby resulting in disputes or litigation, which could cause us to incur substantial costs and distract management’s time, and if we are unsuccessful, we could lose our ability to develop and commercialize products covered by these license agreements. If these licenses are ultimately terminated by the licensor, or if the underlying patents fail to provide the intended exclusivity, competitors would have the freedom to seek regulatory approval of, and to market, products identical to ours.</w:t>
      </w:r>
    </w:p>
    <w:p>
      <w:pPr>
        <w:spacing w:after="0" w:line="30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right="60" w:firstLine="546"/>
        <w:spacing w:after="0" w:line="291" w:lineRule="auto"/>
        <w:rPr>
          <w:sz w:val="20"/>
          <w:szCs w:val="20"/>
          <w:color w:val="auto"/>
        </w:rPr>
      </w:pPr>
      <w:r>
        <w:rPr>
          <w:rFonts w:ascii="Arial" w:cs="Arial" w:eastAsia="Arial" w:hAnsi="Arial"/>
          <w:sz w:val="16"/>
          <w:szCs w:val="16"/>
          <w:color w:val="auto"/>
        </w:rPr>
        <w:t xml:space="preserve">Our commercial success depends upon our ability and the ability of our future collaborators to develop, manufacture, market and sell SGT-001, SGT-003 and our other current and future product candidates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or our licensors may in the future become party to, or be threatened with, adversarial proceedings or litigation regarding intellectual property rights with respect to SGT-001, SGT-003 or our other product candidates, including interference proceedings, post 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before the USPTO. Our competitors or other third parties may assert infringement claims against us, alleging that, among other things, our therapeutics, manufacturing methods, formulations or administration methods are covered by their patents.</w:t>
      </w:r>
    </w:p>
    <w:p>
      <w:pPr>
        <w:spacing w:after="0" w:line="166"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Given the vast number of patents in our field of technology, we cannot be certain or guarantee that a court would hold that SGT-001, SGT-003 or any of our other product candidates does not infringe an existing patent or a patent that may be granted in the future. Many companies and institutions have filed, and continue to file, patent applications related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may later result in issued patents that may be infringed by the manufacture, use, sale or importation of our product candidates and we may or may not be aware of such patents. If a patent holder believes the manufacture, use, sale or importation of one of our product candidates infringes its patent, the patent holder may sue us even if we have licensed other patent protection for our product candidates. Moreover, we may face patent infringement claims from non-practicing entities that have no relevant product revenue and against whom our licensed patent portfolio may therefore have no deterrent effect.</w:t>
      </w:r>
    </w:p>
    <w:p>
      <w:pPr>
        <w:spacing w:after="0" w:line="172"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which we may need a license to develop and commercialize SGT-001, SGT-003 and our other product candidates.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product candidates.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4" w:name="page85"/>
    <w:bookmarkEnd w:id="84"/>
    <w:p>
      <w:pPr>
        <w:ind w:right="40" w:firstLine="546"/>
        <w:spacing w:after="0" w:line="269" w:lineRule="auto"/>
        <w:rPr>
          <w:sz w:val="20"/>
          <w:szCs w:val="20"/>
          <w:color w:val="auto"/>
        </w:rPr>
      </w:pPr>
      <w:r>
        <w:rPr>
          <w:rFonts w:ascii="Arial" w:cs="Arial" w:eastAsia="Arial" w:hAnsi="Arial"/>
          <w:sz w:val="17"/>
          <w:szCs w:val="17"/>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or other intellectual property rights against us. For example, third parties may claim that the microdystrophin or the AAV vectors we are developing for use in SGT-001, SGT-003 or our other product candidates are covered by patents held by them. Even if we believe such claim, or other intellectual property claims alleged by third parties, are without merit, there is no assurance that we would be successful in defending such claims. A court of competent jurisdiction could hold that these third-party patents are valid, enforceable and infringed, which could materially and adversely affect our ability to commercialize SGT-001, SGT-003 or our other product candidates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Similarly, there is no assurance that a court of competent jurisdiction would find that SGT-001, SGT-003 or our other product candidates did not infringe a third-party patent.</w:t>
      </w:r>
    </w:p>
    <w:p>
      <w:pPr>
        <w:spacing w:after="0" w:line="182"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that we may be found, to infringe, misappropriate or otherwise violate a third party’s intellectual property rights, and we are unsuccessful in demonstrating that such intellectual property rights are invalid or unenforceable, we could be required or may choose to obtain a license from such third party to continue developing, manufacturing and marketing our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product candidate, including SGT-001, SGT-003 or our other product candidates. In addition, we could be found liable for monetary damages, including treble damages and attorneys’ fees, if we are found to have willfully infringed a patent or other intellectual property right. A finding of infringement, misappropriation or other violation of intellectual property rights, or claims that we have done so, could prevent us from manufacturing and commercializing our product candidates or force us to cease some or all of our business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160" w:firstLine="546"/>
        <w:spacing w:after="0" w:line="270"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time-consuming. Competitors may infringe patents that we may own in the future or the patents of our licensing partners or we may be required to defend against claims of infringement. Even if resolved in our favor, litigation or other legal proceedings relating to intellectual property claims may cause us to incur significant expenses and could distract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1" w:lineRule="exact"/>
        <w:rPr>
          <w:sz w:val="20"/>
          <w:szCs w:val="20"/>
          <w:color w:val="auto"/>
        </w:rPr>
      </w:pPr>
    </w:p>
    <w:p>
      <w:pPr>
        <w:ind w:right="80" w:firstLine="546"/>
        <w:spacing w:after="0" w:line="275" w:lineRule="auto"/>
        <w:rPr>
          <w:sz w:val="20"/>
          <w:szCs w:val="20"/>
          <w:color w:val="auto"/>
        </w:rPr>
      </w:pPr>
      <w:r>
        <w:rPr>
          <w:rFonts w:ascii="Arial" w:cs="Arial" w:eastAsia="Arial" w:hAnsi="Arial"/>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4"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 applications and any patents and patent applications we may own in the future. The USPTO and various non-U.S. government patent agencies require compliance with several procedural, documentary, fee payment and other similar provisions during the patent application process. We employ reputable intellectual property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spacing w:after="0" w:line="286" w:lineRule="auto"/>
        <w:rPr>
          <w:sz w:val="20"/>
          <w:szCs w:val="20"/>
          <w:color w:val="auto"/>
        </w:rPr>
      </w:pPr>
      <w:r>
        <w:rPr>
          <w:rFonts w:ascii="Arial" w:cs="Arial" w:eastAsia="Arial" w:hAnsi="Arial"/>
          <w:sz w:val="17"/>
          <w:szCs w:val="17"/>
          <w:b w:val="1"/>
          <w:bCs w:val="1"/>
          <w:i w:val="1"/>
          <w:iCs w:val="1"/>
          <w:color w:val="auto"/>
        </w:rPr>
        <w:t>Some intellectual property that we have in-licensed may have been discovered through government-funded programs and thus may be subject to federal regulations such as “march-in” rights, certain reporting requirements, and a preference for U.S. manufacturing. Compliance with such regulations may limit our exclusive rights, and limit our ability to contract with non-U.S. manufacturers.</w:t>
      </w:r>
    </w:p>
    <w:p>
      <w:pPr>
        <w:spacing w:after="0" w:line="57" w:lineRule="exact"/>
        <w:rPr>
          <w:sz w:val="20"/>
          <w:szCs w:val="20"/>
          <w:color w:val="auto"/>
        </w:rPr>
      </w:pPr>
    </w:p>
    <w:p>
      <w:pPr>
        <w:ind w:right="40" w:firstLine="546"/>
        <w:spacing w:after="0" w:line="285" w:lineRule="auto"/>
        <w:rPr>
          <w:sz w:val="20"/>
          <w:szCs w:val="20"/>
          <w:color w:val="auto"/>
        </w:rPr>
      </w:pPr>
      <w:r>
        <w:rPr>
          <w:rFonts w:ascii="Arial" w:cs="Arial" w:eastAsia="Arial" w:hAnsi="Arial"/>
          <w:sz w:val="16"/>
          <w:szCs w:val="16"/>
          <w:color w:val="auto"/>
        </w:rPr>
        <w:t>Some of the intellectual property rights we have licensed, including such rights licensed from the University of Missouri and the University of Washington, are stated to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200" w:firstLine="546"/>
        <w:spacing w:after="0" w:line="269" w:lineRule="auto"/>
        <w:rPr>
          <w:sz w:val="20"/>
          <w:szCs w:val="20"/>
          <w:color w:val="auto"/>
        </w:rPr>
      </w:pPr>
      <w:r>
        <w:rPr>
          <w:rFonts w:ascii="Arial" w:cs="Arial" w:eastAsia="Arial" w:hAnsi="Arial"/>
          <w:sz w:val="17"/>
          <w:szCs w:val="17"/>
          <w:color w:val="auto"/>
        </w:rPr>
        <w:t>Filing, prosecuting, maintaining, enforcing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certain of our in-licensed U.S. patents lack corresponding foreign patents or patent applications. For example,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inventions in jurisdictions where we and our licensors have not pursued and obtained patent protection to develop their own products and may export otherwise infringing products to territories where we have patent protection, but where enforcement is not as strong as it is in the United States. These products may compete with our product candidates and our patents or other intellectual property rights may not be effective or sufficient to prevent them from competing.</w:t>
      </w:r>
    </w:p>
    <w:p>
      <w:pPr>
        <w:spacing w:after="0" w:line="182" w:lineRule="exact"/>
        <w:rPr>
          <w:sz w:val="20"/>
          <w:szCs w:val="20"/>
          <w:color w:val="auto"/>
        </w:rPr>
      </w:pPr>
    </w:p>
    <w:p>
      <w:pPr>
        <w:ind w:right="60" w:firstLine="546"/>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rights, particularly those relating to biotechnology products, which could make it difficult for us to stop the infringement of our patents, if pursued and obtained, or the marketing of competing products in violation of our intellectual property and proprietary rights generally. Proceedings to enforce our intellectual property and proprietary rights in foreign jurisdictions could (i) result in substantial costs and divert our efforts and attention from other aspects of our business, (ii) put our patents at risk of being invalidated or interpreted narrowly and our patent applications at risk of not issuing and (iii)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80" w:firstLine="546"/>
        <w:spacing w:after="0" w:line="275"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the discovery and development processes of SGT-001, SGT-003 and our other product candidates that involve proprietary know-how, information or technology that is not covered by patents. Our manufacturing process is protected by trade secrets. However, trade secrets can be difficult to protect and some courts inside and outside the United States are less willing or unwilling to protect trade secrets.</w:t>
      </w:r>
    </w:p>
    <w:p>
      <w:pPr>
        <w:spacing w:after="0" w:line="176" w:lineRule="exact"/>
        <w:rPr>
          <w:sz w:val="20"/>
          <w:szCs w:val="20"/>
          <w:color w:val="auto"/>
        </w:rPr>
      </w:pPr>
    </w:p>
    <w:p>
      <w:pPr>
        <w:ind w:right="40" w:firstLine="546"/>
        <w:spacing w:after="0" w:line="268" w:lineRule="auto"/>
        <w:rPr>
          <w:sz w:val="20"/>
          <w:szCs w:val="20"/>
          <w:color w:val="auto"/>
        </w:rPr>
      </w:pPr>
      <w:r>
        <w:rPr>
          <w:rFonts w:ascii="Arial" w:cs="Arial" w:eastAsia="Arial" w:hAnsi="Arial"/>
          <w:sz w:val="17"/>
          <w:szCs w:val="17"/>
          <w:color w:val="auto"/>
        </w:rPr>
        <w:t>We seek to protect our proprietary know-how, trade secrets and processes, in part, by entering into confidentiality agreements and, if applicable, material transfer agreements, consulting agreements or other similar agreements with our employees, consultants, scientific advisors, CROs, manufacturers and contractors. These agreements typically limit the rights of third parties to use or disclose our confidential information. However, we may not be able to prevent the unauthorized disclosure or use of our technical know-how or other trade secrets by the parties to these agreements, despite the existence generally of confidentiality agreements and other contractual restrictions. We cannot guarantee that we have entered into such agreements with each party that may have or have had access to our trade secrets or proprietary processes. Monitoring unauthorized uses and disclosures is difficult and we do not know whether the steps we have taken to protect our proprietary know-how and trade secrets will be effective. If any of our employees, collaborators, CROs, manufacturers, consultants, advisors and other third parties who are parties to these agreements breaches or violates the terms of any of these agreements, we may not have adequate remedies for any such breach or violation. Enforcing a claim that a party illegally disclosed or misappropriated a trade secret is difficult, expensive, and time-consuming, and the outcome is unpredictable. As a result, we could lose our trade secrets. We also seek to preserve the integrity and confidentiality of our data and trade secrets by maintaining physical security of our premises and physical and electronic security of our information technology systems. While we have confidence in these security measures, they may still be breached, and we may not have adequate remedies for any breach.</w:t>
      </w:r>
    </w:p>
    <w:p>
      <w:pPr>
        <w:spacing w:after="0" w:line="186"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In addition, our trade secrets may otherwise become known or be independently discovered by competitors. Competitors could purchase our product candidates, if approved, and attempt to replicate some or all of the competitive advantages we derive from our development efforts, willfully infringe, misappropriate or otherwise violate our intellectual property rights, design around our protected know-how and trade secrets, or develop their own competitive technologies that fall outside of our intellectual property rights. If any of our trade secrets were to be lawfully obtained or independently developed by a competitor, we would have no right to prevent them, or those to whom they communicate such trade secrets, from using that technology or information to compete with us. If our trade secrets are not adequately protected so as to protect our market against competitors’ products and technologies, our competitive position could be adversely affected.</w:t>
      </w:r>
    </w:p>
    <w:p>
      <w:pPr>
        <w:spacing w:after="0" w:line="303"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Certain of our employees, consultants or advisors are currently, or were previously, employed at universities or other biotechnology or pharmaceutical companies, including our competitors or potential competitors, as well as our academic partners.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and may prevent us from successfully commercializing our product candidates. Moreover, any such litigation or the threat of such litigation may adversely affect our ability to hire employees or contract with independent contractors. A loss of key personnel or their work product could hamper or prevent our ability to commercialize our product candidates. Even if we are successful in defending against such claims, litigation could result in substantial costs and be a distraction to management.</w:t>
      </w:r>
    </w:p>
    <w:p>
      <w:pPr>
        <w:spacing w:after="0" w:line="185" w:lineRule="exact"/>
        <w:rPr>
          <w:sz w:val="20"/>
          <w:szCs w:val="20"/>
          <w:color w:val="auto"/>
        </w:rPr>
      </w:pPr>
    </w:p>
    <w:p>
      <w:pPr>
        <w:ind w:right="80" w:firstLine="546"/>
        <w:spacing w:after="0" w:line="29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Moreover, individuals executing agreements with us may have preexisting or competing obligations to a third party, such as an academic institution, and thus an agreement with us may be ineffective in perfecting ownership of inventions developed by that individual.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129"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Prior to March 2013 in the United States, assuming that other requirements for patentability are met, the first to make the claimed invention was entitled to the patent, while outside the United States, the first to file a patent application was entitled to the patent. After March 2013, under the Leahy-Smith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through various post-grant proceedings administered by the USPTO.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as, among other reasons, the USPTO must still implement various regulations. However, the Leahy-Smith Act and its implementation could increase the uncertainties and costs surrounding the prosecution of our patent applications and the enforcement or defense of our issued patents.</w:t>
      </w:r>
    </w:p>
    <w:p>
      <w:pPr>
        <w:spacing w:after="0" w:line="171" w:lineRule="exact"/>
        <w:rPr>
          <w:sz w:val="20"/>
          <w:szCs w:val="20"/>
          <w:color w:val="auto"/>
        </w:rPr>
      </w:pPr>
    </w:p>
    <w:p>
      <w:pPr>
        <w:ind w:right="20" w:firstLine="551"/>
        <w:spacing w:after="0" w:line="287"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been decided by the U.S. Supreme Court. On March 20, 2012, the U.S. Supreme Court issued a decision in Mayo Collaborative Services v. Prometheus Laboratories, Inc., or Prometheus, a case involving patent claims directed to a process of measuring a metabolic product in a patient to optimize a drug dosage for the patient. According to the U.S. Supreme Court, the addition of well 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patent claim amounts to significantly more than the natural principle itself should be rejected as directed to patent-ineligible subject matter. On June 13, 2013, the U.S.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may be patent-eligible.</w:t>
      </w:r>
    </w:p>
    <w:p>
      <w:pPr>
        <w:spacing w:after="0" w:line="168" w:lineRule="exact"/>
        <w:rPr>
          <w:sz w:val="20"/>
          <w:szCs w:val="20"/>
          <w:color w:val="auto"/>
        </w:rPr>
      </w:pPr>
    </w:p>
    <w:p>
      <w:pPr>
        <w:ind w:right="20" w:firstLine="551"/>
        <w:spacing w:after="0" w:line="269" w:lineRule="auto"/>
        <w:rPr>
          <w:sz w:val="20"/>
          <w:szCs w:val="20"/>
          <w:color w:val="auto"/>
        </w:rPr>
      </w:pPr>
      <w:r>
        <w:rPr>
          <w:rFonts w:ascii="Arial" w:cs="Arial" w:eastAsia="Arial" w:hAnsi="Arial"/>
          <w:sz w:val="17"/>
          <w:szCs w:val="17"/>
          <w:color w:val="auto"/>
        </w:rPr>
        <w:t>In 2014, the USPTO issued a guidance to its patent examiners for evaluating claims for patent subject matter eligibility under the relevant statute (35 U.S.C. § 101). This guidance was in response to a series of decisions from the U.S. Supreme Court on patent claims reciting judicial exceptions, including Abstract Ideas, Laws of Nature/Natural Principles, Natural Phenomena and/or Natural Products. Based on judicial decisions and public feedback, several supplements to this guidance and additional memoranda and materials have since been issued and are continually being issued, while the current eligibility guidance has been incorporated into the latest (10th) edition of the MPEP (Manual for Patent Examination Procedure), last revised in June 2020. The current subject matter eligibility guideline instructs USPTO examiners to follow a two-part test, set forth in the U.S. Supreme Court decisions Alice/Mayo, as the only test that should be used to evaluate the eligibility of claims under examination, including claims directed to natural products and principles including all naturally occurring nucleic acids. 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current USPTO subject matter eligibility guidance and the constantly evolving case law, together with contemplated congressional action, could all impact our ability to pursue similar patent claims in patent applications we may prosecute in the future.</w:t>
      </w:r>
    </w:p>
    <w:p>
      <w:pPr>
        <w:spacing w:after="0" w:line="179" w:lineRule="exact"/>
        <w:rPr>
          <w:sz w:val="20"/>
          <w:szCs w:val="20"/>
          <w:color w:val="auto"/>
        </w:rPr>
      </w:pPr>
    </w:p>
    <w:p>
      <w:pPr>
        <w:ind w:right="60" w:firstLine="551"/>
        <w:spacing w:after="0" w:line="296" w:lineRule="auto"/>
        <w:rPr>
          <w:sz w:val="20"/>
          <w:szCs w:val="20"/>
          <w:color w:val="auto"/>
        </w:rPr>
      </w:pPr>
      <w:r>
        <w:rPr>
          <w:rFonts w:ascii="Arial" w:cs="Arial" w:eastAsia="Arial" w:hAnsi="Arial"/>
          <w:sz w:val="16"/>
          <w:szCs w:val="16"/>
          <w:color w:val="auto"/>
        </w:rPr>
        <w:t>We cannot assure our stockholders that our efforts to seek patent protection for our product candidates will not be negatively impacted by the decisions described above, rulings in other cases or changes in guidance or procedures issued by the USPTO. We cannot fully predict what impact the U.S.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8" w:name="page89"/>
    <w:bookmarkEnd w:id="88"/>
    <w:p>
      <w:pPr>
        <w:ind w:right="80" w:firstLine="546"/>
        <w:spacing w:after="0" w:line="296" w:lineRule="auto"/>
        <w:rPr>
          <w:sz w:val="20"/>
          <w:szCs w:val="20"/>
          <w:color w:val="auto"/>
        </w:rPr>
      </w:pPr>
      <w:r>
        <w:rPr>
          <w:rFonts w:ascii="Arial" w:cs="Arial" w:eastAsia="Arial" w:hAnsi="Arial"/>
          <w:sz w:val="16"/>
          <w:szCs w:val="16"/>
          <w:color w:val="auto"/>
        </w:rPr>
        <w:t>Moreover, although the U.S.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w:t>
      </w:r>
    </w:p>
    <w:p>
      <w:pPr>
        <w:spacing w:after="0" w:line="26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 for patents relating to SGT-001, SGT-003 or our other product candidates, our business may be materially harmed.</w:t>
      </w:r>
    </w:p>
    <w:p>
      <w:pPr>
        <w:spacing w:after="0" w:line="62"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SGT-001, SGT-003 and our other product candidates, one or more U.S. patents that we license or may own in the future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based on the first regulatory approval for a particular drug or biologic.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be able to enter the market sooner.</w:t>
      </w:r>
    </w:p>
    <w:p>
      <w:pPr>
        <w:spacing w:after="0" w:line="2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and our business may be adversely affected.</w:t>
      </w:r>
    </w:p>
    <w:p>
      <w:pPr>
        <w:spacing w:after="0" w:line="62"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We have registered trademarks with the USPTO for the marks “SOLID BIOSCIENCES”, “SOLID GT” and “SOLID”. Once registered,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60" w:right="460" w:hanging="41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in the future;</w:t>
      </w:r>
    </w:p>
    <w:p>
      <w:pPr>
        <w:spacing w:after="0" w:line="62" w:lineRule="exact"/>
        <w:rPr>
          <w:rFonts w:ascii="Arial" w:cs="Arial" w:eastAsia="Arial" w:hAnsi="Arial"/>
          <w:sz w:val="18"/>
          <w:szCs w:val="18"/>
          <w:color w:val="auto"/>
        </w:rPr>
      </w:pPr>
    </w:p>
    <w:p>
      <w:pPr>
        <w:ind w:left="960" w:right="40" w:hanging="41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960" w:right="140" w:hanging="41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current and future license partners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60" w:right="160" w:hanging="41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or duplicate any of our processes without infringing our owned or licensed intellectual property rights;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9" w:name="page90"/>
    <w:bookmarkEnd w:id="89"/>
    <w:p>
      <w:pPr>
        <w:ind w:left="960" w:right="560" w:hanging="412"/>
        <w:spacing w:after="0" w:line="342"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spacing w:after="0" w:line="15" w:lineRule="exact"/>
        <w:rPr>
          <w:rFonts w:ascii="Arial" w:cs="Arial" w:eastAsia="Arial" w:hAnsi="Arial"/>
          <w:sz w:val="16"/>
          <w:szCs w:val="16"/>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44" w:lineRule="exact"/>
        <w:rPr>
          <w:rFonts w:ascii="Arial" w:cs="Arial" w:eastAsia="Arial" w:hAnsi="Arial"/>
          <w:sz w:val="18"/>
          <w:szCs w:val="18"/>
          <w:color w:val="auto"/>
        </w:rPr>
      </w:pPr>
    </w:p>
    <w:p>
      <w:pPr>
        <w:ind w:left="960" w:right="40" w:hanging="412"/>
        <w:spacing w:after="0" w:line="27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issued patents that we hold rights to now or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have access to the same intellectual property rights licensed to us;</w:t>
      </w:r>
    </w:p>
    <w:p>
      <w:pPr>
        <w:spacing w:after="0" w:line="144" w:lineRule="exact"/>
        <w:rPr>
          <w:rFonts w:ascii="Arial" w:cs="Arial" w:eastAsia="Arial" w:hAnsi="Arial"/>
          <w:sz w:val="18"/>
          <w:szCs w:val="18"/>
          <w:color w:val="auto"/>
        </w:rPr>
      </w:pPr>
    </w:p>
    <w:p>
      <w:pPr>
        <w:ind w:left="960" w:right="780" w:hanging="412"/>
        <w:spacing w:after="0" w:line="308" w:lineRule="auto"/>
        <w:tabs>
          <w:tab w:leader="none" w:pos="9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or other intellectual property rights of others may have an adverse effect on our business; and</w:t>
      </w:r>
    </w:p>
    <w:p>
      <w:pPr>
        <w:spacing w:after="0" w:line="144" w:lineRule="exact"/>
        <w:rPr>
          <w:rFonts w:ascii="Arial" w:cs="Arial" w:eastAsia="Arial" w:hAnsi="Arial"/>
          <w:sz w:val="18"/>
          <w:szCs w:val="18"/>
          <w:color w:val="auto"/>
        </w:rPr>
      </w:pPr>
    </w:p>
    <w:p>
      <w:pPr>
        <w:ind w:left="960" w:right="540" w:hanging="412"/>
        <w:spacing w:after="0" w:line="27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 how, and a third party may subsequently file a patent covering such intellectual property.</w:t>
      </w:r>
    </w:p>
    <w:p>
      <w:pPr>
        <w:spacing w:after="0" w:line="31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If approved, our product candidates that are licensed and regulated as biologics may face competition from biosimilars approved through an abbreviated regulatory pathway.</w:t>
      </w:r>
    </w:p>
    <w:p>
      <w:pPr>
        <w:spacing w:after="0" w:line="89" w:lineRule="exact"/>
        <w:rPr>
          <w:sz w:val="20"/>
          <w:szCs w:val="20"/>
          <w:color w:val="auto"/>
        </w:rPr>
      </w:pPr>
    </w:p>
    <w:p>
      <w:pPr>
        <w:ind w:right="80" w:firstLine="802"/>
        <w:spacing w:after="0" w:line="269" w:lineRule="auto"/>
        <w:rPr>
          <w:sz w:val="20"/>
          <w:szCs w:val="20"/>
          <w:color w:val="auto"/>
        </w:rPr>
      </w:pPr>
      <w:r>
        <w:rPr>
          <w:rFonts w:ascii="Arial" w:cs="Arial" w:eastAsia="Arial" w:hAnsi="Arial"/>
          <w:sz w:val="17"/>
          <w:szCs w:val="17"/>
          <w:color w:val="auto"/>
        </w:rPr>
        <w:t>The Biologics Price Competition and Innovation Act of 2009, or BPCIA, was enacted as part of the Health Care Reform Law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adverse effect on the future commercial prospects for our biological products.</w:t>
      </w:r>
    </w:p>
    <w:p>
      <w:pPr>
        <w:spacing w:after="0" w:line="114" w:lineRule="exact"/>
        <w:rPr>
          <w:sz w:val="20"/>
          <w:szCs w:val="20"/>
          <w:color w:val="auto"/>
        </w:rPr>
      </w:pPr>
    </w:p>
    <w:p>
      <w:pPr>
        <w:ind w:right="40" w:firstLine="802"/>
        <w:spacing w:after="0" w:line="285" w:lineRule="auto"/>
        <w:rPr>
          <w:sz w:val="20"/>
          <w:szCs w:val="20"/>
          <w:color w:val="auto"/>
        </w:rPr>
      </w:pPr>
      <w:r>
        <w:rPr>
          <w:rFonts w:ascii="Arial" w:cs="Arial" w:eastAsia="Arial" w:hAnsi="Arial"/>
          <w:sz w:val="16"/>
          <w:szCs w:val="16"/>
          <w:color w:val="auto"/>
        </w:rPr>
        <w:t>We believe that any of the product candidates we develop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will depend on a number of marketplace and regulatory factors that are still</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developing. Nonetheless, the approval of a biosimilar to our product candidates would have a material adverse impact on our business due to increased competition and pricing pressure.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maintain the ability to control or significantly influence all matters submitted to our stockholders for approval.</w:t>
      </w:r>
    </w:p>
    <w:p>
      <w:pPr>
        <w:spacing w:after="0" w:line="62"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Our executive officers and directors and principal stockholders, in the aggregate, beneficially own shares representing a significant percentage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ind w:left="560"/>
        <w:spacing w:after="0"/>
        <w:rPr>
          <w:sz w:val="20"/>
          <w:szCs w:val="20"/>
          <w:color w:val="auto"/>
        </w:rPr>
      </w:pPr>
      <w:r>
        <w:rPr>
          <w:rFonts w:ascii="Arial" w:cs="Arial" w:eastAsia="Arial" w:hAnsi="Arial"/>
          <w:sz w:val="18"/>
          <w:szCs w:val="18"/>
          <w:color w:val="auto"/>
        </w:rPr>
        <w:t>This concentration of voting power may:</w:t>
      </w:r>
    </w:p>
    <w:p>
      <w:pPr>
        <w:spacing w:after="0" w:line="117" w:lineRule="exact"/>
        <w:rPr>
          <w:sz w:val="20"/>
          <w:szCs w:val="20"/>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entrench our management and our Board of Directors; or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delay or prevent a merger, consolidation, takeover or other business combination involving us on terms that other stockholders may desire.</w:t>
      </w:r>
    </w:p>
    <w:p>
      <w:pPr>
        <w:spacing w:after="0" w:line="3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 significant number of our total outstanding shares may be sold into the market in the near future, which could cause the market price of our common stock to drop significantly, even if our business is performing well.</w:t>
      </w:r>
    </w:p>
    <w:p>
      <w:pPr>
        <w:spacing w:after="0" w:line="62" w:lineRule="exact"/>
        <w:rPr>
          <w:sz w:val="20"/>
          <w:szCs w:val="20"/>
          <w:color w:val="auto"/>
        </w:rPr>
      </w:pPr>
    </w:p>
    <w:p>
      <w:pPr>
        <w:ind w:right="300" w:firstLine="546"/>
        <w:spacing w:after="0" w:line="293"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or the Securities Act, or to the extent such shares have already been registered under the Securities Act and are held by non-affiliates of ours. Moreover, holders of asubstantial number of shares of our common stock have rights, subject to certain conditions, to require us to file registration statements covering their shares or to include their shares in registration statements that we may file for ourselves or other stockholders.</w:t>
      </w:r>
    </w:p>
    <w:p>
      <w:pPr>
        <w:spacing w:after="0" w:line="164" w:lineRule="exact"/>
        <w:rPr>
          <w:sz w:val="20"/>
          <w:szCs w:val="20"/>
          <w:color w:val="auto"/>
        </w:rPr>
      </w:pPr>
    </w:p>
    <w:p>
      <w:pPr>
        <w:ind w:right="40" w:firstLine="546"/>
        <w:spacing w:after="0" w:line="311" w:lineRule="auto"/>
        <w:rPr>
          <w:sz w:val="20"/>
          <w:szCs w:val="20"/>
          <w:color w:val="auto"/>
        </w:rPr>
      </w:pPr>
      <w:r>
        <w:rPr>
          <w:rFonts w:ascii="Arial" w:cs="Arial" w:eastAsia="Arial" w:hAnsi="Arial"/>
          <w:sz w:val="16"/>
          <w:szCs w:val="16"/>
          <w:color w:val="auto"/>
        </w:rPr>
        <w:t>In October 2020, in connection with the execution of our collaboration and license agreement with Ultragenyx, we issued and sold 7,825,797 shares of our common stock to Ultragenyx. Following the expiration of an 18-month lock-up period and for the ten-year period after date of such sale, subject to specified conditions, we have agreed to file a registration statement in order to register all or a portion of the shares sold to Ultragenyx.</w:t>
      </w:r>
    </w:p>
    <w:p>
      <w:pPr>
        <w:spacing w:after="0" w:line="149"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color w:val="auto"/>
        </w:rPr>
        <w:t>In July 2019 and December 2020, we completed private placements of shares of our common stock and pre-funded warrants to purchase shares of our common stock to several accredited investors. We have filed registration statements covering the resale of these shares by the purchasers in these private placements and have agreed to keep such registration statements effective until the date the shares covered by the respective registration statement have been sold or can be resold without restriction under Rule 144 of the Securities Act.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we have filed registration statements registering all shares of common stock that we may issue under our equity compensation plans.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shares can be freely sold in the public market upon issuance, subject to black-out periods and volume limitations applicable to affiliates.</w:t>
      </w:r>
    </w:p>
    <w:p>
      <w:pPr>
        <w:spacing w:after="0" w:line="222"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at prices and terms to be determined at the time of sale.</w:t>
      </w:r>
    </w:p>
    <w:p>
      <w:pPr>
        <w:spacing w:after="0" w:line="2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price of our common stock has been, and in the future is likely to be, volatile and fluctuate substantially, which could result in substantial losses for holders of our common stock.</w:t>
      </w:r>
    </w:p>
    <w:p>
      <w:pPr>
        <w:spacing w:after="0" w:line="62" w:lineRule="exact"/>
        <w:rPr>
          <w:sz w:val="20"/>
          <w:szCs w:val="20"/>
          <w:color w:val="auto"/>
        </w:rPr>
      </w:pPr>
    </w:p>
    <w:p>
      <w:pPr>
        <w:ind w:right="400" w:firstLine="546"/>
        <w:spacing w:after="0" w:line="279" w:lineRule="auto"/>
        <w:rPr>
          <w:sz w:val="20"/>
          <w:szCs w:val="20"/>
          <w:color w:val="auto"/>
        </w:rPr>
      </w:pPr>
      <w:r>
        <w:rPr>
          <w:rFonts w:ascii="Arial" w:cs="Arial" w:eastAsia="Arial" w:hAnsi="Arial"/>
          <w:sz w:val="17"/>
          <w:szCs w:val="17"/>
          <w:color w:val="auto"/>
        </w:rPr>
        <w:t>Our stock price has been, and in the future is likely to be, volatile. The stock market in general and the market for biopharmaceutical or pharmaceutical companies in particular, has experienced extreme volatility that has often been unrelated to the operating performance of particular companies. As a result of this volatility, our stockholders may not be able to sell their shares of common stock at or above the price they paid for their shares. The market price for our common stock may be influenced by many factors, including:</w:t>
      </w:r>
    </w:p>
    <w:p>
      <w:pPr>
        <w:spacing w:after="0" w:line="63" w:lineRule="exact"/>
        <w:rPr>
          <w:sz w:val="20"/>
          <w:szCs w:val="20"/>
          <w:color w:val="auto"/>
        </w:rPr>
      </w:pPr>
    </w:p>
    <w:p>
      <w:pPr>
        <w:ind w:left="960" w:right="480" w:hanging="412"/>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or developments in preclinical studies and clinical trials of SGT-001, SGT-003 or our other product candidates or those of our competitors;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 of the COVID-19 pandemic on both the healthcare system and the patient population;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the European Union and other countries;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 candidates, or our clinical development programs and our commercialization efforts;</w:t>
      </w: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91" w:name="page92"/>
    <w:bookmarkEnd w:id="91"/>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actual or anticipated changes in our development timelines;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product supply for any approved product or inability to do so at acceptable prices;</w:t>
      </w:r>
    </w:p>
    <w:p>
      <w:pPr>
        <w:spacing w:after="0" w:line="155" w:lineRule="exact"/>
        <w:rPr>
          <w:rFonts w:ascii="Arial" w:cs="Arial" w:eastAsia="Arial" w:hAnsi="Arial"/>
          <w:sz w:val="17"/>
          <w:szCs w:val="17"/>
          <w:color w:val="auto"/>
        </w:rPr>
      </w:pPr>
    </w:p>
    <w:p>
      <w:pPr>
        <w:ind w:left="960" w:right="40" w:hanging="412"/>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product candidates;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ind w:right="640" w:firstLine="546"/>
        <w:spacing w:after="0" w:line="342"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24" w:lineRule="exact"/>
        <w:rPr>
          <w:sz w:val="20"/>
          <w:szCs w:val="20"/>
          <w:color w:val="auto"/>
        </w:rPr>
      </w:pPr>
    </w:p>
    <w:p>
      <w:pPr>
        <w:ind w:right="260" w:firstLine="546"/>
        <w:spacing w:after="0" w:line="259"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class-action litigation often has been instituted against that company. We and certain of our executive officers and board members have previously been named as defendants in purported class action lawsuits. Any such litigation instituted against us could cause us to incur substantial costs to defend such claims and divert management’s attention and resources.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firstLine="546"/>
        <w:spacing w:after="0" w:line="286" w:lineRule="auto"/>
        <w:rPr>
          <w:sz w:val="20"/>
          <w:szCs w:val="20"/>
          <w:color w:val="auto"/>
        </w:rPr>
      </w:pPr>
      <w:r>
        <w:rPr>
          <w:rFonts w:ascii="Arial" w:cs="Arial" w:eastAsia="Arial" w:hAnsi="Arial"/>
          <w:sz w:val="17"/>
          <w:szCs w:val="17"/>
          <w:color w:val="auto"/>
        </w:rPr>
        <w:t>Although our common stock is listed on the Nasdaq Global Select Market,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shares without depressing the market price for the shares, or at all.</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2" w:lineRule="exact"/>
        <w:rPr>
          <w:sz w:val="20"/>
          <w:szCs w:val="20"/>
          <w:color w:val="auto"/>
        </w:rPr>
      </w:pPr>
    </w:p>
    <w:p>
      <w:pPr>
        <w:ind w:right="200" w:firstLine="546"/>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will remain an EGC until the earliest of: (i) the last day of the fiscal year in which we have total annual gross revenues of $1.07 billion or more; (ii) December 31, 2023; (iii) the date on which we have issued more than $1.0 billion in nonconvertible debt during the previous three years; and (iv) the date on which we are deemed to be a large accelerated filer under the rules of the Securities and Exchange Commission, or the SEC. For so long as we remain an EGC, we are permitted and intend to rely on exemptions from certain disclosure requirements that are applicable to other public companies that are not emerging growth companies. These exemptions include:</w:t>
      </w:r>
    </w:p>
    <w:p>
      <w:pPr>
        <w:spacing w:after="0" w:line="84" w:lineRule="exact"/>
        <w:rPr>
          <w:sz w:val="20"/>
          <w:szCs w:val="20"/>
          <w:color w:val="auto"/>
        </w:rPr>
      </w:pPr>
    </w:p>
    <w:p>
      <w:pPr>
        <w:ind w:left="960" w:hanging="41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44" w:lineRule="exact"/>
        <w:rPr>
          <w:rFonts w:ascii="Arial" w:cs="Arial" w:eastAsia="Arial" w:hAnsi="Arial"/>
          <w:sz w:val="18"/>
          <w:szCs w:val="18"/>
          <w:color w:val="auto"/>
        </w:rPr>
      </w:pPr>
    </w:p>
    <w:p>
      <w:pPr>
        <w:ind w:left="960" w:right="520" w:hanging="412"/>
        <w:spacing w:after="0" w:line="263"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ind w:left="960" w:right="180" w:hanging="412"/>
        <w:spacing w:after="0" w:line="342" w:lineRule="auto"/>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940" w:hanging="392"/>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44" w:lineRule="exact"/>
        <w:rPr>
          <w:rFonts w:ascii="Arial" w:cs="Arial" w:eastAsia="Arial" w:hAnsi="Arial"/>
          <w:sz w:val="18"/>
          <w:szCs w:val="18"/>
          <w:color w:val="auto"/>
        </w:rPr>
      </w:pPr>
    </w:p>
    <w:p>
      <w:pPr>
        <w:ind w:left="940" w:hanging="392"/>
        <w:spacing w:after="0"/>
        <w:tabs>
          <w:tab w:leader="none" w:pos="9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64" w:lineRule="exact"/>
        <w:rPr>
          <w:sz w:val="20"/>
          <w:szCs w:val="20"/>
          <w:color w:val="auto"/>
        </w:rPr>
      </w:pPr>
    </w:p>
    <w:p>
      <w:pPr>
        <w:ind w:right="140" w:firstLine="546"/>
        <w:spacing w:after="0" w:line="290" w:lineRule="auto"/>
        <w:rPr>
          <w:sz w:val="20"/>
          <w:szCs w:val="20"/>
          <w:color w:val="auto"/>
        </w:rPr>
      </w:pPr>
      <w:r>
        <w:rPr>
          <w:rFonts w:ascii="Arial" w:cs="Arial" w:eastAsia="Arial" w:hAnsi="Arial"/>
          <w:sz w:val="16"/>
          <w:szCs w:val="16"/>
          <w:color w:val="auto"/>
        </w:rPr>
        <w:t>We are also a smaller reporting company, and we will remain a smaller reporting company until the fiscal year following the determination that our voting and non-voting common stock held by non-affiliates is more than $250 million measured on the last business day of our second fiscal quarter, or our annual revenues are less than $100 million during the most recently completed fiscal year and our voting and non-voting common stock held by non-affiliates is more than $700 million measured on the last business day of our second fiscal quarter. Similar to emerging growth companies, smaller reporting companies are able to provide simplified executive compensation disclosure and have certain other reduced disclosure obligations, including, among other things, being permitted to provide only two years of audited financial statements, with correspondingly reduced “Management’s Discussion and Analysis of Financial Condition and Results of Operations”; not being required to furnish a contractual obligations table in “Management's Discussion and Analysis of Financial Condition and Results of Operations”; and not being required to furnish a stock performance graph in our annual report.</w:t>
      </w:r>
    </w:p>
    <w:p>
      <w:pPr>
        <w:spacing w:after="0" w:line="165" w:lineRule="exact"/>
        <w:rPr>
          <w:sz w:val="20"/>
          <w:szCs w:val="20"/>
          <w:color w:val="auto"/>
        </w:rPr>
      </w:pPr>
    </w:p>
    <w:p>
      <w:pPr>
        <w:ind w:right="220" w:firstLine="546"/>
        <w:spacing w:after="0" w:line="257" w:lineRule="auto"/>
        <w:rPr>
          <w:sz w:val="20"/>
          <w:szCs w:val="20"/>
          <w:color w:val="auto"/>
        </w:rPr>
      </w:pPr>
      <w:r>
        <w:rPr>
          <w:rFonts w:ascii="Arial" w:cs="Arial" w:eastAsia="Arial" w:hAnsi="Arial"/>
          <w:sz w:val="18"/>
          <w:szCs w:val="18"/>
          <w:color w:val="auto"/>
        </w:rPr>
        <w:t>We may choose to take advantage of some, but not all, of the available exemptions. We have taken advantage of reduced reporting burdens in our filings with the Securities and Exchange Commission.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w:t>
      </w:r>
    </w:p>
    <w:p>
      <w:pPr>
        <w:spacing w:after="0" w:line="62" w:lineRule="exact"/>
        <w:rPr>
          <w:sz w:val="20"/>
          <w:szCs w:val="20"/>
          <w:color w:val="auto"/>
        </w:rPr>
      </w:pPr>
    </w:p>
    <w:p>
      <w:pPr>
        <w:ind w:right="120" w:firstLine="546"/>
        <w:spacing w:after="0" w:line="293" w:lineRule="auto"/>
        <w:rPr>
          <w:sz w:val="20"/>
          <w:szCs w:val="20"/>
          <w:color w:val="auto"/>
        </w:rPr>
      </w:pPr>
      <w:r>
        <w:rPr>
          <w:rFonts w:ascii="Arial" w:cs="Arial" w:eastAsia="Arial" w:hAnsi="Arial"/>
          <w:sz w:val="16"/>
          <w:szCs w:val="16"/>
          <w:color w:val="auto"/>
        </w:rPr>
        <w:t>As a public company, and particularly after we are no longer an EGC or a smaller reporting company, we incur significant legal, accounting and other expenses that we did not incur as a private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64"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ind w:right="80"/>
        <w:spacing w:after="0" w:line="342" w:lineRule="auto"/>
        <w:rPr>
          <w:sz w:val="20"/>
          <w:szCs w:val="20"/>
          <w:color w:val="auto"/>
        </w:rPr>
      </w:pPr>
      <w:r>
        <w:rPr>
          <w:rFonts w:ascii="Arial" w:cs="Arial" w:eastAsia="Arial" w:hAnsi="Arial"/>
          <w:sz w:val="16"/>
          <w:szCs w:val="16"/>
          <w:b w:val="1"/>
          <w:bCs w:val="1"/>
          <w:i w:val="1"/>
          <w:iCs w:val="1"/>
          <w:color w:val="auto"/>
        </w:rPr>
        <w:t>Provisions in our certificate of incorporation and our bylaws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our board are elected at one time;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44" w:lineRule="exact"/>
        <w:rPr>
          <w:rFonts w:ascii="Arial" w:cs="Arial" w:eastAsia="Arial" w:hAnsi="Arial"/>
          <w:sz w:val="18"/>
          <w:szCs w:val="18"/>
          <w:color w:val="auto"/>
        </w:rPr>
      </w:pPr>
    </w:p>
    <w:p>
      <w:pPr>
        <w:ind w:left="960" w:right="60" w:hanging="41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960" w:right="420" w:hanging="41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44" w:lineRule="exact"/>
        <w:rPr>
          <w:rFonts w:ascii="Arial" w:cs="Arial" w:eastAsia="Arial" w:hAnsi="Arial"/>
          <w:sz w:val="18"/>
          <w:szCs w:val="18"/>
          <w:color w:val="auto"/>
        </w:rPr>
      </w:pPr>
    </w:p>
    <w:p>
      <w:pPr>
        <w:ind w:left="960" w:right="220" w:hanging="412"/>
        <w:spacing w:after="0" w:line="263"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960" w:right="420" w:hanging="41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the approval of the holders of at least two-thirds of the votes that all our stockholders would be entitled to cast to amend or repeal certain provisions of our certificate of incorporation or bylaws.</w:t>
      </w:r>
    </w:p>
    <w:p>
      <w:pPr>
        <w:spacing w:after="0" w:line="170" w:lineRule="exact"/>
        <w:rPr>
          <w:sz w:val="20"/>
          <w:szCs w:val="20"/>
          <w:color w:val="auto"/>
        </w:rPr>
      </w:pPr>
    </w:p>
    <w:p>
      <w:pPr>
        <w:ind w:right="160" w:firstLine="546"/>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is the only sole source of gain for an investment in our common stock.</w:t>
      </w:r>
    </w:p>
    <w:p>
      <w:pPr>
        <w:spacing w:after="0" w:line="62" w:lineRule="exact"/>
        <w:rPr>
          <w:sz w:val="20"/>
          <w:szCs w:val="20"/>
          <w:color w:val="auto"/>
        </w:rPr>
      </w:pPr>
    </w:p>
    <w:p>
      <w:pPr>
        <w:ind w:right="160" w:firstLine="546"/>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an investor for the foreseeable future.</w:t>
      </w:r>
    </w:p>
    <w:p>
      <w:pPr>
        <w:spacing w:after="0" w:line="27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certain litigation that may be initiated by our stockholders, which could limit our stockholders’ ability to obtain a favorable judicial forum for such disputes with us or our directors, officers or employees.</w:t>
      </w:r>
    </w:p>
    <w:p>
      <w:pPr>
        <w:spacing w:after="0" w:line="76" w:lineRule="exact"/>
        <w:rPr>
          <w:sz w:val="20"/>
          <w:szCs w:val="20"/>
          <w:color w:val="auto"/>
        </w:rPr>
      </w:pPr>
    </w:p>
    <w:p>
      <w:pPr>
        <w:ind w:right="120" w:firstLine="546"/>
        <w:spacing w:after="0" w:line="289"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DGCL, our certificate of incorporation or our bylaws or (iv) any action asserting a claim governed by the internal affairs doctrine. We do not intend to have this choice of forum provision apply to, and this choice of forum provision will not apply to, actions arising under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4" w:name="page95"/>
    <w:bookmarkEnd w:id="94"/>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We lease our corporate headquarters, which consists of approximately 16,000 square feet in Cambridge, Massachusetts. The lease for our corporate headquarters currently expires in May 2022. In addition, we lease our primary laboratory space, which consists of 9,500 square feet in Cambridge, Massachusetts, under a lease with an initial term of five years that expires in April 2023 and includes an option to extend for one additional two-year term. In addition, we lease smaller laboratory and office space.</w:t>
      </w:r>
    </w:p>
    <w:p>
      <w:pPr>
        <w:spacing w:after="0" w:line="79" w:lineRule="exact"/>
        <w:rPr>
          <w:sz w:val="20"/>
          <w:szCs w:val="20"/>
          <w:color w:val="auto"/>
        </w:rPr>
      </w:pPr>
    </w:p>
    <w:p>
      <w:pPr>
        <w:ind w:right="280" w:firstLine="546"/>
        <w:spacing w:after="0" w:line="286" w:lineRule="auto"/>
        <w:rPr>
          <w:sz w:val="20"/>
          <w:szCs w:val="20"/>
          <w:color w:val="auto"/>
        </w:rPr>
      </w:pPr>
      <w:r>
        <w:rPr>
          <w:rFonts w:ascii="Arial" w:cs="Arial" w:eastAsia="Arial" w:hAnsi="Arial"/>
          <w:sz w:val="17"/>
          <w:szCs w:val="17"/>
          <w:color w:val="auto"/>
        </w:rPr>
        <w:t>We will lease our new corporate headquarters starting in May 2022, which consists of approximately 49,869 square feet of office, laboratory, research and development and manufacturing space in Charlestown, Massachusetts. The lease for our new corporate headquarters has an initial term of approximately ten years that expires in 2032 with an option to extend the lease for an additional five years.</w:t>
      </w:r>
    </w:p>
    <w:p>
      <w:pPr>
        <w:spacing w:after="0" w:line="26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40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“SLDB” since January 26, 2018 in connection with our initial public offering. Prior to that date, there was no established public trading market for our common stock.</w:t>
      </w:r>
    </w:p>
    <w:p>
      <w:pPr>
        <w:spacing w:after="0" w:line="170" w:lineRule="exact"/>
        <w:rPr>
          <w:sz w:val="20"/>
          <w:szCs w:val="20"/>
          <w:color w:val="auto"/>
        </w:rPr>
      </w:pPr>
    </w:p>
    <w:p>
      <w:pPr>
        <w:ind w:right="220" w:firstLine="546"/>
        <w:spacing w:after="0" w:line="301" w:lineRule="auto"/>
        <w:rPr>
          <w:sz w:val="20"/>
          <w:szCs w:val="20"/>
          <w:color w:val="auto"/>
        </w:rPr>
      </w:pPr>
      <w:r>
        <w:rPr>
          <w:rFonts w:ascii="Arial" w:cs="Arial" w:eastAsia="Arial" w:hAnsi="Arial"/>
          <w:sz w:val="16"/>
          <w:szCs w:val="16"/>
          <w:color w:val="auto"/>
        </w:rPr>
        <w:t>The following graph compares the performance of our common stock to The Nasdaq Composite Index and to The Nasdaq Biotechnology Index from January 26, 2018 (the first date that shares of our common stock were publicly traded) through December 31, 2021. The comparison assumes $100 was invested after the market closed on January 26, 2018 in our common stock and in each of the foregoing indices, and it assumes reinvestment of dividends, if any. The stock price performance included in this graph is not necessarily indicative of future stock price performance.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COMPARISON OF CUMULATIVE TOTAL RETURN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Among The Nasdaq Composite Index, The Nasdaq Biotechnology Index and Solid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142875</wp:posOffset>
            </wp:positionV>
            <wp:extent cx="4877435" cy="25203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7743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As of February 16, 2022, we had approximately 32 holders of record of our common stock. This number does not include beneficial owners whose shares were held in street name. The actual number of holders of our common stock is greater than this number of record holders and includes stockholders who are beneficial owners, but whose shares are held in street name by brokers or held by other nominees. This number of holders of record also does not include stockholders whose shares may be held in trust by other entities.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Equity Compensation Plans</w:t>
      </w:r>
    </w:p>
    <w:p>
      <w:pPr>
        <w:spacing w:after="0" w:line="121" w:lineRule="exact"/>
        <w:rPr>
          <w:sz w:val="20"/>
          <w:szCs w:val="20"/>
          <w:color w:val="auto"/>
        </w:rPr>
      </w:pPr>
    </w:p>
    <w:p>
      <w:pPr>
        <w:ind w:right="340" w:firstLine="546"/>
        <w:spacing w:after="0" w:line="277" w:lineRule="auto"/>
        <w:rPr>
          <w:sz w:val="20"/>
          <w:szCs w:val="20"/>
          <w:color w:val="auto"/>
        </w:rPr>
      </w:pPr>
      <w:r>
        <w:rPr>
          <w:rFonts w:ascii="Arial" w:cs="Arial" w:eastAsia="Arial" w:hAnsi="Arial"/>
          <w:sz w:val="18"/>
          <w:szCs w:val="18"/>
          <w:color w:val="auto"/>
        </w:rPr>
        <w:t>Information about our equity compensation plans is incorporated herein by reference to the section entitled “Securities Authorized for Issuance Under Equity Compensation Plans” in Item 12 of Part III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firstLine="546"/>
        <w:spacing w:after="0" w:line="342" w:lineRule="auto"/>
        <w:rPr>
          <w:sz w:val="20"/>
          <w:szCs w:val="20"/>
          <w:color w:val="auto"/>
        </w:rPr>
      </w:pPr>
      <w:r>
        <w:rPr>
          <w:rFonts w:ascii="Arial" w:cs="Arial" w:eastAsia="Arial" w:hAnsi="Arial"/>
          <w:sz w:val="16"/>
          <w:szCs w:val="16"/>
          <w:color w:val="auto"/>
        </w:rPr>
        <w:t>We did not sell any securities, during the year ended December 31, 2021 that were not registered under the Securities Act of 1933, as amended, or the Securities Act, and that have not otherwise been described in a Quarterly Report on Form 10-Q or in a Current Report on Form 8-K.</w:t>
      </w:r>
    </w:p>
    <w:p>
      <w:pPr>
        <w:spacing w:after="0" w:line="2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5" w:right="519" w:bottom="1440" w:gutter="0" w:footer="0" w:header="0"/>
        </w:sectPr>
      </w:pPr>
    </w:p>
    <w:bookmarkStart w:id="97" w:name="page98"/>
    <w:bookmarkEnd w:id="97"/>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Our mission is to cure Duchenne muscular dystrophy, or Duchenne, a genetic muscle-wasting disease predominantly affecting boys, with symptoms that usually manifest between three and five years of age. Duchenne is a progressive, irreversible and ultimately fatal disease that affects approximately one in every 3,500 to 5,000 live male births and has an estimated prevalence of 5,000 to 15,000 cases in the United States alone. Duchenne is caused by mutations in the dystrophin gene, which result in the absence or near-absence of dystrophin protein. Dystrophin protein works to strengthen muscle fibers and protect them from daily wear and tear. Without functioning dystrophin and certain associated proteins, muscles suffer excessive damage from normal daily activities and are unable to regenerate, leading to the build-up of fibrotic, or scar, and fat tissue. There is no cure for Duchenne and, for the vast majority of patients, there are no satisfactory symptomatic or disease-modifying treatments.</w:t>
      </w:r>
    </w:p>
    <w:p>
      <w:pPr>
        <w:spacing w:after="0" w:line="177"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Our efforts are focused on our lead product candidate, SGT-001, a gene transfer candidate under investigation for its ability to drive functional dystrophin protein expression in patients’ muscles and improve the course of the disease, as well as SGT-003, our next-generation gene therapy candidate for the treatment of Duchenne.</w:t>
      </w:r>
    </w:p>
    <w:p>
      <w:pPr>
        <w:spacing w:after="0" w:line="184"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In addition, we are actively involved in engaging with the Duchenne patient, clinical and research communities to support advancement of therapies for patients with Duchenne. In November 2021, in collaboration with REGENXBIO, we formally launched the Pathway Development Consortium, or the PDC, a multistakeholder initiative which aims to identify, develop, expand and maintain pathways to effective therapies for patients diagnosed early in life with rare diseases, including Duchenne. The PDC seeks to achieve these goals by bringing together a broad and diverse group of stakeholders from the rare disease and AAV gene therapy communities, including patients, industry, regulators, academia and payers, among others, for meaningful scientific and policy discussions.</w:t>
      </w:r>
    </w:p>
    <w:p>
      <w:pPr>
        <w:spacing w:after="0" w:line="192" w:lineRule="exact"/>
        <w:rPr>
          <w:sz w:val="20"/>
          <w:szCs w:val="20"/>
          <w:color w:val="auto"/>
        </w:rPr>
      </w:pPr>
    </w:p>
    <w:p>
      <w:pPr>
        <w:ind w:right="120" w:firstLine="546"/>
        <w:spacing w:after="0" w:line="272" w:lineRule="auto"/>
        <w:rPr>
          <w:sz w:val="20"/>
          <w:szCs w:val="20"/>
          <w:color w:val="auto"/>
        </w:rPr>
      </w:pPr>
      <w:r>
        <w:rPr>
          <w:rFonts w:ascii="Arial" w:cs="Arial" w:eastAsia="Arial" w:hAnsi="Arial"/>
          <w:sz w:val="17"/>
          <w:szCs w:val="17"/>
          <w:color w:val="auto"/>
        </w:rPr>
        <w:t>To date, nine patients have been dosed in IGNITE DMD with SGT-001. In 2021, we dosed three patients in February (Patient 7), April (Patient 8) and November (Patient 9) in the 2E14 vg/kg cohort with SGT-001. All three patients were dosed with our second generation manufacturing process. Patients 7 and 9 were safely dosed, with transient and manageable adverse events, none of which were serious. Patient 8 experienced a systemic inflammatory response which has since fully resolved. The event was classified as a serious adverse event, or SAE, and considered to be drug related. The type of event is described in our Investigators Brochure and is not considered unexpected. Following the dosing of Patient 8, we conducted an extensive review of all clinical data from IGNITE DMD, which resulted in a strengthened risk mitigation plan that was submitted to the U.S. Food and Drug Administration, or the FDA, and implemented prior to the dosing of the Patient 9.</w:t>
      </w:r>
    </w:p>
    <w:p>
      <w:pPr>
        <w:spacing w:after="0" w:line="177"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In 2021, we reported long-term biomarker data from biopsies of skeletal muscle from IGNITE DMD patients four through six taken 24 months, 18 months and 12 months post-dosing, respectively. In addition, we reported interim safety and efficacy data for motor function as assessed by North Star Ambulatory Assessment, or NSAA, and 6-Minute Walk Test, or 6MWT, pulmonary function as assessed by pulmonary function tests, or PFTs, including forced vital capacity, or FVC, peak expiratory flow, or PEF, forced expiratory volume in one second, or FEV1, as well as patient reported outcome measures, or PROMs, as assessed by the key functional domains of the Pediatric Outcomes Data Collection Instrument, or PODCI at the 12-month and 18-month post-dosing time points.</w:t>
      </w:r>
    </w:p>
    <w:p>
      <w:pPr>
        <w:spacing w:after="0" w:line="192" w:lineRule="exact"/>
        <w:rPr>
          <w:sz w:val="20"/>
          <w:szCs w:val="20"/>
          <w:color w:val="auto"/>
        </w:rPr>
      </w:pPr>
    </w:p>
    <w:p>
      <w:pPr>
        <w:ind w:right="20" w:firstLine="546"/>
        <w:spacing w:after="0" w:line="276" w:lineRule="auto"/>
        <w:rPr>
          <w:sz w:val="20"/>
          <w:szCs w:val="20"/>
          <w:color w:val="auto"/>
        </w:rPr>
      </w:pPr>
      <w:r>
        <w:rPr>
          <w:rFonts w:ascii="Arial" w:cs="Arial" w:eastAsia="Arial" w:hAnsi="Arial"/>
          <w:sz w:val="17"/>
          <w:szCs w:val="17"/>
          <w:color w:val="auto"/>
        </w:rPr>
        <w:t>In March 2022, we announced two-year interim safety and efficacy data from the first three Patients (Patients 4-6) treated with SGT-001 in the 2E14 vg/kg dose cohort of IGNITE DMD. Results suggested durable benefit 24-months post-administration of SGT-001, when compared to natural history. These data were consistent with results reported at the 12-month and 18-month time periods for the same patients. The average age of Patients 4-6 at the two year timepoint was 10.4 years. Data from Patients 4-6 suggested sustained motor function at two years post-infusion, as assessed by 6MWT and NSAA, against expected natural history declines. In addition, the data suggested improved pulmonary function, as measured by FVC and PEF, and sustained or improved PROMs as assessed in key functional domains of the PODCI when compared to both baseline and natural history. In March 2022, we also reported data from skeletal muscle biopsies collected three months after infusion of SGT-001 from the most recently dosed Patients 7-9. The range by immunofluorescence of 1% to 50% and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ind w:right="100"/>
        <w:spacing w:after="0" w:line="259" w:lineRule="auto"/>
        <w:rPr>
          <w:sz w:val="20"/>
          <w:szCs w:val="20"/>
          <w:color w:val="auto"/>
        </w:rPr>
      </w:pPr>
      <w:r>
        <w:rPr>
          <w:rFonts w:ascii="Arial" w:cs="Arial" w:eastAsia="Arial" w:hAnsi="Arial"/>
          <w:sz w:val="18"/>
          <w:szCs w:val="18"/>
          <w:color w:val="auto"/>
        </w:rPr>
        <w:t>by western blot of Below the 5% Limit of Quantification (BLQ) to 6.8%, were within the range of previously dosed Patients 4-6 in the high dose cohort. Microdystrophin expression levels for all six patients dosed in the high dose cohort (Patients 4-9) ranged from 1 to 70% by immunofluorescence and BLQ to 17.5% by western blot. All six patients dosed with SGT-001 in the high dose cohort have demonstrated microdystrophin expression and proper membrane localization.</w:t>
      </w:r>
    </w:p>
    <w:p>
      <w:pPr>
        <w:spacing w:after="0" w:line="187"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No new drug-related safety findings have been identified in Patients 1-9 in post-dosing periods of 90 days to approximately four years. We continue to follow dosed patients and collect data to support the potential benefit of SGT-001.</w:t>
      </w:r>
    </w:p>
    <w:p>
      <w:pPr>
        <w:spacing w:after="0" w:line="170"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SGT-003 is our next-generation gene transfer candidate. It is comprised of our nNOS binding domain microdystrophin transgene and muscle-specific promoter present in SGT-001 and uses a lead candidate novel, rationally designed AAV capsid, developed for enhanced muscle tropism, to deliver these components to target tissues. We believe that the properties of this novel capsid may allow for enhanced benefit over therapies using traditional capsids, potentially both in terms of efficacy and safety.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initiate IND-enabling studies for SGT-003 in 2022 to support a planned IND submission in early 2023.</w:t>
      </w:r>
    </w:p>
    <w:p>
      <w:pPr>
        <w:spacing w:after="0" w:line="225" w:lineRule="exact"/>
        <w:rPr>
          <w:sz w:val="20"/>
          <w:szCs w:val="20"/>
          <w:color w:val="auto"/>
        </w:rPr>
      </w:pPr>
    </w:p>
    <w:p>
      <w:pPr>
        <w:ind w:right="80" w:firstLine="546"/>
        <w:spacing w:after="0" w:line="287" w:lineRule="auto"/>
        <w:rPr>
          <w:sz w:val="20"/>
          <w:szCs w:val="20"/>
          <w:color w:val="auto"/>
        </w:rPr>
      </w:pPr>
      <w:r>
        <w:rPr>
          <w:rFonts w:ascii="Arial" w:cs="Arial" w:eastAsia="Arial" w:hAnsi="Arial"/>
          <w:sz w:val="16"/>
          <w:szCs w:val="16"/>
          <w:color w:val="auto"/>
        </w:rPr>
        <w:t>In addition to our gene transfer candidates, we have development programs focusing on platform technologies, including dual gene expression, a technology that allows us to package multiple transgenes into one vector, as well as novel capsids. These programs are part of our ongoing research efforts to develop innovative technologies that we believe may hold potential to translate into meaningful treatments and drive our future pipeline</w:t>
      </w:r>
    </w:p>
    <w:p>
      <w:pPr>
        <w:spacing w:after="0" w:line="2"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expansion. Preclinical data in both wild-type and disease animal models demonstrate that we have developed a library of novel capsids that have shown increased muscle tropism with concomitant decreased liver biodistribution resulting in improved efficiency compared with AAV9.</w:t>
      </w:r>
    </w:p>
    <w:p>
      <w:pPr>
        <w:spacing w:after="0" w:line="161"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Since our inception, we have devoted substantial resources to identifying and developing SGT-001, SGT-003 and our other product candidates, developing our manufacturing processes, organizing and staffing our company and providing general and administrative support for these operations. We have incurred significant losses every year since our inception. We do not have any products approved for sale. To date, we have not generated any revenue from product sales. Our ability to eventually generate any product revenue sufficient to achieve profitability will depend on the successful development, approval and eventual commercialization of SGT-001, SGT-003 and our other product candidates. If successfully developed and approved, we intend to commercialize SGT-001 and SGT-003 in the United States and European Union and may enter into licensing agreements or strategic collaborations in other markets. If we generate product sales or enter into licensing agreements or strategic collaborations, we expect that any revenue we generate will fluctuate from quarter to quarter and year to year as a result of the timing and amount of any product sales, license fees, milestone payments and other payments. If we fail to complete the development of SGT-001, SGT-003 and our other product candidates in a timely manner or obtain regulatory approval of them, our ability to generate future revenue, and our results of operations and financial position, would be materially adversely affected.</w:t>
      </w:r>
    </w:p>
    <w:p>
      <w:pPr>
        <w:spacing w:after="0" w:line="168" w:lineRule="exact"/>
        <w:rPr>
          <w:sz w:val="20"/>
          <w:szCs w:val="20"/>
          <w:color w:val="auto"/>
        </w:rPr>
      </w:pPr>
    </w:p>
    <w:p>
      <w:pPr>
        <w:jc w:val="both"/>
        <w:ind w:right="80" w:firstLine="546"/>
        <w:spacing w:after="0" w:line="279" w:lineRule="auto"/>
        <w:rPr>
          <w:sz w:val="20"/>
          <w:szCs w:val="20"/>
          <w:color w:val="auto"/>
        </w:rPr>
      </w:pPr>
      <w:r>
        <w:rPr>
          <w:rFonts w:ascii="Arial" w:cs="Arial" w:eastAsia="Arial" w:hAnsi="Arial"/>
          <w:sz w:val="17"/>
          <w:szCs w:val="17"/>
          <w:color w:val="auto"/>
        </w:rPr>
        <w:t>Due to our significant research and development expenditure, licensing and patent investment, and general administrative costs associated with our operations, we have generated substantial operating losses in each period since our inception. Our net losses were $72.2 million, $88.3 million and $117.2 million for the years ended December 31, 2021, 2020 and 2019, respectively. As of December 31, 2021, we had an accumulated deficit of $476.8 million. We expect to incur significant expenses and operating losses for the foreseeable future.</w:t>
      </w:r>
    </w:p>
    <w:p>
      <w:pPr>
        <w:spacing w:after="0" w:line="171" w:lineRule="exact"/>
        <w:rPr>
          <w:sz w:val="20"/>
          <w:szCs w:val="20"/>
          <w:color w:val="auto"/>
        </w:rPr>
      </w:pPr>
    </w:p>
    <w:p>
      <w:pPr>
        <w:ind w:right="380" w:firstLine="546"/>
        <w:spacing w:after="0" w:line="277" w:lineRule="auto"/>
        <w:rPr>
          <w:sz w:val="20"/>
          <w:szCs w:val="20"/>
          <w:color w:val="auto"/>
        </w:rPr>
      </w:pPr>
      <w:r>
        <w:rPr>
          <w:rFonts w:ascii="Arial" w:cs="Arial" w:eastAsia="Arial" w:hAnsi="Arial"/>
          <w:sz w:val="18"/>
          <w:szCs w:val="18"/>
          <w:color w:val="auto"/>
        </w:rPr>
        <w:t>In January 2020, we announced a reduction in workforce by approximately 30% as part of a strategic plan designed to create a leaner company focused on advancing SGT-001.</w:t>
      </w:r>
    </w:p>
    <w:p>
      <w:pPr>
        <w:spacing w:after="0" w:line="170" w:lineRule="exact"/>
        <w:rPr>
          <w:sz w:val="20"/>
          <w:szCs w:val="20"/>
          <w:color w:val="auto"/>
        </w:rPr>
      </w:pPr>
    </w:p>
    <w:p>
      <w:pPr>
        <w:ind w:right="60" w:firstLine="546"/>
        <w:spacing w:after="0" w:line="293" w:lineRule="auto"/>
        <w:rPr>
          <w:sz w:val="20"/>
          <w:szCs w:val="20"/>
          <w:color w:val="auto"/>
        </w:rPr>
      </w:pPr>
      <w:r>
        <w:rPr>
          <w:rFonts w:ascii="Arial" w:cs="Arial" w:eastAsia="Arial" w:hAnsi="Arial"/>
          <w:sz w:val="16"/>
          <w:szCs w:val="16"/>
          <w:color w:val="auto"/>
        </w:rPr>
        <w:t>As we seek to develop and commercialize SGT-001, SGT-003 or any other product candidates, we anticipate that our expenses will increase significantly and that we will need substantial additional funding to support our continuing operations. Until such time as we can generate significant revenue from product sales, if ever, we expect to finance our operations through a combination of public or private equity financings, debt financings or other sources, which may include licensing agreements or strategic collaborations. We may be unable to raise additional funds or enter into such agreements or arrangements when needed on favorable terms, if at all. If we fail to raise capital or enter into such agreements as and when needed, we may have to significantly delay, scale back or discontinue the development or commercialization of SGT-001, SGT-003 or our other product candidates.</w:t>
      </w:r>
    </w:p>
    <w:p>
      <w:pPr>
        <w:spacing w:after="0" w:line="164" w:lineRule="exact"/>
        <w:rPr>
          <w:sz w:val="20"/>
          <w:szCs w:val="20"/>
          <w:color w:val="auto"/>
        </w:rPr>
      </w:pPr>
    </w:p>
    <w:p>
      <w:pPr>
        <w:ind w:right="160" w:firstLine="546"/>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determine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In October 2020, we entered into a collaboration and license agreement, or the Collaboration Agreement, with Ultragenyx Pharmaceutical Inc., or Ultragenyx, pursuant to which we granted Ultragenyx an exclusive worldwide license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9" w:name="page100"/>
    <w:bookmarkEnd w:id="99"/>
    <w:p>
      <w:pPr>
        <w:spacing w:after="0" w:line="271" w:lineRule="auto"/>
        <w:rPr>
          <w:sz w:val="20"/>
          <w:szCs w:val="20"/>
          <w:color w:val="auto"/>
        </w:rPr>
      </w:pPr>
      <w:r>
        <w:rPr>
          <w:rFonts w:ascii="Arial" w:cs="Arial" w:eastAsia="Arial" w:hAnsi="Arial"/>
          <w:sz w:val="17"/>
          <w:szCs w:val="17"/>
          <w:color w:val="auto"/>
        </w:rPr>
        <w:t>under certain intellectual property rights controlled by us to make, have made, use, distribute, offer for sale, sell, import and export, including to research, develop, modify, enhance, improve, register, distribute, commercialize, or otherwise dispose of AAV8 or other clade E AAV variant pharmaceutical products that express our MD5 nNOS binding domain form of microdystrophin protein for the diagnosis, treatment, cure, mitigation or prevention of Duchenne and other disease indications resulting from a lack of functional dystrophin, including Becker muscular dystrophy. On a product-by-product basis, we have the option to fund 30% of the development costs in the United States and European Union and share 30% of the net income and net losses on net sales of such Licensed Product in the United States and European Union. In connection with the execution of the Collaboration Agreement, we also entered into a stock purchase agreement with Ultragenyx, pursuant to which we issued and sold 7,825,797 shares of our common stock to Ultragenyx for an aggregate purchase price of approximately $40 million.</w:t>
      </w:r>
    </w:p>
    <w:p>
      <w:pPr>
        <w:spacing w:after="0" w:line="178" w:lineRule="exact"/>
        <w:rPr>
          <w:sz w:val="20"/>
          <w:szCs w:val="20"/>
          <w:color w:val="auto"/>
        </w:rPr>
      </w:pPr>
    </w:p>
    <w:p>
      <w:pPr>
        <w:ind w:right="400" w:firstLine="546"/>
        <w:spacing w:after="0" w:line="308" w:lineRule="auto"/>
        <w:rPr>
          <w:sz w:val="20"/>
          <w:szCs w:val="20"/>
          <w:color w:val="auto"/>
        </w:rPr>
      </w:pPr>
      <w:r>
        <w:rPr>
          <w:rFonts w:ascii="Arial" w:cs="Arial" w:eastAsia="Arial" w:hAnsi="Arial"/>
          <w:sz w:val="17"/>
          <w:szCs w:val="17"/>
          <w:color w:val="auto"/>
        </w:rPr>
        <w:t>During the year ended December 31, 2020, we sold 6,309,632 shares pursuant to an “at-the-market offering” sales agreement, dated March 13, 2019, or the ATM Sales Agreement, by and between us and Jefferies LLC, or Jefferies, resulting in net proceeds of $23.2 million.</w:t>
      </w:r>
    </w:p>
    <w:p>
      <w:pPr>
        <w:spacing w:after="0" w:line="146"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In December 2020, we completed a private placement of shares of common stock resulting in net proceeds to us of $86.2 million, after deducting offering costs.</w:t>
      </w:r>
    </w:p>
    <w:p>
      <w:pPr>
        <w:spacing w:after="0" w:line="170"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In March 2021, we issued and sold in a public offering 25,000,000 shares of our common stock at a price per share to the public of $5.75, including the full exercise by the underwriters of an option to purchase additional shares of common stock. We received net proceeds of approximately $134.9 million after deducting underwriter discounts and commissions and offering expenses.</w:t>
      </w:r>
    </w:p>
    <w:p>
      <w:pPr>
        <w:spacing w:after="0" w:line="184" w:lineRule="exact"/>
        <w:rPr>
          <w:sz w:val="20"/>
          <w:szCs w:val="20"/>
          <w:color w:val="auto"/>
        </w:rPr>
      </w:pPr>
    </w:p>
    <w:p>
      <w:pPr>
        <w:ind w:right="180" w:firstLine="546"/>
        <w:spacing w:after="0" w:line="259" w:lineRule="auto"/>
        <w:rPr>
          <w:sz w:val="20"/>
          <w:szCs w:val="20"/>
          <w:color w:val="auto"/>
        </w:rPr>
      </w:pPr>
      <w:r>
        <w:rPr>
          <w:rFonts w:ascii="Arial" w:cs="Arial" w:eastAsia="Arial" w:hAnsi="Arial"/>
          <w:sz w:val="18"/>
          <w:szCs w:val="18"/>
          <w:color w:val="auto"/>
        </w:rPr>
        <w:t>As of December 31, 2021, we had cash, cash equivalents, and available-for-sale securities of $207.8 million. We believe that our cash, cash equivalents, and available-for-sale securities as of December 31, 2021 will enable us to fund our operating expenses and capital expenditure requirements into the third quarter of 2023. We have based this estimate on assumptions that may prove to be wrong, and we could use our available capital resources sooner than we currently anticipate.</w:t>
      </w:r>
    </w:p>
    <w:p>
      <w:pPr>
        <w:spacing w:after="0" w:line="187" w:lineRule="exact"/>
        <w:rPr>
          <w:sz w:val="20"/>
          <w:szCs w:val="20"/>
          <w:color w:val="auto"/>
        </w:rPr>
      </w:pPr>
    </w:p>
    <w:p>
      <w:pPr>
        <w:ind w:right="40" w:firstLine="546"/>
        <w:spacing w:after="0" w:line="289" w:lineRule="auto"/>
        <w:rPr>
          <w:sz w:val="20"/>
          <w:szCs w:val="20"/>
          <w:color w:val="auto"/>
        </w:rPr>
      </w:pPr>
      <w:r>
        <w:rPr>
          <w:rFonts w:ascii="Arial" w:cs="Arial" w:eastAsia="Arial" w:hAnsi="Arial"/>
          <w:sz w:val="16"/>
          <w:szCs w:val="16"/>
          <w:color w:val="auto"/>
        </w:rPr>
        <w:t>The ongoing COVID-19 pandemic has caused federal, state, and local governments to implement measures to slow the spread of the outbreak through quarantines, strict travel restriction and bans, heightened border scrutiny and other measures. We are following, and will continue to follow, recommendations from the U.S. Centers for Disease Control and Prevention as well as federal, state, and local governments regarding working-from-home practices for non-essential employees. As a result, we have modified our business practices, including implementing a work from home policy for all employees who are able to perform their duties remotely. We expect to continue to take actions as may be required or recommended by government authorities or as we determine are in the best interests of our employees, and other business partners in light of COVID-19. The full extent of the impact of COVID-19 on our business, results of operations and financial condition will depend on future developments that are highly uncertain, including the length and severity of this pandemic, the actions taken to contain it or treat its impact and the impact on our clinical development, employees, vendors and suppliers, all of which are uncertain and cannot be predicted. We will continue to monitor the situation closely.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Collaboration revenue was $13.6 million for the year ended December 31, 2021. We recognized this revenue related to research services and cost reimbursement from the Collaboration Agreement. There was no revenue in the year ended December 31, 2020.</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17" w:lineRule="exact"/>
        <w:rPr>
          <w:sz w:val="20"/>
          <w:szCs w:val="20"/>
          <w:color w:val="auto"/>
        </w:rPr>
      </w:pPr>
    </w:p>
    <w:p>
      <w:pPr>
        <w:jc w:val="both"/>
        <w:ind w:right="660" w:firstLine="546"/>
        <w:spacing w:after="0" w:line="263" w:lineRule="auto"/>
        <w:rPr>
          <w:sz w:val="20"/>
          <w:szCs w:val="20"/>
          <w:color w:val="auto"/>
        </w:rPr>
      </w:pPr>
      <w:r>
        <w:rPr>
          <w:rFonts w:ascii="Arial" w:cs="Arial" w:eastAsia="Arial" w:hAnsi="Arial"/>
          <w:sz w:val="18"/>
          <w:szCs w:val="18"/>
          <w:color w:val="auto"/>
        </w:rPr>
        <w:t>We have not generated any product revenue to date and do not expect to generate any product revenue from the sale of our products for the foreseeable future, if ever. If our development efforts for SGT-001, SGT-003 or our other product candidates are successful and result in marketing approval, we may generate product revenue in the future from product sales.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80" w:firstLine="546"/>
        <w:spacing w:after="0" w:line="286" w:lineRule="auto"/>
        <w:rPr>
          <w:sz w:val="20"/>
          <w:szCs w:val="20"/>
          <w:color w:val="auto"/>
        </w:rPr>
      </w:pPr>
      <w:r>
        <w:rPr>
          <w:rFonts w:ascii="Arial" w:cs="Arial" w:eastAsia="Arial" w:hAnsi="Arial"/>
          <w:sz w:val="17"/>
          <w:szCs w:val="17"/>
          <w:color w:val="auto"/>
        </w:rPr>
        <w:t>We classify our operating expenses into two categories: research and development, and general and administrative expenses. Personnel costs, including salaries, benefits, bonuses and equity-based compensation expense, comprise a significant component of each of these expense categories. We allocate expenses associated with personnel costs based on the nature of work associated with these resources.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740" w:firstLine="546"/>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SGT-001, SGT-003 and our other product candidates and include:</w:t>
      </w:r>
    </w:p>
    <w:p>
      <w:pPr>
        <w:spacing w:after="0" w:line="62" w:lineRule="exact"/>
        <w:rPr>
          <w:sz w:val="20"/>
          <w:szCs w:val="20"/>
          <w:color w:val="auto"/>
        </w:rPr>
      </w:pPr>
    </w:p>
    <w:p>
      <w:pPr>
        <w:ind w:left="960" w:right="220" w:hanging="412"/>
        <w:spacing w:after="0" w:line="263"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or CROs, that conduct research and preclinical activities on our behalf, as well as contract manufacturing organizations, or CMOs, that manufacture SGT-001, SGT-003 and our other product candidates for use in our preclinical studies and clinical trials;</w:t>
      </w:r>
    </w:p>
    <w:p>
      <w:pPr>
        <w:spacing w:after="0" w:line="75" w:lineRule="exact"/>
        <w:rPr>
          <w:rFonts w:ascii="Arial" w:cs="Arial" w:eastAsia="Arial" w:hAnsi="Arial"/>
          <w:sz w:val="18"/>
          <w:szCs w:val="18"/>
          <w:color w:val="auto"/>
        </w:rPr>
      </w:pPr>
    </w:p>
    <w:p>
      <w:pPr>
        <w:ind w:left="960" w:right="220" w:hanging="412"/>
        <w:spacing w:after="0" w:line="27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equity-based compensation expense, for personnel engaged in research and development functions;</w:t>
      </w:r>
    </w:p>
    <w:p>
      <w:pPr>
        <w:spacing w:after="0" w:line="62" w:lineRule="exact"/>
        <w:rPr>
          <w:rFonts w:ascii="Arial" w:cs="Arial" w:eastAsia="Arial" w:hAnsi="Arial"/>
          <w:sz w:val="18"/>
          <w:szCs w:val="18"/>
          <w:color w:val="auto"/>
        </w:rPr>
      </w:pPr>
    </w:p>
    <w:p>
      <w:pPr>
        <w:ind w:left="960" w:right="80" w:hanging="412"/>
        <w:spacing w:after="0" w:line="232" w:lineRule="auto"/>
        <w:tabs>
          <w:tab w:leader="none" w:pos="960" w:val="left"/>
        </w:tabs>
        <w:numPr>
          <w:ilvl w:val="0"/>
          <w:numId w:val="54"/>
        </w:numPr>
        <w:rPr>
          <w:rFonts w:ascii="Arial" w:cs="Arial" w:eastAsia="Arial" w:hAnsi="Arial"/>
          <w:sz w:val="22"/>
          <w:szCs w:val="22"/>
          <w:color w:val="auto"/>
        </w:rPr>
      </w:pPr>
      <w:r>
        <w:rPr>
          <w:rFonts w:ascii="Arial" w:cs="Arial" w:eastAsia="Arial" w:hAnsi="Arial"/>
          <w:sz w:val="18"/>
          <w:szCs w:val="18"/>
          <w:color w:val="auto"/>
        </w:rPr>
        <w:t>costs of outside consultants, engaged to assist in our research and development activities, including their fees, equity-based compensation and related travel expenses;</w:t>
      </w:r>
    </w:p>
    <w:p>
      <w:pPr>
        <w:spacing w:after="0" w:line="95" w:lineRule="exact"/>
        <w:rPr>
          <w:rFonts w:ascii="Arial" w:cs="Arial" w:eastAsia="Arial" w:hAnsi="Arial"/>
          <w:sz w:val="22"/>
          <w:szCs w:val="22"/>
          <w:color w:val="auto"/>
        </w:rPr>
      </w:pPr>
    </w:p>
    <w:p>
      <w:pPr>
        <w:ind w:left="960" w:hanging="41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of laboratory supplies and acquiring, developing and manufacturing preclinical study and clinical trial materials;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incurred in seeking regulatory approval of SGT-001, SGT-003 and our other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expenses incurred under our intellectual property licenses; and</w:t>
      </w:r>
    </w:p>
    <w:p>
      <w:pPr>
        <w:spacing w:after="0" w:line="144" w:lineRule="exact"/>
        <w:rPr>
          <w:rFonts w:ascii="Arial" w:cs="Arial" w:eastAsia="Arial" w:hAnsi="Arial"/>
          <w:sz w:val="18"/>
          <w:szCs w:val="18"/>
          <w:color w:val="auto"/>
        </w:rPr>
      </w:pPr>
    </w:p>
    <w:p>
      <w:pPr>
        <w:ind w:left="960" w:right="180" w:hanging="412"/>
        <w:spacing w:after="0" w:line="27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facility-related research and development expenses, which include direct depreciation costs and allocated expenses for rent and maintenance of facilities and other operating costs.</w:t>
      </w:r>
    </w:p>
    <w:p>
      <w:pPr>
        <w:spacing w:after="0" w:line="170"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We expense research and development costs as incurred. We recognize costs for certain development activities, such as preclinical research and development and clinical trial costs, based on an evaluation of the progress to completion of specific tasks using information and data provided to us by our vendors, collaborators and third-party service providers.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157"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We typically use our employee and infrastructure resources across our product candidates. We track outsourced development costs and milestone payments made under our licensing arrangements by product candidates, but we do not allocate personnel costs, license payments made under our licensing arrangements or other internal costs to product candidates on a program-specific basis. These costs are included in unallocated research and development expenses in the table below.</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research and development expenses by product candidates for the respective periods: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20" w:type="dxa"/>
            <w:vAlign w:val="bottom"/>
            <w:gridSpan w:val="6"/>
          </w:tcPr>
          <w:p>
            <w:pPr>
              <w:ind w:left="40"/>
              <w:spacing w:after="0"/>
              <w:rPr>
                <w:sz w:val="20"/>
                <w:szCs w:val="20"/>
                <w:color w:val="auto"/>
              </w:rPr>
            </w:pPr>
            <w:r>
              <w:rPr>
                <w:rFonts w:ascii="Arial" w:cs="Arial" w:eastAsia="Arial" w:hAnsi="Arial"/>
                <w:sz w:val="18"/>
                <w:szCs w:val="18"/>
                <w:b w:val="1"/>
                <w:bCs w:val="1"/>
                <w:color w:val="auto"/>
                <w:w w:val="96"/>
              </w:rPr>
              <w:t>For the 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ind w:left="1140"/>
              <w:spacing w:after="0"/>
              <w:rPr>
                <w:sz w:val="20"/>
                <w:szCs w:val="20"/>
                <w:color w:val="auto"/>
              </w:rPr>
            </w:pPr>
            <w:r>
              <w:rPr>
                <w:rFonts w:ascii="Arial" w:cs="Arial" w:eastAsia="Arial" w:hAnsi="Arial"/>
                <w:sz w:val="18"/>
                <w:szCs w:val="18"/>
                <w:b w:val="1"/>
                <w:bCs w:val="1"/>
                <w:color w:val="auto"/>
              </w:rPr>
              <w:t>(in thousands)</w:t>
            </w:r>
          </w:p>
        </w:tc>
        <w:tc>
          <w:tcPr>
            <w:tcW w:w="20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SGT-001</w:t>
            </w:r>
          </w:p>
        </w:tc>
        <w:tc>
          <w:tcPr>
            <w:tcW w:w="20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8"/>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22,826</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29,526</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SGT-003 and other product candidates</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2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Personnel related expenses</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24,515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22,009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External expenses</w:t>
            </w:r>
          </w:p>
        </w:tc>
        <w:tc>
          <w:tcPr>
            <w:tcW w:w="20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10,232</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ind w:left="1140"/>
              <w:spacing w:after="0"/>
              <w:rPr>
                <w:sz w:val="20"/>
                <w:szCs w:val="20"/>
                <w:color w:val="auto"/>
              </w:rPr>
            </w:pPr>
            <w:r>
              <w:rPr>
                <w:rFonts w:ascii="Arial" w:cs="Arial" w:eastAsia="Arial" w:hAnsi="Arial"/>
                <w:sz w:val="18"/>
                <w:szCs w:val="18"/>
                <w:color w:val="auto"/>
                <w:w w:val="93"/>
              </w:rPr>
              <w:t>Total unallocated research and development expenses</w:t>
            </w:r>
          </w:p>
        </w:tc>
        <w:tc>
          <w:tcPr>
            <w:tcW w:w="2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34,965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32,241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300" w:type="dxa"/>
            <w:vAlign w:val="bottom"/>
            <w:gridSpan w:val="2"/>
            <w:shd w:val="clear" w:color="auto" w:fill="CFF0FC"/>
          </w:tcPr>
          <w:p>
            <w:pPr>
              <w:jc w:val="right"/>
              <w:ind w:right="9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58,739</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64,881</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CFF0FC"/>
              <w:bottom w:val="single" w:sz="8" w:color="CFF0FC"/>
            </w:tcBorders>
            <w:vMerge w:val="restart"/>
          </w:tcPr>
          <w:p>
            <w:pPr>
              <w:jc w:val="right"/>
              <w:ind w:right="1490"/>
              <w:spacing w:after="0"/>
              <w:rPr>
                <w:sz w:val="20"/>
                <w:szCs w:val="20"/>
                <w:color w:val="auto"/>
              </w:rPr>
            </w:pPr>
            <w:r>
              <w:rPr>
                <w:rFonts w:ascii="Arial" w:cs="Arial" w:eastAsia="Arial" w:hAnsi="Arial"/>
                <w:sz w:val="18"/>
                <w:szCs w:val="18"/>
                <w:color w:val="auto"/>
              </w:rPr>
              <w:t>96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1" w:name="page102"/>
    <w:bookmarkEnd w:id="101"/>
    <w:p>
      <w:pPr>
        <w:ind w:right="260" w:firstLine="546"/>
        <w:spacing w:after="0" w:line="301" w:lineRule="auto"/>
        <w:rPr>
          <w:sz w:val="20"/>
          <w:szCs w:val="20"/>
          <w:color w:val="auto"/>
        </w:rPr>
      </w:pPr>
      <w:r>
        <w:rPr>
          <w:rFonts w:ascii="Arial" w:cs="Arial" w:eastAsia="Arial" w:hAnsi="Arial"/>
          <w:sz w:val="16"/>
          <w:szCs w:val="16"/>
          <w:color w:val="auto"/>
        </w:rPr>
        <w:t>We cannot determine with certainty the duration, costs and timing of clinical trials of SGT-001 and our other product candidates, including SGT-003, or if, when or to what extent we will generate revenue from the commercialization and sale of any of our product candidates for which we obtain marketing approval or our other research and development expenses. We may never succeed in obtaining marketing approval for any of our product candidates. The duration, costs and timing of clinical trials and development of our product candidates will depend on a variety of factors, including:</w:t>
      </w:r>
    </w:p>
    <w:p>
      <w:pPr>
        <w:spacing w:after="0" w:line="49" w:lineRule="exact"/>
        <w:rPr>
          <w:sz w:val="20"/>
          <w:szCs w:val="20"/>
          <w:color w:val="auto"/>
        </w:rPr>
      </w:pPr>
    </w:p>
    <w:p>
      <w:pPr>
        <w:ind w:left="960" w:right="380" w:hanging="412"/>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any clinical trials of SGT-001 or other product candidates including SGT-003 and other research and development activities that we may conduct;</w:t>
      </w:r>
    </w:p>
    <w:p>
      <w:pPr>
        <w:spacing w:after="0" w:line="62"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imposition of regulatory restrictions on clinical trials, including full and partial clinical holds and the time and activities required to lift any such holds;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uncertainties in clinical trial design and patient enrollment or drop out or discontinuation rates;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potential additional studies or clinical trials requested by regulatory agencies;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receipt of any marketing approvals;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252" w:lineRule="exact"/>
        <w:rPr>
          <w:sz w:val="20"/>
          <w:szCs w:val="20"/>
          <w:color w:val="auto"/>
        </w:rPr>
      </w:pPr>
    </w:p>
    <w:p>
      <w:pPr>
        <w:ind w:right="160" w:firstLine="546"/>
        <w:spacing w:after="0" w:line="301"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proceed with clinical trials for SGT-001, initiate clinical trials for SGT-003 and other product candidates and continue to identify and develop additional product candidates.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546"/>
        <w:spacing w:after="0" w:line="301"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equity-based compensation, for personnel in our executive, finance,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office facilities and other operating costs.</w:t>
      </w:r>
    </w:p>
    <w:p>
      <w:pPr>
        <w:spacing w:after="0" w:line="157" w:lineRule="exact"/>
        <w:rPr>
          <w:sz w:val="20"/>
          <w:szCs w:val="20"/>
          <w:color w:val="auto"/>
        </w:rPr>
      </w:pPr>
    </w:p>
    <w:p>
      <w:pPr>
        <w:ind w:right="260" w:firstLine="546"/>
        <w:spacing w:after="0" w:line="263" w:lineRule="auto"/>
        <w:rPr>
          <w:sz w:val="20"/>
          <w:szCs w:val="20"/>
          <w:color w:val="auto"/>
        </w:rPr>
      </w:pPr>
      <w:r>
        <w:rPr>
          <w:rFonts w:ascii="Arial" w:cs="Arial" w:eastAsia="Arial" w:hAnsi="Arial"/>
          <w:sz w:val="18"/>
          <w:szCs w:val="18"/>
          <w:color w:val="auto"/>
        </w:rPr>
        <w:t>We expect that our general and administrative expenses will increase in the future as we increase our general and administrative personnel headcount to support our research and development activities and activities related to the potential commercialization of SGT-001 and our other product candidates, including SGT-003.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In January 2020, we implemented changes to our organizational structure to create a leaner company focused on advancing SGT-001. In connection with the restructuring, we made changes to our management team and reduced headcount by approximately 30 percent.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Other income (expense), net consists of interest income earned on our cash, cash equivalents, and available-for-sale securities, and funding from charitable organizations, net of financing leases interest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We account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w:t>
      </w:r>
    </w:p>
    <w:p>
      <w:pPr>
        <w:spacing w:after="0" w:line="184"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We account for uncertainty in income taxes recognized in the financial statements by applying a two-step process to determine the amount of tax benefit to be recognized. First, the tax position must be evaluated to determine the likelihood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2" w:name="page103"/>
    <w:bookmarkEnd w:id="102"/>
    <w:p>
      <w:pPr>
        <w:ind w:right="60"/>
        <w:spacing w:after="0" w:line="301" w:lineRule="auto"/>
        <w:rPr>
          <w:sz w:val="20"/>
          <w:szCs w:val="20"/>
          <w:color w:val="auto"/>
        </w:rPr>
      </w:pPr>
      <w:r>
        <w:rPr>
          <w:rFonts w:ascii="Arial" w:cs="Arial" w:eastAsia="Arial" w:hAnsi="Arial"/>
          <w:sz w:val="16"/>
          <w:szCs w:val="16"/>
          <w:color w:val="auto"/>
        </w:rPr>
        <w:t>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w:t>
      </w:r>
    </w:p>
    <w:p>
      <w:pPr>
        <w:spacing w:after="0" w:line="177"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at the end of this Annual Report on Form 10-K, we believe that the following accounting policies are those most critical to the judgments and estimates used in the preparation of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280" w:firstLine="546"/>
        <w:spacing w:after="0" w:line="263" w:lineRule="auto"/>
        <w:rPr>
          <w:sz w:val="20"/>
          <w:szCs w:val="20"/>
          <w:color w:val="auto"/>
        </w:rPr>
      </w:pPr>
      <w:r>
        <w:rPr>
          <w:rFonts w:ascii="Arial" w:cs="Arial" w:eastAsia="Arial" w:hAnsi="Arial"/>
          <w:sz w:val="18"/>
          <w:szCs w:val="18"/>
          <w:color w:val="auto"/>
        </w:rPr>
        <w:t>As discussed in Note 2 to our consolidated audited financial statements, under Accounting Standards Codification, or ASC, 606, Revenue from Contracts with Customers , an entity recognizes revenue when its customer obtains control of promised goods or services, in an amount that reflects the consideration which the entity expects to receive in exchange for those goods or services.</w:t>
      </w:r>
    </w:p>
    <w:p>
      <w:pPr>
        <w:spacing w:after="0" w:line="184"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To determine the appropriate amount of revenue to be recognized for arrangements determined to be within the scope of ASC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the entity will collect consideration it is entitled to in exchange for the goods or services it transfers to the customer.</w:t>
      </w:r>
    </w:p>
    <w:p>
      <w:pPr>
        <w:spacing w:after="0" w:line="192" w:lineRule="exact"/>
        <w:rPr>
          <w:sz w:val="20"/>
          <w:szCs w:val="20"/>
          <w:color w:val="auto"/>
        </w:rPr>
      </w:pPr>
    </w:p>
    <w:p>
      <w:pPr>
        <w:ind w:right="80" w:firstLine="546"/>
        <w:spacing w:after="0" w:line="293" w:lineRule="auto"/>
        <w:rPr>
          <w:sz w:val="20"/>
          <w:szCs w:val="20"/>
          <w:color w:val="auto"/>
        </w:rPr>
      </w:pPr>
      <w:r>
        <w:rPr>
          <w:rFonts w:ascii="Arial" w:cs="Arial" w:eastAsia="Arial" w:hAnsi="Arial"/>
          <w:sz w:val="16"/>
          <w:szCs w:val="16"/>
          <w:color w:val="auto"/>
        </w:rPr>
        <w:t>When optional goods or services are offered, we assess the options to determine whether the options grant the customer a material right. This determination includes whether the option is priced at an amount that the customer would not have received without entering into the contract. If we conclude the option conveys a material right, it is accounted for as a separate performance obligation. In identifying performance obligations in a contract, we identify those promises that are distinct. Promised goods or services are considered distinct when the customer can benefit from the goods or services on their own, or together with readily available resources, and the goods or services are separately identifiable from other promises in the contract. If a promise is not distinct, it is combined with other promises in the contract until the combined group of promises is capable of being distinct.</w:t>
      </w:r>
    </w:p>
    <w:p>
      <w:pPr>
        <w:spacing w:after="0" w:line="164"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If it is probable that a significant revenue reversal would not occur, the variable consideration is included in the transaction price. For contracts that include sales-based royalties for licensed compounds, we recognize revenue at the date when the related sales occur. Finally, we determine whether the contract contains a significant financing component by analyzing the promised consideration relative to the standalone selling price of the promised goods and services and the timing of payment relative to the transfer of the promised goods and services. At each reporting date, we reassess the transaction price and probability of achievement of the performance obligations and the associated constraints on transaction price. If necessary, we adjust the transaction price, recording a cumulative catch-up based on progress for the amount that was previously constrained.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3" w:name="page104"/>
    <w:bookmarkEnd w:id="103"/>
    <w:p>
      <w:pPr>
        <w:ind w:right="180" w:firstLine="546"/>
        <w:spacing w:after="0" w:line="271" w:lineRule="auto"/>
        <w:rPr>
          <w:sz w:val="20"/>
          <w:szCs w:val="20"/>
          <w:color w:val="auto"/>
        </w:rPr>
      </w:pPr>
      <w:r>
        <w:rPr>
          <w:rFonts w:ascii="Arial" w:cs="Arial" w:eastAsia="Arial" w:hAnsi="Arial"/>
          <w:sz w:val="17"/>
          <w:szCs w:val="17"/>
          <w:color w:val="auto"/>
        </w:rPr>
        <w:t>Revenue is recognized when (or as) control of a performance obligation is transferred to the customer. When combined performance obligations contain a promised license and related services or other promises, management judgment is required to determine the appropriate timing of revenue recognition. In doing so, we must identify the predominant promise or promises in the contract to determine whether revenue is recognized at a point in time or over time. If over time, we must determine the appropriate measure of progress. If a license is deemed to be the predominant promise in a performance obligation, we must determine the nature of the license, whether functional or symbolic intellectual property, to conclude whether point-in-time or over-time revenue recognition is most appropriate. The determination of functional or symbolic intellectual property requires an assessment of whether the customer is able to exploit and benefit from the license in its current condition, or if the utility of the license is dependent on or influenced by our ongoing activities or being associated with us.</w:t>
      </w:r>
    </w:p>
    <w:p>
      <w:pPr>
        <w:spacing w:after="0" w:line="178" w:lineRule="exact"/>
        <w:rPr>
          <w:sz w:val="20"/>
          <w:szCs w:val="20"/>
          <w:color w:val="auto"/>
        </w:rPr>
      </w:pPr>
    </w:p>
    <w:p>
      <w:pPr>
        <w:ind w:right="100" w:firstLine="546"/>
        <w:spacing w:after="0" w:line="255" w:lineRule="auto"/>
        <w:rPr>
          <w:sz w:val="20"/>
          <w:szCs w:val="20"/>
          <w:color w:val="auto"/>
        </w:rPr>
      </w:pPr>
      <w:r>
        <w:rPr>
          <w:rFonts w:ascii="Arial" w:cs="Arial" w:eastAsia="Arial" w:hAnsi="Arial"/>
          <w:sz w:val="18"/>
          <w:szCs w:val="18"/>
          <w:color w:val="auto"/>
        </w:rPr>
        <w:t>At each reporting date, we calculate the measure of progress for the performance obligations transferred over time. The calculation generally uses an input measure based on costs incurred to-date relative to estimated total costs to complete the transfer of the performance obligation. The measurement of progress is then used to calculate the total revenue earned, including any cumulative catch-up adjustment. A 10% increase or decrease in the transaction price impacts net revenues from collaborators by a corresponding increase or decrease of approximately $1.3 million. A 10% increase or decrease in the total forecasted costs to be incurred over the period the transfer of goods or services occurs impacts net revenues from collaborators by a corresponding decrease or increase of approximately $0.5 million.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240" w:firstLine="546"/>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 Examples of estimated accrued research and development expenses include fees paid to:</w:t>
      </w:r>
    </w:p>
    <w:p>
      <w:pPr>
        <w:spacing w:after="0" w:line="69" w:lineRule="exact"/>
        <w:rPr>
          <w:sz w:val="20"/>
          <w:szCs w:val="20"/>
          <w:color w:val="auto"/>
        </w:rPr>
      </w:pPr>
    </w:p>
    <w:p>
      <w:pPr>
        <w:ind w:left="960" w:hanging="412"/>
        <w:spacing w:after="0"/>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CROs in connection with performing research activities on our behalf and conducting clinical trials and preclinical studies on our behalf;</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vendors related to product manufacturing and development and distribution of clinical and preclinical supplies;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third parties under our intellectual property licenses.</w:t>
      </w:r>
    </w:p>
    <w:p>
      <w:pPr>
        <w:spacing w:after="0" w:line="252"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jc w:val="both"/>
        <w:ind w:firstLine="802"/>
        <w:spacing w:after="0" w:line="287" w:lineRule="auto"/>
        <w:rPr>
          <w:sz w:val="20"/>
          <w:szCs w:val="20"/>
          <w:color w:val="auto"/>
        </w:rPr>
      </w:pPr>
      <w:r>
        <w:rPr>
          <w:rFonts w:ascii="Arial" w:cs="Arial" w:eastAsia="Arial" w:hAnsi="Arial"/>
          <w:sz w:val="16"/>
          <w:szCs w:val="16"/>
          <w:color w:val="auto"/>
        </w:rPr>
        <w:t>In connection with the completion of our initial public offering, we adopted the 2018 Omnibus Incentive Plan, or the 2018 Plan, which provides for the issuance of share-based awards, including options to purchase common stock. The 2018 Plan provides for the awarding of up to 5,001,000 shares of common stock for equity awards. On June 16, 2020, our stockholders approved the 2020 Equity Incentive Plan, or the 2020 Plan, which consists of</w:t>
      </w:r>
    </w:p>
    <w:p>
      <w:pPr>
        <w:spacing w:after="0" w:line="2" w:lineRule="exact"/>
        <w:rPr>
          <w:sz w:val="20"/>
          <w:szCs w:val="20"/>
          <w:color w:val="auto"/>
        </w:rPr>
      </w:pPr>
    </w:p>
    <w:p>
      <w:pPr>
        <w:ind w:right="200" w:firstLine="8"/>
        <w:spacing w:after="0" w:line="252" w:lineRule="auto"/>
        <w:tabs>
          <w:tab w:leader="none" w:pos="2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3,000,000 shares of common stock and (ii) additional shares of common stock (up to 4,879,025) as is equal to (i) the number of shares reserved under the 2018 Plan that remained available for grant under the 2018 Plan as of immediately prior to the date the 2020 Plan was approved by our stockholders and (ii) the number of shares subject to awards granted under the 2018 Plan which awards expire, terminate or are otherwise surrendered, cancelled, forfeited or repurchased by us at their original issuance price pursuant to a contractual repurchase right. On June 16, 2021, our stockholders approved an amendment to the 2020 Plan to reserve an additional 7,000,000 shares of common stock for issuance under the plan. Under the 2020 Plan, stock options may not be granted at less than fair value on the date of grant. At December 31, 2021, 8,557,152 shares remained available for future issuance under the 2020 Plan.</w:t>
      </w:r>
    </w:p>
    <w:p>
      <w:pPr>
        <w:spacing w:after="0" w:line="192" w:lineRule="exact"/>
        <w:rPr>
          <w:sz w:val="20"/>
          <w:szCs w:val="20"/>
          <w:color w:val="auto"/>
        </w:rPr>
      </w:pPr>
    </w:p>
    <w:p>
      <w:pPr>
        <w:ind w:right="320" w:firstLine="546"/>
        <w:spacing w:after="0" w:line="263" w:lineRule="auto"/>
        <w:rPr>
          <w:sz w:val="20"/>
          <w:szCs w:val="20"/>
          <w:color w:val="auto"/>
        </w:rPr>
      </w:pPr>
      <w:r>
        <w:rPr>
          <w:rFonts w:ascii="Arial" w:cs="Arial" w:eastAsia="Arial" w:hAnsi="Arial"/>
          <w:sz w:val="18"/>
          <w:szCs w:val="18"/>
          <w:color w:val="auto"/>
        </w:rPr>
        <w:t>In June 2021, the Company’s stockholders also approved the 2021 Employee Stock Purchase Plan, or the ESPP, which provides for 1,102,885 shares to be available for purchase by eligible employees according to its terms. At December 31, 2021, 1,058,204 shares remained available for future issuance under the ESPP.</w:t>
      </w:r>
    </w:p>
    <w:p>
      <w:pPr>
        <w:spacing w:after="0" w:line="184" w:lineRule="exact"/>
        <w:rPr>
          <w:sz w:val="20"/>
          <w:szCs w:val="20"/>
          <w:color w:val="auto"/>
        </w:rPr>
      </w:pPr>
    </w:p>
    <w:p>
      <w:pPr>
        <w:jc w:val="both"/>
        <w:ind w:right="100" w:firstLine="546"/>
        <w:spacing w:after="0" w:line="296" w:lineRule="auto"/>
        <w:rPr>
          <w:sz w:val="20"/>
          <w:szCs w:val="20"/>
          <w:color w:val="auto"/>
        </w:rPr>
      </w:pPr>
      <w:r>
        <w:rPr>
          <w:rFonts w:ascii="Arial" w:cs="Arial" w:eastAsia="Arial" w:hAnsi="Arial"/>
          <w:sz w:val="16"/>
          <w:szCs w:val="16"/>
          <w:color w:val="auto"/>
        </w:rPr>
        <w:t>We measure all stock options and other stock-based awards granted to employees, directors and non-employees based on the fair value on the date of the grant and recognize compensation expense of those awards, over the requisite service period, which is generally the vesting period of the respective award. Forfeitures are accounted for as they occur. We apply the straight-line method of expense recognition to all awards with only service-based vesting conditions. We have not issued any awards with performance-based vesting conditions. For stock-based awards granted to non-employees, compensation expense is recognized over the period during which services are rendered by such non-employees until completed.</w:t>
      </w:r>
    </w:p>
    <w:p>
      <w:pPr>
        <w:spacing w:after="0" w:line="161" w:lineRule="exact"/>
        <w:rPr>
          <w:sz w:val="20"/>
          <w:szCs w:val="20"/>
          <w:color w:val="auto"/>
        </w:rPr>
      </w:pPr>
    </w:p>
    <w:p>
      <w:pPr>
        <w:ind w:right="80" w:firstLine="546"/>
        <w:spacing w:after="0" w:line="270"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We historically have been a private company and lack company-specific historical and implied volatility information. Therefore, we estimate our expected stock volatility based on the historical volatility of a publicly traded set of peer companies and expect to continue to do so until such time as we have adequate historical data regarding the volatility of our own traded stock price. For options with service-based vesting conditions, the expected term of our stock options has been determined utilizing the “simplified” method for awards that qualify as “plain-vanilla” options. Through December 31, 2018, the expected term of stock options granted to non-employees is equal to the contractual term of the option award and effective January 1, 2019, the “simplified” method is used.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and do not expect to pay any cash dividends in the foreseeable future, if ever.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6"/>
          </w:tcPr>
          <w:p>
            <w:pPr>
              <w:ind w:left="100"/>
              <w:spacing w:after="0"/>
              <w:rPr>
                <w:sz w:val="20"/>
                <w:szCs w:val="20"/>
                <w:color w:val="auto"/>
              </w:rPr>
            </w:pPr>
            <w:r>
              <w:rPr>
                <w:rFonts w:ascii="Arial" w:cs="Arial" w:eastAsia="Arial" w:hAnsi="Arial"/>
                <w:sz w:val="18"/>
                <w:szCs w:val="18"/>
                <w:b w:val="1"/>
                <w:bCs w:val="1"/>
                <w:color w:val="auto"/>
              </w:rPr>
              <w:t>For the Year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6"/>
          </w:tcPr>
          <w:p>
            <w:pPr>
              <w:ind w:left="34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Increase</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(decrease)</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13,620</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(6,142)</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36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5,554</w:t>
            </w:r>
          </w:p>
        </w:tc>
        <w:tc>
          <w:tcPr>
            <w:tcW w:w="12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expense</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(1,944)</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620" w:type="dxa"/>
            <w:vAlign w:val="bottom"/>
            <w:vMerge w:val="restart"/>
          </w:tcPr>
          <w:p>
            <w:pPr>
              <w:ind w:left="480"/>
              <w:spacing w:after="0"/>
              <w:rPr>
                <w:sz w:val="20"/>
                <w:szCs w:val="20"/>
                <w:color w:val="auto"/>
              </w:rPr>
            </w:pPr>
            <w:r>
              <w:rPr>
                <w:rFonts w:ascii="Arial" w:cs="Arial" w:eastAsia="Arial" w:hAnsi="Arial"/>
                <w:sz w:val="18"/>
                <w:szCs w:val="18"/>
                <w:color w:val="auto"/>
              </w:rPr>
              <w:t>Total operating expenses</w:t>
            </w:r>
          </w:p>
        </w:tc>
        <w:tc>
          <w:tcPr>
            <w:tcW w:w="1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85,874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88,406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(2,532)</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(72,254)</w:t>
            </w:r>
          </w:p>
        </w:tc>
        <w:tc>
          <w:tcPr>
            <w:tcW w:w="1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(88,406)</w:t>
            </w:r>
          </w:p>
        </w:tc>
        <w:tc>
          <w:tcPr>
            <w:tcW w:w="12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16,152</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Total other income (expense)</w:t>
            </w:r>
          </w:p>
        </w:tc>
        <w:tc>
          <w:tcPr>
            <w:tcW w:w="10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0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(72,188</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(88,290</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16,102</w:t>
            </w:r>
          </w:p>
        </w:tc>
        <w:tc>
          <w:tcPr>
            <w:tcW w:w="12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440" w:firstLine="546"/>
        <w:spacing w:after="0" w:line="263" w:lineRule="auto"/>
        <w:rPr>
          <w:sz w:val="20"/>
          <w:szCs w:val="20"/>
          <w:color w:val="auto"/>
        </w:rPr>
      </w:pPr>
      <w:r>
        <w:rPr>
          <w:rFonts w:ascii="Arial" w:cs="Arial" w:eastAsia="Arial" w:hAnsi="Arial"/>
          <w:sz w:val="18"/>
          <w:szCs w:val="18"/>
          <w:color w:val="auto"/>
        </w:rPr>
        <w:t>Collaboration revenue for the year ended December 31, 2021 was $13.6 million, compared to no collaboration revenue for the year ended December 31, 2020. The increase in collaboration revenue was related to research services and cost reimbursement received under the Collaboration Agreement with Ultragenyx, which we entered into in the fourth quarter of 2020.</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Research and development expenses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8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5"/>
              </w:rPr>
              <w:t>Increase</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60" w:type="dxa"/>
            <w:vAlign w:val="bottom"/>
            <w:gridSpan w:val="4"/>
            <w:vMerge w:val="restart"/>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6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4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86"/>
              </w:rPr>
              <w:t>(decrease)</w:t>
            </w:r>
          </w:p>
        </w:tc>
        <w:tc>
          <w:tcPr>
            <w:tcW w:w="6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23"/>
        </w:trPr>
        <w:tc>
          <w:tcPr>
            <w:tcW w:w="5300" w:type="dxa"/>
            <w:vAlign w:val="bottom"/>
            <w:gridSpan w:val="2"/>
          </w:tcPr>
          <w:p>
            <w:pPr>
              <w:ind w:left="840"/>
              <w:spacing w:after="0"/>
              <w:rPr>
                <w:sz w:val="20"/>
                <w:szCs w:val="20"/>
                <w:color w:val="auto"/>
              </w:rPr>
            </w:pPr>
            <w:r>
              <w:rPr>
                <w:rFonts w:ascii="Arial" w:cs="Arial" w:eastAsia="Arial" w:hAnsi="Arial"/>
                <w:sz w:val="18"/>
                <w:szCs w:val="18"/>
                <w:b w:val="1"/>
                <w:bCs w:val="1"/>
                <w:color w:val="auto"/>
              </w:rPr>
              <w:t>(in thousands)</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SGT-001</w:t>
            </w:r>
          </w:p>
        </w:tc>
        <w:tc>
          <w:tcPr>
            <w:tcW w:w="8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22,826</w:t>
            </w:r>
          </w:p>
        </w:tc>
        <w:tc>
          <w:tcPr>
            <w:tcW w:w="40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(6,700)</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SGT-003 and other product candidates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(2,166)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Personnel related expenses</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2,506</w:t>
            </w:r>
          </w:p>
        </w:tc>
        <w:tc>
          <w:tcPr>
            <w:tcW w:w="1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External expenses</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840"/>
              <w:spacing w:after="0"/>
              <w:rPr>
                <w:sz w:val="20"/>
                <w:szCs w:val="20"/>
                <w:color w:val="auto"/>
              </w:rPr>
            </w:pPr>
            <w:r>
              <w:rPr>
                <w:rFonts w:ascii="Arial" w:cs="Arial" w:eastAsia="Arial" w:hAnsi="Arial"/>
                <w:sz w:val="18"/>
                <w:szCs w:val="18"/>
                <w:color w:val="auto"/>
              </w:rPr>
              <w:t>Total unallocated research and development expenses</w:t>
            </w: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34,965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32,241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2,724</w:t>
            </w:r>
          </w:p>
        </w:tc>
        <w:tc>
          <w:tcPr>
            <w:tcW w:w="12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44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58,739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64,881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46"/>
        <w:spacing w:after="0" w:line="284" w:lineRule="auto"/>
        <w:rPr>
          <w:sz w:val="20"/>
          <w:szCs w:val="20"/>
          <w:color w:val="auto"/>
        </w:rPr>
      </w:pPr>
      <w:r>
        <w:rPr>
          <w:rFonts w:ascii="Arial" w:cs="Arial" w:eastAsia="Arial" w:hAnsi="Arial"/>
          <w:sz w:val="17"/>
          <w:szCs w:val="17"/>
          <w:color w:val="auto"/>
        </w:rPr>
        <w:t>Research and development costs for the year ended December 31, 2021 were $58.7 million, compared to $64.9 million for the year ended December 31, 2020. The decrease of $6.1 million in research and development costs was due to a decrease in SGT-001 research and development costs of $6.7 million primarily due to the impacts of COVID-19, and a decrease of SGT-003 and other product candidates costs of $2.2 million primarily due to license fees incurred in 2020 in conjunction with the Ultragenyx Collaboration agreement. This was partially offset by an increase in unallocated expenses of $2.7 million primarily driven by personnel related expenses from an increase in headcount in 2021.</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General and administrative expenses were $27.1 million for the year ended December 31, 2021, compared to $21.6 million for the year ended December 31, 2020. The increase of $5.5 million was due to an increase in personnel related expenses of $4.1 million due to the increase in headcount in 2021 and an increase in consulting fees of $1.4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right="140" w:firstLine="546"/>
        <w:spacing w:after="0" w:line="311" w:lineRule="auto"/>
        <w:rPr>
          <w:sz w:val="20"/>
          <w:szCs w:val="20"/>
          <w:color w:val="auto"/>
        </w:rPr>
      </w:pPr>
      <w:r>
        <w:rPr>
          <w:rFonts w:ascii="Arial" w:cs="Arial" w:eastAsia="Arial" w:hAnsi="Arial"/>
          <w:sz w:val="16"/>
          <w:szCs w:val="16"/>
          <w:color w:val="auto"/>
        </w:rPr>
        <w:t>During the year ended December 31, 2021 we recorded no expense related to restructuring compared to $1.9 million of restructuring charges as of December 31, 2020. The restructuring charges related to severance and other employee-related costs in connection with the restructuring that occurred in January 2020. We paid approximately $1.8 million during the year ended December 31, 2020 and $0.1 million during the year ended December 31,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60" w:firstLine="546"/>
        <w:spacing w:after="0" w:line="277" w:lineRule="auto"/>
        <w:rPr>
          <w:sz w:val="20"/>
          <w:szCs w:val="20"/>
          <w:color w:val="auto"/>
        </w:rPr>
      </w:pPr>
      <w:r>
        <w:rPr>
          <w:rFonts w:ascii="Arial" w:cs="Arial" w:eastAsia="Arial" w:hAnsi="Arial"/>
          <w:sz w:val="18"/>
          <w:szCs w:val="18"/>
          <w:color w:val="auto"/>
        </w:rPr>
        <w:t>Interest income was $0.1 million and $0.1 million for the years ended December 31, 2021 and 2020, respectively. There was no change as the portfolio of available-for-sale securities remained consistent.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income relates to contributions from charitable organizations. We do not expect these contributions to reoccur in future periods.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Operations—Years Ended December 31, 2020 and 2019</w:t>
      </w:r>
    </w:p>
    <w:p>
      <w:pPr>
        <w:spacing w:after="0" w:line="117" w:lineRule="exact"/>
        <w:rPr>
          <w:sz w:val="20"/>
          <w:szCs w:val="20"/>
          <w:color w:val="auto"/>
        </w:rPr>
      </w:pPr>
    </w:p>
    <w:p>
      <w:pPr>
        <w:jc w:val="both"/>
        <w:ind w:right="600" w:firstLine="546"/>
        <w:spacing w:after="0" w:line="263" w:lineRule="auto"/>
        <w:rPr>
          <w:sz w:val="20"/>
          <w:szCs w:val="20"/>
          <w:color w:val="auto"/>
        </w:rPr>
      </w:pPr>
      <w:r>
        <w:rPr>
          <w:rFonts w:ascii="Arial" w:cs="Arial" w:eastAsia="Arial" w:hAnsi="Arial"/>
          <w:sz w:val="18"/>
          <w:szCs w:val="18"/>
          <w:color w:val="auto"/>
        </w:rPr>
        <w:t>Discussion and analysis of the year ended December 31, 2020 compared to the year ended December 31, 2019 is included in Part II, Item 7, “Management’s Discussion and Analysis of Financial Condition and Results of Operations” in our Annual Report on Form 10-K for the year ended December 31, 2020 as filed with the SEC on March 15, 2021 (“2020 Form 10-K”).</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To date, we have financed our operations primarily through the sale of redeemable preferred units and member units, the sale of common stock and prefunded warrants to purchase shares of our common stock in private placements and the sale of common stock in our initial public offering and a follow-on public offering. Through December 31, 2021, we raised an aggregate of $144.6 million of gross proceeds from our sales of preferred units prior to the completion of our initial public offering, and an aggregate of $471.3 million of net proceeds from the sale of our common stock through public offerings, including our IPO, our ATM Sales Agreement, private placements including the stock purchase agreement with Ultragenyx, as detailed in the following paragraphs.</w:t>
      </w:r>
    </w:p>
    <w:p>
      <w:pPr>
        <w:spacing w:after="0" w:line="192" w:lineRule="exact"/>
        <w:rPr>
          <w:sz w:val="20"/>
          <w:szCs w:val="20"/>
          <w:color w:val="auto"/>
        </w:rPr>
      </w:pPr>
    </w:p>
    <w:p>
      <w:pPr>
        <w:ind w:right="140" w:firstLine="546"/>
        <w:spacing w:after="0" w:line="279" w:lineRule="auto"/>
        <w:rPr>
          <w:sz w:val="20"/>
          <w:szCs w:val="20"/>
          <w:color w:val="auto"/>
        </w:rPr>
      </w:pPr>
      <w:r>
        <w:rPr>
          <w:rFonts w:ascii="Arial" w:cs="Arial" w:eastAsia="Arial" w:hAnsi="Arial"/>
          <w:sz w:val="17"/>
          <w:szCs w:val="17"/>
          <w:color w:val="auto"/>
        </w:rPr>
        <w:t>On July 30, 2019, we issued and sold in a private placement (i) 10,607,525 shares of our common stock at a price per share of $4.65 and (ii) 2,295,699 pre-funded warrants to purchase shares of our common stock at a price per warrant of $4.64. Each pre-funded warrant is exercisable for one share of common stock at an exercise price of $0.01 and the pre-funded warrants have no expiration date. We received $57.9 million of net proceeds from the private placement after deducting offering costs. On October 2, 2020, 137,460 of these pre-funded warrants were exercised.</w:t>
      </w:r>
    </w:p>
    <w:p>
      <w:pPr>
        <w:spacing w:after="0" w:line="171"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color w:val="auto"/>
        </w:rPr>
        <w:t>On October 22, 2020, we entered into the Collaboration Agreement with Ultragenyx. In connection with the execution of the Collaboration Agreement, we also entered into a stock purchase agreement with Ultragenyx, pursuant to which we issued and sold 7,825,797 shares of our common stock to Ultragenyx for an aggregate purchase price of approximately $40 million.</w:t>
      </w:r>
    </w:p>
    <w:p>
      <w:pPr>
        <w:spacing w:after="0" w:line="184" w:lineRule="exact"/>
        <w:rPr>
          <w:sz w:val="20"/>
          <w:szCs w:val="20"/>
          <w:color w:val="auto"/>
        </w:rPr>
      </w:pPr>
    </w:p>
    <w:p>
      <w:pPr>
        <w:ind w:right="600" w:firstLine="546"/>
        <w:spacing w:after="0" w:line="277" w:lineRule="auto"/>
        <w:rPr>
          <w:sz w:val="20"/>
          <w:szCs w:val="20"/>
          <w:color w:val="auto"/>
        </w:rPr>
      </w:pPr>
      <w:r>
        <w:rPr>
          <w:rFonts w:ascii="Arial" w:cs="Arial" w:eastAsia="Arial" w:hAnsi="Arial"/>
          <w:sz w:val="18"/>
          <w:szCs w:val="18"/>
          <w:color w:val="auto"/>
        </w:rPr>
        <w:t>On December 15, 2020, we issued and sold in a private placement 24,324,320 shares of our common stock at a price per share of $3.70. We received $86.2 million of net proceeds from the private placement after deducting offering costs.</w:t>
      </w:r>
    </w:p>
    <w:p>
      <w:pPr>
        <w:spacing w:after="0" w:line="17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On March 13, 2019, we entered into the ATM Sales Agreement, which was amended in August 2021, under which we may offer and sell, from time to time, shares of our common stock having aggregate gross proceeds of up to $75.0 million through Jefferies as sales agent. Any such sales being made by any method that is deemed an “at-the-market offering” as defined in Rule 415 promulgated under the Securities Act. We will pay Jefferies a commission of up to 3% of the gross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07" w:name="page108"/>
    <w:bookmarkEnd w:id="107"/>
    <w:p>
      <w:pPr>
        <w:ind w:right="360"/>
        <w:spacing w:after="0" w:line="263" w:lineRule="auto"/>
        <w:rPr>
          <w:sz w:val="20"/>
          <w:szCs w:val="20"/>
          <w:color w:val="auto"/>
        </w:rPr>
      </w:pPr>
      <w:r>
        <w:rPr>
          <w:rFonts w:ascii="Arial" w:cs="Arial" w:eastAsia="Arial" w:hAnsi="Arial"/>
          <w:sz w:val="18"/>
          <w:szCs w:val="18"/>
          <w:color w:val="auto"/>
        </w:rPr>
        <w:t>proceeds of any sales of common stock pursuant to the ATM Sales Agreement. During the year ended December 31, 2020, we sold 6,309,632 shares pursuant to the ATM Sales Agreement resulting in net proceeds of $23.2 million. During the year ended December 31, 2021, we did not sell any shares pursuant to the ATM Sales Agreement</w:t>
      </w:r>
    </w:p>
    <w:p>
      <w:pPr>
        <w:spacing w:after="0" w:line="184"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On March 23, 2021, we issued and sold in a public offering 25,000,000 shares of our common stock at a price per share of $5.75, including the full exercise by the underwriters of an option to purchase additional shares of common stock, or the March 2021 Offering. We received net proceeds of approximately $134.9 million after deducting underwriter discounts and commissions and offering expenses.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2021, we had cash, cash equivalents and available-for-sale securities of $207.8 million and had no debt outstanding.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2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w w:val="91"/>
              </w:rPr>
              <w:t>For the Year Ended December 31,</w:t>
            </w:r>
          </w:p>
        </w:tc>
      </w:tr>
      <w:tr>
        <w:trPr>
          <w:trHeight w:val="223"/>
        </w:trPr>
        <w:tc>
          <w:tcPr>
            <w:tcW w:w="5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1340" w:type="dxa"/>
            <w:vAlign w:val="bottom"/>
            <w:gridSpan w:val="2"/>
            <w:shd w:val="clear" w:color="auto" w:fill="CFF0FC"/>
          </w:tcPr>
          <w:p>
            <w:pPr>
              <w:jc w:val="right"/>
              <w:ind w:right="9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(77,764)</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(56,599)</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(91,086)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134,985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128,700</w:t>
            </w:r>
          </w:p>
        </w:tc>
        <w:tc>
          <w:tcPr>
            <w:tcW w:w="100" w:type="dxa"/>
            <w:vAlign w:val="bottom"/>
            <w:shd w:val="clear" w:color="auto" w:fill="CFF0FC"/>
          </w:tcPr>
          <w:p>
            <w:pPr>
              <w:spacing w:after="0"/>
              <w:rPr>
                <w:sz w:val="19"/>
                <w:szCs w:val="19"/>
                <w:color w:val="auto"/>
              </w:rPr>
            </w:pP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Net (decrease) increase in cash and cash equivalents</w:t>
            </w:r>
          </w:p>
        </w:tc>
        <w:tc>
          <w:tcPr>
            <w:tcW w:w="1080" w:type="dxa"/>
            <w:vAlign w:val="bottom"/>
          </w:tcPr>
          <w:p>
            <w:pPr>
              <w:spacing w:after="0"/>
              <w:rPr>
                <w:sz w:val="19"/>
                <w:szCs w:val="19"/>
                <w:color w:val="auto"/>
              </w:rPr>
            </w:pPr>
          </w:p>
        </w:tc>
        <w:tc>
          <w:tcPr>
            <w:tcW w:w="260" w:type="dxa"/>
            <w:vAlign w:val="bottom"/>
            <w:tcBorders>
              <w:bottom w:val="single" w:sz="8" w:color="auto"/>
            </w:tcBorders>
          </w:tcPr>
          <w:p>
            <w:pPr>
              <w:jc w:val="right"/>
              <w:ind w:right="9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78,701</w:t>
            </w: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44" w:lineRule="exact"/>
        <w:rPr>
          <w:sz w:val="20"/>
          <w:szCs w:val="20"/>
          <w:color w:val="auto"/>
        </w:rPr>
      </w:pPr>
    </w:p>
    <w:p>
      <w:pPr>
        <w:ind w:right="100" w:firstLine="546"/>
        <w:spacing w:after="0" w:line="273" w:lineRule="auto"/>
        <w:rPr>
          <w:sz w:val="20"/>
          <w:szCs w:val="20"/>
          <w:color w:val="auto"/>
        </w:rPr>
      </w:pPr>
      <w:r>
        <w:rPr>
          <w:rFonts w:ascii="Arial" w:cs="Arial" w:eastAsia="Arial" w:hAnsi="Arial"/>
          <w:sz w:val="17"/>
          <w:szCs w:val="17"/>
          <w:color w:val="auto"/>
        </w:rPr>
        <w:t>During the year ended December 31, 2021, operating activities used $77.8 million of cash, primarily resulting from our net loss of $72.2 million offset by non-cash charges of $17.5 million due primarily to equity-based compensation of $13.4 million and depreciation expense of $3.0 million and marketable securities of $1.1 million. Net cash used by changes in our operating assets and liabilities was $23.1 million which included a decrease in deferred revenue of $12.6 million and an increase in accounts receivable of $0.1 million as a result of the Ultragenyx Collaboration Agreement, a decrease in prepaid and other non-current assets of $9.3 million and a decrease in accrued other liabilities and non-current liabilities of $2.3 partially offset by an increase in accounts payable of $1.2 million due to the timing of payments.</w:t>
      </w:r>
    </w:p>
    <w:p>
      <w:pPr>
        <w:spacing w:after="0" w:line="97"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During the year ended December 31, 2020, operating activities used $56.6 million of cash, primarily resulting from our net loss of $88.3 million offset by non-cash charges of $15.5 million due primarily to equity-based compensation of $11.6 million and depreciation expense of $3.9 million as well as cash provided by changes in our operating assets and liabilities. Net cash provided by changes in our operating assets and liabilities included a decrease in accounts payable, accrued expenses and non-current liabilities of $4.6 million due to the timing of payments and an increase in deferred revenue of $20.8 million as a result of the Ultragenyx Collaboration Agreement. Net cash provided by changes in our operating assets and liabilities also consisted primarily of an increase in prepaid expenses and other assets of $0.1 million which was primarily due to an increase in prepayments related to research and development activities.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60" w:firstLine="546"/>
        <w:spacing w:after="0" w:line="263" w:lineRule="auto"/>
        <w:rPr>
          <w:sz w:val="20"/>
          <w:szCs w:val="20"/>
          <w:color w:val="auto"/>
        </w:rPr>
      </w:pPr>
      <w:r>
        <w:rPr>
          <w:rFonts w:ascii="Arial" w:cs="Arial" w:eastAsia="Arial" w:hAnsi="Arial"/>
          <w:sz w:val="18"/>
          <w:szCs w:val="18"/>
          <w:color w:val="auto"/>
        </w:rPr>
        <w:t>During the year ended December 31, 2021, investing activities used $91.1 million of cash, consisting primarily of net purchases of available-for-sale securities of $141.2 million and the purchase of property and equipment of $1.3 million partially offset by the sale of available-for-sale securities of $51.4 million.</w:t>
      </w:r>
    </w:p>
    <w:p>
      <w:pPr>
        <w:spacing w:after="0" w:line="76"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During the year ended December 31, 2020, investing activities provided $6.6 million of cash, consisting primarily of net proceeds on the sale and maturity of available-for-sale securities partially offset by purchases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During the year ended December 31, 2021, net cash provided by financing activities was $135.0 million as a result of the March 2021 Offering.</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8" w:name="page109"/>
    <w:bookmarkEnd w:id="108"/>
    <w:p>
      <w:pPr>
        <w:jc w:val="both"/>
        <w:ind w:right="200" w:firstLine="546"/>
        <w:spacing w:after="0" w:line="263" w:lineRule="auto"/>
        <w:rPr>
          <w:sz w:val="20"/>
          <w:szCs w:val="20"/>
          <w:color w:val="auto"/>
        </w:rPr>
      </w:pPr>
      <w:r>
        <w:rPr>
          <w:rFonts w:ascii="Arial" w:cs="Arial" w:eastAsia="Arial" w:hAnsi="Arial"/>
          <w:sz w:val="18"/>
          <w:szCs w:val="18"/>
          <w:color w:val="auto"/>
        </w:rPr>
        <w:t>During the year ended December 31, 2020, net cash provided by financing activities was $128.7 million, due to the net proceeds from our private placement of shares of our common stock that we completed in December 2020 and sales under the ATM Sales Agreement as well as proceeds from the issuance of common stock to Ultragenyx.</w:t>
      </w:r>
    </w:p>
    <w:p>
      <w:pPr>
        <w:spacing w:after="0" w:line="184" w:lineRule="exact"/>
        <w:rPr>
          <w:sz w:val="20"/>
          <w:szCs w:val="20"/>
          <w:color w:val="auto"/>
        </w:rPr>
      </w:pPr>
    </w:p>
    <w:p>
      <w:pPr>
        <w:ind w:right="320" w:firstLine="546"/>
        <w:spacing w:after="0" w:line="308" w:lineRule="auto"/>
        <w:rPr>
          <w:sz w:val="20"/>
          <w:szCs w:val="20"/>
          <w:color w:val="auto"/>
        </w:rPr>
      </w:pPr>
      <w:r>
        <w:rPr>
          <w:rFonts w:ascii="Arial" w:cs="Arial" w:eastAsia="Arial" w:hAnsi="Arial"/>
          <w:sz w:val="17"/>
          <w:szCs w:val="17"/>
          <w:color w:val="auto"/>
        </w:rPr>
        <w:t>A discussion of changes in our cash flow from the year ended December 31, 2019 to the year ended December 31, 2020 can be found in Part II, Item 7, “Management’s Discussion and Analysis of Financial Condition and Results of Operations” of the 2020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expect our expenses to increase substantially in connection with our ongoing development activities related to SGT-001, SGT-003 and our other product candidates. In addition, we have incurred and expect to continue to incur additional costs associated with operating as a public company. We expect that our expenses will increase substantially if and as we:</w:t>
      </w:r>
    </w:p>
    <w:p>
      <w:pPr>
        <w:spacing w:after="0" w:line="76" w:lineRule="exact"/>
        <w:rPr>
          <w:sz w:val="20"/>
          <w:szCs w:val="20"/>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to enroll patients in IGNITE DMD and continue clinical development of SGT-001;</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move SGT-003 or our other product candidates into clinical trials;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research and preclinical development of SGT-003 or our other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arrange for manufacture of larger quantities of our product candidates for clinical development and potential commercialization;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build out new facilities or expand existing facilities to support our activities;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acquire or in-license other drugs, technologies and intellectual property;</w:t>
      </w:r>
    </w:p>
    <w:p>
      <w:pPr>
        <w:spacing w:after="0" w:line="144" w:lineRule="exact"/>
        <w:rPr>
          <w:rFonts w:ascii="Arial" w:cs="Arial" w:eastAsia="Arial" w:hAnsi="Arial"/>
          <w:sz w:val="18"/>
          <w:szCs w:val="18"/>
          <w:color w:val="auto"/>
        </w:rPr>
      </w:pPr>
    </w:p>
    <w:p>
      <w:pPr>
        <w:ind w:left="960" w:right="820" w:hanging="412"/>
        <w:spacing w:after="0" w:line="27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fund a portion of the development or commercialization of products in collaboration with Ultragenyx pursuant to the Collaboration Agreement;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w:t>
      </w:r>
    </w:p>
    <w:p>
      <w:pPr>
        <w:spacing w:after="0" w:line="252"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As of December 31, 2021, we had cash, cash equivalents and available-for-sale securities of $207.8 million. We believe that our existing cash, cash equivalents and available-for-sale securities as of December 31, 2021 will be sufficient to fund our operating expenses and capital requirements into the third quarter of 2023. As a result, in order to continue to operate our business beyond that time, we will need to raise additional funds. However, there can be no assurance that we will be able to generate funds on terms acceptable to us, on a timely basis, or at all. In addition, we have based this estimate on assumptions that may prove to be wrong, and we could use our available capital resources sooner than we currently anticipate.</w:t>
      </w:r>
    </w:p>
    <w:p>
      <w:pPr>
        <w:spacing w:after="0" w:line="161" w:lineRule="exact"/>
        <w:rPr>
          <w:sz w:val="20"/>
          <w:szCs w:val="20"/>
          <w:color w:val="auto"/>
        </w:rPr>
      </w:pPr>
    </w:p>
    <w:p>
      <w:pPr>
        <w:ind w:right="20" w:firstLine="546"/>
        <w:spacing w:after="0" w:line="279" w:lineRule="auto"/>
        <w:rPr>
          <w:sz w:val="20"/>
          <w:szCs w:val="20"/>
          <w:color w:val="auto"/>
        </w:rPr>
      </w:pPr>
      <w:r>
        <w:rPr>
          <w:rFonts w:ascii="Arial" w:cs="Arial" w:eastAsia="Arial" w:hAnsi="Arial"/>
          <w:sz w:val="17"/>
          <w:szCs w:val="17"/>
          <w:color w:val="auto"/>
        </w:rPr>
        <w:t>Because of the numerous risks and uncertainties associated with the development of SGT-001, SGT-003 and other product candidates and programs and because the extent to which we may enter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63" w:lineRule="exact"/>
        <w:rPr>
          <w:sz w:val="20"/>
          <w:szCs w:val="20"/>
          <w:color w:val="auto"/>
        </w:rPr>
      </w:pPr>
    </w:p>
    <w:p>
      <w:pPr>
        <w:ind w:left="960" w:hanging="41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progress and results of IGNITE DMD and future clinical trials of SGT-001, SGT-003 and our other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SGT-001, SGT-003 and our other product candidates;</w:t>
      </w:r>
    </w:p>
    <w:p>
      <w:pPr>
        <w:spacing w:after="0" w:line="144" w:lineRule="exact"/>
        <w:rPr>
          <w:rFonts w:ascii="Arial" w:cs="Arial" w:eastAsia="Arial" w:hAnsi="Arial"/>
          <w:sz w:val="18"/>
          <w:szCs w:val="18"/>
          <w:color w:val="auto"/>
        </w:rPr>
      </w:pPr>
    </w:p>
    <w:p>
      <w:pPr>
        <w:ind w:left="960" w:right="140" w:hanging="412"/>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laboratory testing, manufacturing, preclinical development and clinical trials for SGT-003 and our other product candidates that we may pursue in the future, if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9" w:name="page110"/>
    <w:bookmarkEnd w:id="109"/>
    <w:p>
      <w:pPr>
        <w:ind w:left="960" w:hanging="41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44" w:lineRule="exact"/>
        <w:rPr>
          <w:rFonts w:ascii="Arial" w:cs="Arial" w:eastAsia="Arial" w:hAnsi="Arial"/>
          <w:sz w:val="18"/>
          <w:szCs w:val="18"/>
          <w:color w:val="auto"/>
        </w:rPr>
      </w:pPr>
    </w:p>
    <w:p>
      <w:pPr>
        <w:ind w:left="960" w:right="220" w:hanging="41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revenue, if any, received from commercial sale of SGT-001, SGT-003 or our other product candidates, should any of our product candidates receive marketing approval;</w:t>
      </w:r>
    </w:p>
    <w:p>
      <w:pPr>
        <w:spacing w:after="0" w:line="62" w:lineRule="exact"/>
        <w:rPr>
          <w:rFonts w:ascii="Arial" w:cs="Arial" w:eastAsia="Arial" w:hAnsi="Arial"/>
          <w:sz w:val="18"/>
          <w:szCs w:val="18"/>
          <w:color w:val="auto"/>
        </w:rPr>
      </w:pPr>
    </w:p>
    <w:p>
      <w:pPr>
        <w:ind w:left="960" w:right="320" w:hanging="41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defending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outcome of any lawsuits filed against us;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success of our collaboration with Ultragenyx;</w:t>
      </w:r>
    </w:p>
    <w:p>
      <w:pPr>
        <w:spacing w:after="0" w:line="144" w:lineRule="exact"/>
        <w:rPr>
          <w:rFonts w:ascii="Arial" w:cs="Arial" w:eastAsia="Arial" w:hAnsi="Arial"/>
          <w:sz w:val="18"/>
          <w:szCs w:val="18"/>
          <w:color w:val="auto"/>
        </w:rPr>
      </w:pPr>
    </w:p>
    <w:p>
      <w:pPr>
        <w:ind w:left="960" w:right="600" w:hanging="41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and as we need to adapt our business in response to the COVID-19 pandemic and its collateral consequences.</w:t>
      </w:r>
    </w:p>
    <w:p>
      <w:pPr>
        <w:spacing w:after="0" w:line="252" w:lineRule="exact"/>
        <w:rPr>
          <w:sz w:val="20"/>
          <w:szCs w:val="20"/>
          <w:color w:val="auto"/>
        </w:rPr>
      </w:pPr>
    </w:p>
    <w:p>
      <w:pPr>
        <w:ind w:right="300" w:firstLine="546"/>
        <w:spacing w:after="0" w:line="263" w:lineRule="auto"/>
        <w:rPr>
          <w:sz w:val="20"/>
          <w:szCs w:val="20"/>
          <w:color w:val="auto"/>
        </w:rPr>
      </w:pPr>
      <w:r>
        <w:rPr>
          <w:rFonts w:ascii="Arial" w:cs="Arial" w:eastAsia="Arial" w:hAnsi="Arial"/>
          <w:sz w:val="18"/>
          <w:szCs w:val="18"/>
          <w:color w:val="auto"/>
        </w:rPr>
        <w:t>We are supplying, and expect to continue to supply, our clinical development program for SGT-001 with drug product produced at a cGMP compliant facility located at one of our CDMO partners. We intend to establish the capability and capacity to supply SGT-001 at commercial scale from multiple sources.</w:t>
      </w:r>
    </w:p>
    <w:p>
      <w:pPr>
        <w:spacing w:after="0" w:line="184"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61"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securities, our existing stockholders’ ownership interest may be diluted. Any debt or preferred equity financing, if available, may involve agreements that include restrictive covenants that may limit our ability to take specific actions, such as incurring additional debt, making capital expenditures or declaring dividends, which could adversely impact our ability to conduct our business, and may require the issuance of warrants, which could potentially dilute existing stockholders’ ownership interests.</w:t>
      </w:r>
    </w:p>
    <w:p>
      <w:pPr>
        <w:spacing w:after="0" w:line="176" w:lineRule="exact"/>
        <w:rPr>
          <w:sz w:val="20"/>
          <w:szCs w:val="20"/>
          <w:color w:val="auto"/>
        </w:rPr>
      </w:pPr>
    </w:p>
    <w:p>
      <w:pPr>
        <w:ind w:right="160" w:firstLine="546"/>
        <w:spacing w:after="0" w:line="301" w:lineRule="auto"/>
        <w:rPr>
          <w:sz w:val="20"/>
          <w:szCs w:val="20"/>
          <w:color w:val="auto"/>
        </w:rPr>
      </w:pPr>
      <w:r>
        <w:rPr>
          <w:rFonts w:ascii="Arial" w:cs="Arial" w:eastAsia="Arial" w:hAnsi="Arial"/>
          <w:sz w:val="16"/>
          <w:szCs w:val="16"/>
          <w:color w:val="auto"/>
        </w:rPr>
        <w:t>If we raise additional funds through licensing agreements and strategic collaborations with third parties, we may have to relinquish valuable rights to our technology, future revenue streams, research programs, or product candidates or grant licenses on terms that may not be favorable to us. If we are unable to raise additional funds, we may be required to delay, limit, reduce and/or terminate development of our product candidates or any future commercialization efforts or grant rights to develop and market product candidates that we would otherwise prefer to develop and market ourselves.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66" w:lineRule="exact"/>
        <w:rPr>
          <w:sz w:val="20"/>
          <w:szCs w:val="20"/>
          <w:color w:val="auto"/>
        </w:rPr>
      </w:pPr>
    </w:p>
    <w:p>
      <w:pPr>
        <w:ind w:right="80" w:firstLine="546"/>
        <w:spacing w:after="0" w:line="342" w:lineRule="auto"/>
        <w:rPr>
          <w:sz w:val="20"/>
          <w:szCs w:val="20"/>
          <w:color w:val="auto"/>
        </w:rPr>
      </w:pPr>
      <w:r>
        <w:rPr>
          <w:rFonts w:ascii="Arial" w:cs="Arial" w:eastAsia="Arial" w:hAnsi="Arial"/>
          <w:sz w:val="16"/>
          <w:szCs w:val="16"/>
          <w:color w:val="auto"/>
        </w:rPr>
        <w:t>We lease certain office space, lab space and lab equipment in Massachusetts. These leases are used for our continuing operations. For a description of the Company’s lease obligations, refer to Note 10 to our consolidated financial statements appearing at the end of this Annual Report on Form 10-K.</w:t>
      </w:r>
    </w:p>
    <w:p>
      <w:pPr>
        <w:spacing w:after="0" w:line="124" w:lineRule="exact"/>
        <w:rPr>
          <w:sz w:val="20"/>
          <w:szCs w:val="20"/>
          <w:color w:val="auto"/>
        </w:rPr>
      </w:pPr>
    </w:p>
    <w:p>
      <w:pPr>
        <w:ind w:right="360" w:firstLine="546"/>
        <w:spacing w:after="0" w:line="286" w:lineRule="auto"/>
        <w:rPr>
          <w:sz w:val="20"/>
          <w:szCs w:val="20"/>
          <w:color w:val="auto"/>
        </w:rPr>
      </w:pPr>
      <w:r>
        <w:rPr>
          <w:rFonts w:ascii="Arial" w:cs="Arial" w:eastAsia="Arial" w:hAnsi="Arial"/>
          <w:sz w:val="17"/>
          <w:szCs w:val="17"/>
          <w:color w:val="auto"/>
        </w:rPr>
        <w:t>We will lease our new corporate headquarters starting in May 2022, which consists of approximately 49,869 square feet of office, laboratory, research and development and manufacturing space in Charlestown, Massachusetts. The lease for our new corporate headquarters has an initial term of approximately ten years that expires in 2032 with an option to extend the lease for an additional five years.</w:t>
      </w:r>
    </w:p>
    <w:p>
      <w:pPr>
        <w:spacing w:after="0" w:line="165" w:lineRule="exact"/>
        <w:rPr>
          <w:sz w:val="20"/>
          <w:szCs w:val="20"/>
          <w:color w:val="auto"/>
        </w:rPr>
      </w:pPr>
    </w:p>
    <w:p>
      <w:pPr>
        <w:ind w:right="840" w:firstLine="546"/>
        <w:spacing w:after="0" w:line="342" w:lineRule="auto"/>
        <w:rPr>
          <w:sz w:val="20"/>
          <w:szCs w:val="20"/>
          <w:color w:val="auto"/>
        </w:rPr>
      </w:pPr>
      <w:r>
        <w:rPr>
          <w:rFonts w:ascii="Arial" w:cs="Arial" w:eastAsia="Arial" w:hAnsi="Arial"/>
          <w:sz w:val="16"/>
          <w:szCs w:val="16"/>
          <w:color w:val="auto"/>
        </w:rPr>
        <w:t>We enter into contracts in the normal course of business with CROs and CMOs for clinical trials, preclinical research studies and testing, manufacturing and other services and products for operating purposes. These contracts are cancelable by us upon prior notice of 30 days.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ind w:right="200" w:firstLine="546"/>
        <w:spacing w:after="0" w:line="263" w:lineRule="auto"/>
        <w:rPr>
          <w:sz w:val="20"/>
          <w:szCs w:val="20"/>
          <w:color w:val="auto"/>
        </w:rPr>
      </w:pPr>
      <w:r>
        <w:rPr>
          <w:rFonts w:ascii="Arial" w:cs="Arial" w:eastAsia="Arial" w:hAnsi="Arial"/>
          <w:sz w:val="18"/>
          <w:szCs w:val="18"/>
          <w:color w:val="auto"/>
        </w:rPr>
        <w:t>Unconditional purchase commitments of $0.8 million represent minimum payments due within a year to purchase goods that are enforceable and legally binding and that specify all significant terms, including fixed or minimum quantities to be purchased, fixed or variable price provisions, and the approximate timing of the transaction.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consolidated financial statements appearing at the end of this Annual Report on Form 10-K, such standards will not have a material impact on our consolidated financial statements or do not otherwise apply to our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29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We are exposed to market risk related to changes in interest rates. As of December 31, 2021, our cash equivalents consisted of money market accounts that have contractual maturities of less than 90 days from the date of acquisition. As of December 31, 2021, our investments consisted of corporate bond securities that have contractual maturities of less than one year. Our primary exposure to market risk is interest income sensitivity, which is affected by changes in the general level of U.S. interest rates. However, because of the short-term nature of our portfolio, an immediate 10% change in market interest rates would not have a material impact on the fair market value of our investment portfolio or on our financial position or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in the last three years.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1" w:name="page112"/>
    <w:bookmarkEnd w:id="111"/>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8 is included at the end of this Annual Report on Form 10-K beginning on page F-1.</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5" w:lineRule="exact"/>
        <w:rPr>
          <w:sz w:val="20"/>
          <w:szCs w:val="20"/>
          <w:color w:val="auto"/>
        </w:rPr>
      </w:pPr>
    </w:p>
    <w:p>
      <w:pPr>
        <w:ind w:right="20" w:firstLine="546"/>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Interim Chief Financial Officer (our principal executive officer and principal financial officer, respectively), evaluated the effectiveness of our disclosure controls and procedures as of December 31, 2021. The term "disclosure controls and procedures," as defined in Rules 13a-15(e) and 15d-15(e) under the Securities Exchange Act of 1934, as amended, or the Exchange Act, refers to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required to be disclosed by a company in the reports that it files or submits under the Exchange Act is accumulated and communicated to a company's management, including its principal executive and principal financial officers, or persons performing similar functions, as appropriate to allow timely decisions regarding required disclosure.</w:t>
      </w:r>
    </w:p>
    <w:p>
      <w:pPr>
        <w:spacing w:after="0" w:line="237"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designed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93"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Based on the evaluation of our disclosure controls and procedures, our Chief Executive Officer and Interim Chief Financial Officer concluded that, as of December 31, 2021, our disclosure controls and procedures were effective at the reasonable assurance level.</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31"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3" w:lineRule="exact"/>
        <w:rPr>
          <w:sz w:val="20"/>
          <w:szCs w:val="20"/>
          <w:color w:val="auto"/>
        </w:rPr>
      </w:pPr>
    </w:p>
    <w:p>
      <w:pPr>
        <w:ind w:right="20" w:firstLine="546"/>
        <w:spacing w:after="0" w:line="311" w:lineRule="auto"/>
        <w:rPr>
          <w:sz w:val="20"/>
          <w:szCs w:val="20"/>
          <w:color w:val="auto"/>
        </w:rPr>
      </w:pPr>
      <w:r>
        <w:rPr>
          <w:rFonts w:ascii="Arial" w:cs="Arial" w:eastAsia="Arial" w:hAnsi="Arial"/>
          <w:sz w:val="16"/>
          <w:szCs w:val="16"/>
          <w:color w:val="auto"/>
        </w:rPr>
        <w:t xml:space="preserve">Management conducted an evaluation of the effectiveness of our internal control over financial reporting as of December 31, 2021 based on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 Based on that evaluation, management has concluded that the Company's internal control over financial reporting was effective as of December 31, 2021.</w:t>
      </w:r>
    </w:p>
    <w:p>
      <w:pPr>
        <w:spacing w:after="0" w:line="176"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a transition period established by rules of the SEC for “emerging growth companies”.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three months ended December 31, 2021 that have materially affected, or are reasonably likely to materially affect, our internal control over financial reporting.</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95" w:right="539" w:bottom="1440" w:gutter="0" w:footer="0" w:header="0"/>
        </w:sectPr>
      </w:pPr>
    </w:p>
    <w:bookmarkStart w:id="113" w:name="page114"/>
    <w:bookmarkEnd w:id="113"/>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forth below are the names, ages and positions of our current executive officers and directors as of March 14,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right"/>
              <w:ind w:right="131"/>
              <w:spacing w:after="0"/>
              <w:rPr>
                <w:sz w:val="20"/>
                <w:szCs w:val="20"/>
                <w:color w:val="auto"/>
              </w:rPr>
            </w:pPr>
            <w:r>
              <w:rPr>
                <w:rFonts w:ascii="Arial" w:cs="Arial" w:eastAsia="Arial" w:hAnsi="Arial"/>
                <w:sz w:val="14"/>
                <w:szCs w:val="14"/>
                <w:b w:val="1"/>
                <w:bCs w:val="1"/>
                <w:color w:val="auto"/>
              </w:rPr>
              <w:t>Age</w:t>
            </w:r>
          </w:p>
        </w:tc>
        <w:tc>
          <w:tcPr>
            <w:tcW w:w="7640" w:type="dxa"/>
            <w:vAlign w:val="bottom"/>
            <w:gridSpan w:val="2"/>
          </w:tcPr>
          <w:p>
            <w:pPr>
              <w:ind w:left="300"/>
              <w:spacing w:after="0"/>
              <w:rPr>
                <w:sz w:val="20"/>
                <w:szCs w:val="20"/>
                <w:color w:val="auto"/>
              </w:rPr>
            </w:pPr>
            <w:r>
              <w:rPr>
                <w:rFonts w:ascii="Arial" w:cs="Arial" w:eastAsia="Arial" w:hAnsi="Arial"/>
                <w:sz w:val="14"/>
                <w:szCs w:val="14"/>
                <w:b w:val="1"/>
                <w:bCs w:val="1"/>
                <w:color w:val="auto"/>
              </w:rPr>
              <w:t>Position(s) held</w:t>
            </w:r>
          </w:p>
        </w:tc>
      </w:tr>
      <w:tr>
        <w:trPr>
          <w:trHeight w:val="223"/>
        </w:trPr>
        <w:tc>
          <w:tcPr>
            <w:tcW w:w="2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7340" w:type="dxa"/>
            <w:vAlign w:val="bottom"/>
            <w:tcBorders>
              <w:top w:val="single" w:sz="8" w:color="auto"/>
            </w:tcBorders>
            <w:shd w:val="clear" w:color="auto" w:fill="CFF0FC"/>
          </w:tcPr>
          <w:p>
            <w:pPr>
              <w:spacing w:after="0"/>
              <w:rPr>
                <w:sz w:val="19"/>
                <w:szCs w:val="19"/>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Ilan Ganot</w:t>
            </w: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48</w:t>
            </w:r>
          </w:p>
        </w:tc>
        <w:tc>
          <w:tcPr>
            <w:tcW w:w="7640" w:type="dxa"/>
            <w:vAlign w:val="bottom"/>
            <w:gridSpan w:val="2"/>
          </w:tcPr>
          <w:p>
            <w:pPr>
              <w:ind w:left="300"/>
              <w:spacing w:after="0"/>
              <w:rPr>
                <w:sz w:val="20"/>
                <w:szCs w:val="20"/>
                <w:color w:val="auto"/>
              </w:rPr>
            </w:pPr>
            <w:r>
              <w:rPr>
                <w:rFonts w:ascii="Arial" w:cs="Arial" w:eastAsia="Arial" w:hAnsi="Arial"/>
                <w:sz w:val="18"/>
                <w:szCs w:val="18"/>
                <w:color w:val="auto"/>
              </w:rPr>
              <w:t>Co-founder, President, Chief Executive Officer and Director</w:t>
            </w:r>
          </w:p>
        </w:tc>
      </w:tr>
      <w:tr>
        <w:trPr>
          <w:trHeight w:val="229"/>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Stephen DiPalma</w:t>
            </w:r>
          </w:p>
        </w:tc>
        <w:tc>
          <w:tcPr>
            <w:tcW w:w="6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63</w:t>
            </w:r>
          </w:p>
        </w:tc>
        <w:tc>
          <w:tcPr>
            <w:tcW w:w="764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Interim Chief Financial Officer and Treasurer</w:t>
            </w: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Erin Powers Brennan</w:t>
            </w: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51</w:t>
            </w:r>
          </w:p>
        </w:tc>
        <w:tc>
          <w:tcPr>
            <w:tcW w:w="7640" w:type="dxa"/>
            <w:vAlign w:val="bottom"/>
            <w:gridSpan w:val="2"/>
          </w:tcPr>
          <w:p>
            <w:pPr>
              <w:ind w:left="300"/>
              <w:spacing w:after="0"/>
              <w:rPr>
                <w:sz w:val="20"/>
                <w:szCs w:val="20"/>
                <w:color w:val="auto"/>
              </w:rPr>
            </w:pPr>
            <w:r>
              <w:rPr>
                <w:rFonts w:ascii="Arial" w:cs="Arial" w:eastAsia="Arial" w:hAnsi="Arial"/>
                <w:sz w:val="18"/>
                <w:szCs w:val="18"/>
                <w:color w:val="auto"/>
              </w:rPr>
              <w:t>Chief Legal Officer</w:t>
            </w: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Carl Morris, Ph.D.</w:t>
            </w:r>
          </w:p>
        </w:tc>
        <w:tc>
          <w:tcPr>
            <w:tcW w:w="6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52</w:t>
            </w:r>
          </w:p>
        </w:tc>
        <w:tc>
          <w:tcPr>
            <w:tcW w:w="764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Chief Scientific Officer</w:t>
            </w: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Joel Schneider, Ph.D.</w:t>
            </w: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37</w:t>
            </w:r>
          </w:p>
        </w:tc>
        <w:tc>
          <w:tcPr>
            <w:tcW w:w="7640" w:type="dxa"/>
            <w:vAlign w:val="bottom"/>
            <w:gridSpan w:val="2"/>
          </w:tcPr>
          <w:p>
            <w:pPr>
              <w:ind w:left="300"/>
              <w:spacing w:after="0"/>
              <w:rPr>
                <w:sz w:val="20"/>
                <w:szCs w:val="20"/>
                <w:color w:val="auto"/>
              </w:rPr>
            </w:pPr>
            <w:r>
              <w:rPr>
                <w:rFonts w:ascii="Arial" w:cs="Arial" w:eastAsia="Arial" w:hAnsi="Arial"/>
                <w:sz w:val="18"/>
                <w:szCs w:val="18"/>
                <w:color w:val="auto"/>
              </w:rPr>
              <w:t>Chief Operating Officer</w:t>
            </w: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Non-Employee Directors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340" w:type="dxa"/>
            <w:vAlign w:val="bottom"/>
            <w:shd w:val="clear" w:color="auto" w:fill="CFF0FC"/>
          </w:tcPr>
          <w:p>
            <w:pPr>
              <w:spacing w:after="0"/>
              <w:rPr>
                <w:sz w:val="19"/>
                <w:szCs w:val="19"/>
                <w:color w:val="auto"/>
              </w:rPr>
            </w:pP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Ian Smith</w:t>
            </w: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55</w:t>
            </w:r>
          </w:p>
        </w:tc>
        <w:tc>
          <w:tcPr>
            <w:tcW w:w="7640" w:type="dxa"/>
            <w:vAlign w:val="bottom"/>
            <w:gridSpan w:val="2"/>
          </w:tcPr>
          <w:p>
            <w:pPr>
              <w:ind w:left="300"/>
              <w:spacing w:after="0"/>
              <w:rPr>
                <w:sz w:val="20"/>
                <w:szCs w:val="20"/>
                <w:color w:val="auto"/>
              </w:rPr>
            </w:pPr>
            <w:r>
              <w:rPr>
                <w:rFonts w:ascii="Arial" w:cs="Arial" w:eastAsia="Arial" w:hAnsi="Arial"/>
                <w:sz w:val="18"/>
                <w:szCs w:val="18"/>
                <w:color w:val="auto"/>
              </w:rPr>
              <w:t>Executive Chairman of the Board of Directors</w:t>
            </w:r>
          </w:p>
        </w:tc>
      </w:tr>
      <w:tr>
        <w:trPr>
          <w:trHeight w:val="229"/>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Martin Freed, M.D., F.A.C.P.</w:t>
            </w:r>
          </w:p>
        </w:tc>
        <w:tc>
          <w:tcPr>
            <w:tcW w:w="6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61</w:t>
            </w:r>
          </w:p>
        </w:tc>
        <w:tc>
          <w:tcPr>
            <w:tcW w:w="764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Robert Huffines</w:t>
            </w: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56</w:t>
            </w:r>
          </w:p>
        </w:tc>
        <w:tc>
          <w:tcPr>
            <w:tcW w:w="76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29"/>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Clare Kahn, Ph.D</w:t>
            </w:r>
          </w:p>
        </w:tc>
        <w:tc>
          <w:tcPr>
            <w:tcW w:w="6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70</w:t>
            </w:r>
          </w:p>
        </w:tc>
        <w:tc>
          <w:tcPr>
            <w:tcW w:w="764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Director</w:t>
            </w: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Georgia Keresty, Ph.D, M.PH.</w:t>
            </w: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60</w:t>
            </w:r>
          </w:p>
        </w:tc>
        <w:tc>
          <w:tcPr>
            <w:tcW w:w="76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Adam Koppel, M.D., Ph.D.</w:t>
            </w:r>
          </w:p>
        </w:tc>
        <w:tc>
          <w:tcPr>
            <w:tcW w:w="6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52</w:t>
            </w:r>
          </w:p>
        </w:tc>
        <w:tc>
          <w:tcPr>
            <w:tcW w:w="764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Director</w:t>
            </w: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Sukumar Nagendran, M.D.</w:t>
            </w: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56</w:t>
            </w:r>
          </w:p>
        </w:tc>
        <w:tc>
          <w:tcPr>
            <w:tcW w:w="76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Rajeev Shah</w:t>
            </w:r>
          </w:p>
        </w:tc>
        <w:tc>
          <w:tcPr>
            <w:tcW w:w="6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44</w:t>
            </w:r>
          </w:p>
        </w:tc>
        <w:tc>
          <w:tcPr>
            <w:tcW w:w="764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Director</w:t>
            </w: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Adam Stone</w:t>
            </w: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42</w:t>
            </w:r>
          </w:p>
        </w:tc>
        <w:tc>
          <w:tcPr>
            <w:tcW w:w="764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r>
      <w:tr>
        <w:trPr>
          <w:trHeight w:val="229"/>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Lynne Sullivan</w:t>
            </w:r>
          </w:p>
        </w:tc>
        <w:tc>
          <w:tcPr>
            <w:tcW w:w="6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55</w:t>
            </w:r>
          </w:p>
        </w:tc>
        <w:tc>
          <w:tcPr>
            <w:tcW w:w="764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180" w:firstLine="546"/>
        <w:spacing w:after="0" w:line="291" w:lineRule="auto"/>
        <w:rPr>
          <w:sz w:val="20"/>
          <w:szCs w:val="20"/>
          <w:color w:val="auto"/>
        </w:rPr>
      </w:pPr>
      <w:r>
        <w:rPr>
          <w:rFonts w:ascii="Arial" w:cs="Arial" w:eastAsia="Arial" w:hAnsi="Arial"/>
          <w:sz w:val="16"/>
          <w:szCs w:val="16"/>
          <w:i w:val="1"/>
          <w:iCs w:val="1"/>
          <w:color w:val="auto"/>
        </w:rPr>
        <w:t xml:space="preserve">Ilan Ganot </w:t>
      </w:r>
      <w:r>
        <w:rPr>
          <w:rFonts w:ascii="Arial" w:cs="Arial" w:eastAsia="Arial" w:hAnsi="Arial"/>
          <w:sz w:val="16"/>
          <w:szCs w:val="16"/>
          <w:color w:val="auto"/>
        </w:rPr>
        <w:t>is one of our founders and has served as our Chief Executive Officer and as a member of our Board of Directors since our inception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2013. Mr. Ganot has served as our President since June 2018. Previously, Mr. Ganot served as an investment banker at JPMorgan Chase &amp; Co., a leading global financial services firm, from September 2011 to September 2013. From October 2008 to August 2011, Mr. Ganot served as a banker at Nomura Securities Co., Ltd., a securities and investment banking company, and from September 2003 to September 2008, at Lehman Brothers, a global financial services firm. Mr. Ganot received his M.B.A. from London Business School and holds law and business degrees from the Interdisciplinary Center in Herzliya, Israel. Mr. Ganot also practiced corporate law in Israel and was a Captain in the Israeli Defense Forces. He is qualified to serve on our Board of Directors because of his personal dedication to improving treatments available for Duchenne patients and his extensive leadership experience.</w:t>
      </w:r>
    </w:p>
    <w:p>
      <w:pPr>
        <w:spacing w:after="0" w:line="180"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i w:val="1"/>
          <w:iCs w:val="1"/>
          <w:color w:val="auto"/>
        </w:rPr>
        <w:t xml:space="preserve">Stephen DiPalma </w:t>
      </w:r>
      <w:r>
        <w:rPr>
          <w:rFonts w:ascii="Arial" w:cs="Arial" w:eastAsia="Arial" w:hAnsi="Arial"/>
          <w:sz w:val="17"/>
          <w:szCs w:val="17"/>
          <w:color w:val="auto"/>
        </w:rPr>
        <w:t>has served as our Interim Chief Financial Officer and Treasurer since January 2021. He is currently a managing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Danforth Advisors, LLC, a financial consultancy firm that specializes in working with life sciences companies. Prior to, and during his tenure at Danforth, Mr. DiPalma has served as Chief Financial Officer to a number of public companies, in addition to many private companies in various stages of development. Immediately prior to joining Danforth in 2014, he served as Chief Financial Officer at Forum Pharmaceuticals from 2009 to 2014. He holds a Bachelor of Science from the University of Massachusetts and a master’s in business administration from Babson College.</w:t>
      </w:r>
    </w:p>
    <w:p>
      <w:pPr>
        <w:spacing w:after="0" w:line="176" w:lineRule="exact"/>
        <w:rPr>
          <w:sz w:val="20"/>
          <w:szCs w:val="20"/>
          <w:color w:val="auto"/>
        </w:rPr>
      </w:pPr>
    </w:p>
    <w:p>
      <w:pPr>
        <w:ind w:right="100" w:firstLine="546"/>
        <w:spacing w:after="0" w:line="296" w:lineRule="auto"/>
        <w:rPr>
          <w:sz w:val="20"/>
          <w:szCs w:val="20"/>
          <w:color w:val="auto"/>
        </w:rPr>
      </w:pPr>
      <w:r>
        <w:rPr>
          <w:rFonts w:ascii="Arial" w:cs="Arial" w:eastAsia="Arial" w:hAnsi="Arial"/>
          <w:sz w:val="16"/>
          <w:szCs w:val="16"/>
          <w:i w:val="1"/>
          <w:iCs w:val="1"/>
          <w:color w:val="auto"/>
        </w:rPr>
        <w:t xml:space="preserve">Erin Powers Brennan </w:t>
      </w:r>
      <w:r>
        <w:rPr>
          <w:rFonts w:ascii="Arial" w:cs="Arial" w:eastAsia="Arial" w:hAnsi="Arial"/>
          <w:sz w:val="16"/>
          <w:szCs w:val="16"/>
          <w:color w:val="auto"/>
        </w:rPr>
        <w:t>has served as our Chief Legal Officer and Secretary since March 2021. Prior to joining Solid, she served as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General Counsel and Secretary at Covetrus Inc., a publicly traded, global animal health pharmacy, technology, and services company from 2019 to 2020 and previously the General Counsel, Vets First Choice from 2018 to 2019, before it merged with Covetrus. Previously, she was a partner at Morgan, Lewis &amp; Bockius, where she worked from 2013 to 2018. Ms. Brennan holds a J.D. from Boston College Law School, an M.A. in Law and Diplomacy from The Tufts University Fletcher School, and a B.A. in Government and Latin American Studies from Scripps College.</w:t>
      </w:r>
    </w:p>
    <w:p>
      <w:pPr>
        <w:spacing w:after="0" w:line="161"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i w:val="1"/>
          <w:iCs w:val="1"/>
          <w:color w:val="auto"/>
        </w:rPr>
        <w:t xml:space="preserve">Carl Morris, Ph.D. </w:t>
      </w:r>
      <w:r>
        <w:rPr>
          <w:rFonts w:ascii="Arial" w:cs="Arial" w:eastAsia="Arial" w:hAnsi="Arial"/>
          <w:sz w:val="18"/>
          <w:szCs w:val="18"/>
          <w:color w:val="auto"/>
        </w:rPr>
        <w:t>has served as our Chief Scientific Officer since June 2017, and previously served as our Senior Vice President of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from September 2015 to June 2017. Prior to joining us, Dr. Morris held various leadership positions within Pfizer Inc.’s, or Pfizer’s, Rare Disease Research Unit from January 2010 to August 2015, including serving as a Senior Director, Director and Senior Principal Scientist. Prior to Pfizer, Dr. Morris held various positions within the Tissue Repair unit at Wyeth Pharmaceuticals, Inc., a pharmaceutical company acquired by Pfizer. Dr. Morris was an Assistant Professor at Boston University School of Medicine and a founding faculty member of the Muscle and Aging Research Unit. He is also co-founder and a member of the Board of Directors of Breed Nutrition Inc. Dr. Morris holds a B.A. in Biology from Franklin Pierce College and a Ph.D. in Physiology from UCLA.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ind w:right="60" w:firstLine="546"/>
        <w:spacing w:after="0" w:line="296" w:lineRule="auto"/>
        <w:rPr>
          <w:sz w:val="20"/>
          <w:szCs w:val="20"/>
          <w:color w:val="auto"/>
        </w:rPr>
      </w:pPr>
      <w:r>
        <w:rPr>
          <w:rFonts w:ascii="Arial" w:cs="Arial" w:eastAsia="Arial" w:hAnsi="Arial"/>
          <w:sz w:val="16"/>
          <w:szCs w:val="16"/>
          <w:i w:val="1"/>
          <w:iCs w:val="1"/>
          <w:color w:val="auto"/>
        </w:rPr>
        <w:t xml:space="preserve">Joel Schneider, Ph.D. </w:t>
      </w:r>
      <w:r>
        <w:rPr>
          <w:rFonts w:ascii="Arial" w:cs="Arial" w:eastAsia="Arial" w:hAnsi="Arial"/>
          <w:sz w:val="16"/>
          <w:szCs w:val="16"/>
          <w:color w:val="auto"/>
        </w:rPr>
        <w:t>has served as our Chief Operating Officer since March 2021. Prior to this role, Dr. Schneider served as the Chief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Head of Exploratory Research and Development from 2017 to 2021. Dr. Schneider also served as an Analyst from March 2014 to March 2015, a Director from March 2015 to January 2017 and our Vice President of Research and Development from January 2017 to June 2017. Prior to joining us, Dr. Schneider completed a postdoctoral fellowship at Harvard University in the Department of Stem Cell and Regenerative Biology from January 2013 to 2014. He holds a Ph.D. in Cell Biology and Molecular Medicine from Rutgers University and a B.A. in Biology from Brandeis University.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40" w:firstLine="551"/>
        <w:spacing w:after="0" w:line="272" w:lineRule="auto"/>
        <w:rPr>
          <w:sz w:val="20"/>
          <w:szCs w:val="20"/>
          <w:color w:val="auto"/>
        </w:rPr>
      </w:pPr>
      <w:r>
        <w:rPr>
          <w:rFonts w:ascii="Arial" w:cs="Arial" w:eastAsia="Arial" w:hAnsi="Arial"/>
          <w:sz w:val="17"/>
          <w:szCs w:val="17"/>
          <w:i w:val="1"/>
          <w:iCs w:val="1"/>
          <w:color w:val="auto"/>
        </w:rPr>
        <w:t xml:space="preserve">Ian F. Smith </w:t>
      </w:r>
      <w:r>
        <w:rPr>
          <w:rFonts w:ascii="Arial" w:cs="Arial" w:eastAsia="Arial" w:hAnsi="Arial"/>
          <w:sz w:val="17"/>
          <w:szCs w:val="17"/>
          <w:color w:val="auto"/>
        </w:rPr>
        <w:t>is Executive Chairman of our Board and has served as a member of our Board of Directors since April 2020 and served as a consultant</w:t>
      </w:r>
      <w:r>
        <w:rPr>
          <w:rFonts w:ascii="Arial" w:cs="Arial" w:eastAsia="Arial" w:hAnsi="Arial"/>
          <w:sz w:val="17"/>
          <w:szCs w:val="17"/>
          <w:i w:val="1"/>
          <w:iCs w:val="1"/>
          <w:color w:val="auto"/>
        </w:rPr>
        <w:t xml:space="preserve"> </w:t>
      </w:r>
      <w:r>
        <w:rPr>
          <w:rFonts w:ascii="Arial" w:cs="Arial" w:eastAsia="Arial" w:hAnsi="Arial"/>
          <w:sz w:val="17"/>
          <w:szCs w:val="17"/>
          <w:color w:val="auto"/>
        </w:rPr>
        <w:t>to us from February 2020 to December 2021. Mr. Smith currently serves as director and Executive Chair of the board of ViaCyte, Inc., and as a director of the board of AavantiBio, both private biotechnology companies. He is also a member of the Board of Foghorn Therapeutics, a public biotechnology company, and is a Senior Advisor to Bain Capital Life Sciences. Between 2001 and 2019, Mr. Smith served as Executive Vice President and Chief Operating Officer, and Chief Financial Officer at Vertex Pharmaceuticals, a public biotechnology company. He received a B.A. with honors in accounting and finance from Manchester Metropolitan University (UK). Mr. Smith is qualified to serve on our Board of Directors because of his more than 25 years of finance and broad operating experience for public companies in the biopharmaceutical industry.</w:t>
      </w:r>
    </w:p>
    <w:p>
      <w:pPr>
        <w:spacing w:after="0" w:line="177" w:lineRule="exact"/>
        <w:rPr>
          <w:sz w:val="20"/>
          <w:szCs w:val="20"/>
          <w:color w:val="auto"/>
        </w:rPr>
      </w:pPr>
    </w:p>
    <w:p>
      <w:pPr>
        <w:ind w:firstLine="551"/>
        <w:spacing w:after="0" w:line="268" w:lineRule="auto"/>
        <w:rPr>
          <w:sz w:val="20"/>
          <w:szCs w:val="20"/>
          <w:color w:val="auto"/>
        </w:rPr>
      </w:pPr>
      <w:r>
        <w:rPr>
          <w:rFonts w:ascii="Arial" w:cs="Arial" w:eastAsia="Arial" w:hAnsi="Arial"/>
          <w:sz w:val="17"/>
          <w:szCs w:val="17"/>
          <w:i w:val="1"/>
          <w:iCs w:val="1"/>
          <w:color w:val="auto"/>
        </w:rPr>
        <w:t xml:space="preserve">Martin Freed, M.D., F.A.C.P., </w:t>
      </w:r>
      <w:r>
        <w:rPr>
          <w:rFonts w:ascii="Arial" w:cs="Arial" w:eastAsia="Arial" w:hAnsi="Arial"/>
          <w:sz w:val="17"/>
          <w:szCs w:val="17"/>
          <w:color w:val="auto"/>
        </w:rPr>
        <w:t>has served as a member of our Board of Directors since June 2018. Dr. Freed has served as an independent consultant</w:t>
      </w:r>
      <w:r>
        <w:rPr>
          <w:rFonts w:ascii="Arial" w:cs="Arial" w:eastAsia="Arial" w:hAnsi="Arial"/>
          <w:sz w:val="17"/>
          <w:szCs w:val="17"/>
          <w:i w:val="1"/>
          <w:iCs w:val="1"/>
          <w:color w:val="auto"/>
        </w:rPr>
        <w:t xml:space="preserve"> </w:t>
      </w:r>
      <w:r>
        <w:rPr>
          <w:rFonts w:ascii="Arial" w:cs="Arial" w:eastAsia="Arial" w:hAnsi="Arial"/>
          <w:sz w:val="17"/>
          <w:szCs w:val="17"/>
          <w:color w:val="auto"/>
        </w:rPr>
        <w:t>to several private pharmaceutical, biotechnology, and healthcare companies, specializing in clinical and general pharmaceutical development and clinical and regulatory strategy since February 2015. He co-founded and served as chief medical officer of Civitas Therapeutics, Inc., a biopharmaceutical company acquired by Acorda, from December 2010 to October 2014, and as senior vice president, clinical development of Acorda from October 2014 through January 2015. He has also served as chief medical officer at Adnexus Therapeutics, Inc. (acquired by Bristol-Myers Squibb) and Vitae Pharmaceuticals, Inc. Dr. Freed spent nearly 14 years at GlaxoSmithKline and its predecessor, SmithKline Beecham Pharmaceuticals or SmithKline Beecham, where he served numerous roles including vice president, clinical development and medical affairs in the metabolism therapeutic area. Dr. Freed currently serves on the Board of Directors for Avilar Therapeutics, Inc. He previously served on the Board of Directors for Sojournix, Inc. and Dicerna Pharmaceuticals. Dr. Freed has been Board Certified in Internal Medicine, Nephrology and Clinical Pharmacology. He performed his internal medicine residency at Temple University Hospital and nephrology fellowship at Yale-New Haven Hospital. A Fellow of the American College of Physicians, Dr. Freed received a B.S. with distinction in biology from the University of Delaware and an M.D. from Pennsylvania State University’s College of Medicine. Dr. Freed is qualified to serve on our Board of Directors because of his extensive leadership experience, his public company board experience and his experience working in the healthcare sector.</w:t>
      </w:r>
    </w:p>
    <w:p>
      <w:pPr>
        <w:spacing w:after="0" w:line="186" w:lineRule="exact"/>
        <w:rPr>
          <w:sz w:val="20"/>
          <w:szCs w:val="20"/>
          <w:color w:val="auto"/>
        </w:rPr>
      </w:pPr>
    </w:p>
    <w:p>
      <w:pPr>
        <w:ind w:right="320" w:firstLine="551"/>
        <w:spacing w:after="0" w:line="255" w:lineRule="auto"/>
        <w:rPr>
          <w:sz w:val="20"/>
          <w:szCs w:val="20"/>
          <w:color w:val="auto"/>
        </w:rPr>
      </w:pPr>
      <w:r>
        <w:rPr>
          <w:rFonts w:ascii="Arial" w:cs="Arial" w:eastAsia="Arial" w:hAnsi="Arial"/>
          <w:sz w:val="18"/>
          <w:szCs w:val="18"/>
          <w:i w:val="1"/>
          <w:iCs w:val="1"/>
          <w:color w:val="auto"/>
        </w:rPr>
        <w:t xml:space="preserve">Robert Huffines </w:t>
      </w:r>
      <w:r>
        <w:rPr>
          <w:rFonts w:ascii="Arial" w:cs="Arial" w:eastAsia="Arial" w:hAnsi="Arial"/>
          <w:sz w:val="18"/>
          <w:szCs w:val="18"/>
          <w:color w:val="auto"/>
        </w:rPr>
        <w:t>has served as a member of our Board of Directors since December 2013. Mr. Huffines joined J.P. Morgan, a leading global</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services firm, in 1991 and currently serves as the Global Chairman of Investment Banking, a position he has held since February 2017. Throughout his career at J.P. Morgan, Mr. Huffines has held various leadership positions, including serving as Co-Head of the Global Healthcare Investment Banking Group from 2002 to 2010 and Vice Chairman from 2011 to January 2017. Mr. Huffines received an M.B.A. from the University of Virginia and a B.A. from the University of North Carolina. Mr. Huffines is qualified to serve on our Board of Directors based on his over 25 years of experience advising healthcare companies and his leadership experience</w:t>
      </w:r>
      <w:r>
        <w:rPr>
          <w:rFonts w:ascii="Arial" w:cs="Arial" w:eastAsia="Arial" w:hAnsi="Arial"/>
          <w:sz w:val="18"/>
          <w:szCs w:val="18"/>
          <w:i w:val="1"/>
          <w:iCs w:val="1"/>
          <w:color w:val="auto"/>
        </w:rPr>
        <w:t>.</w:t>
      </w:r>
    </w:p>
    <w:p>
      <w:pPr>
        <w:spacing w:after="0" w:line="192" w:lineRule="exact"/>
        <w:rPr>
          <w:sz w:val="20"/>
          <w:szCs w:val="20"/>
          <w:color w:val="auto"/>
        </w:rPr>
      </w:pPr>
    </w:p>
    <w:p>
      <w:pPr>
        <w:ind w:right="20" w:firstLine="551"/>
        <w:spacing w:after="0" w:line="289" w:lineRule="auto"/>
        <w:rPr>
          <w:sz w:val="20"/>
          <w:szCs w:val="20"/>
          <w:color w:val="auto"/>
        </w:rPr>
      </w:pPr>
      <w:r>
        <w:rPr>
          <w:rFonts w:ascii="Arial" w:cs="Arial" w:eastAsia="Arial" w:hAnsi="Arial"/>
          <w:sz w:val="16"/>
          <w:szCs w:val="16"/>
          <w:i w:val="1"/>
          <w:iCs w:val="1"/>
          <w:color w:val="auto"/>
        </w:rPr>
        <w:t xml:space="preserve">Clare Kahn, Ph.D. </w:t>
      </w:r>
      <w:r>
        <w:rPr>
          <w:rFonts w:ascii="Arial" w:cs="Arial" w:eastAsia="Arial" w:hAnsi="Arial"/>
          <w:sz w:val="16"/>
          <w:szCs w:val="16"/>
          <w:color w:val="auto"/>
        </w:rPr>
        <w:t>has served as a member of our Board of Directors since March 2021. Dr. Kahn has served as R&amp;D Strategy Officer at X-VAX</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Inc. (“X-VAX”), a biotechnology company developing vaccines against pathogens acquired by mucosal infection such as herpes, since October 2019. She served as Chief Regulatory and Preclinical Development Officer at X-VAX from October 2018 to October 2019. Dr. Kahn has also been the president of Clare Kahn Pharma Consulting LLC, through which she provides consulting services on regulatory strategy since June 2016. Dr. Kahn was previously Vice President, Worldwide Regulatory Strategy, Global Innovative Pharma at Pfizer from January 2014 to June 2016 and Vice President, Worldwide Regulatory Strategy, Specialty Care Business at Pfizer from June 2010 to December 2013. Prior to Pfizer, she was Vice President of Regulatory Affairs at GlaxoSmithKline from 1999 to 2010. Dr. Kahn has a Ph.D. in Biochemical Pharmacology from The Royal Postgraduate Medical School, London and served as Assistant Professor of Pharmacology and of Pathology and Laboratory Medicine at The University of Pennsylvania from 1981-1985. Dr. Kahn is qualified to serve on our Board of Directors because of her extensive leadership experience and her experience working in the healthcare sector.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ind w:right="140" w:firstLine="546"/>
        <w:spacing w:after="0" w:line="270" w:lineRule="auto"/>
        <w:rPr>
          <w:sz w:val="20"/>
          <w:szCs w:val="20"/>
          <w:color w:val="auto"/>
        </w:rPr>
      </w:pPr>
      <w:r>
        <w:rPr>
          <w:rFonts w:ascii="Arial" w:cs="Arial" w:eastAsia="Arial" w:hAnsi="Arial"/>
          <w:sz w:val="17"/>
          <w:szCs w:val="17"/>
          <w:i w:val="1"/>
          <w:iCs w:val="1"/>
          <w:color w:val="auto"/>
        </w:rPr>
        <w:t xml:space="preserve">Georgia Keresty, Ph.D., M.PH. </w:t>
      </w:r>
      <w:r>
        <w:rPr>
          <w:rFonts w:ascii="Arial" w:cs="Arial" w:eastAsia="Arial" w:hAnsi="Arial"/>
          <w:sz w:val="17"/>
          <w:szCs w:val="17"/>
          <w:color w:val="auto"/>
        </w:rPr>
        <w:t>has served as a member of our Board of Directors since March 2021. Dr. Keresty has served as a senior advisor to</w:t>
      </w:r>
      <w:r>
        <w:rPr>
          <w:rFonts w:ascii="Arial" w:cs="Arial" w:eastAsia="Arial" w:hAnsi="Arial"/>
          <w:sz w:val="17"/>
          <w:szCs w:val="17"/>
          <w:i w:val="1"/>
          <w:iCs w:val="1"/>
          <w:color w:val="auto"/>
        </w:rPr>
        <w:t xml:space="preserve"> </w:t>
      </w:r>
      <w:r>
        <w:rPr>
          <w:rFonts w:ascii="Arial" w:cs="Arial" w:eastAsia="Arial" w:hAnsi="Arial"/>
          <w:sz w:val="17"/>
          <w:szCs w:val="17"/>
          <w:color w:val="auto"/>
        </w:rPr>
        <w:t>Takeda R&amp;D, a global research and development driven biopharmaceutical company, since 2021 and she also served as their R&amp;D chief operating officer from 2017 to 2020. From 2003 to 2017 and from 1997 to 1999, she was an executive at Johnson &amp; Johnson. From 1999 to 2003 and from 1983 to 1997, she held roles at Bristol-Myers Squibb Company and Novartis Pharmaceuticals Corporation, respectively. Dr. Keresty holds BSc degrees in Chemical Engineering and Computer Science from Clarkson University and Ramapo College of New Jersey, an M.S. degree in Information Systems from Pace University, an MBA in Operations Management from Rutgers University, a Ph.D. in Operations Management from Rutgers University, and an MPH in Global Health Leadership from the University of Southern California. Dr. Keresty currently serves on the Board of Directors of Commissioning Agents, Inc., Intellia Therapeutics, Inc. and Aspen Technology, Inc. Dr. Keresty is qualified to serve on our Board of Directors because of her extensive leadership experience and her experience working in the healthcare sector.</w:t>
      </w:r>
    </w:p>
    <w:p>
      <w:pPr>
        <w:spacing w:after="0" w:line="181"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i w:val="1"/>
          <w:iCs w:val="1"/>
          <w:color w:val="auto"/>
        </w:rPr>
        <w:t xml:space="preserve">Adam Koppel, M.D., Ph.D., </w:t>
      </w:r>
      <w:r>
        <w:rPr>
          <w:rFonts w:ascii="Arial" w:cs="Arial" w:eastAsia="Arial" w:hAnsi="Arial"/>
          <w:sz w:val="17"/>
          <w:szCs w:val="17"/>
          <w:color w:val="auto"/>
        </w:rPr>
        <w:t>has served as a member of our Board of Directors since October 2017. Dr. Koppel rejoined Bain Capital, a global</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firm, in 2016 as a Managing Director of Bain Capital Life Sciences. He initially joined Bain Capital Public Equity in 2003 where he was a leader within the healthcare sector until mid-2014. During the period from mid-2014 to mid-2016, Dr. Koppel worked at Biogen Inc., or Biogen, a biotechnology company, where he served as EVP of Corporate Development and Chief Strategy Officer. Prior to joining Bain Capital in 2003, Dr. Koppel was an Associate Principal at McKinsey &amp; Co., a management consulting firm, where he served a variety of healthcare companies. Dr. Koppel currently serves on the Board of Directors of Aptinyx Inc., Cerevel Therapeutics LLC, Foghorn Therapeutics Inc., and Cardurion Pharmaceuticals, LLC. He is a board observer of ViaCyte, Inc. Previously, Dr. Koppel served of the Board of Directors of Trevena, Inc., Dicerna Pharmaceuticals, and PTC Therapeutics, Inc. Dr. Koppel received an M.D. and Ph.D. in Neuroscience from the University of Pennsylvania School of Medicine. He also received an M.B.A. from The Wharton School at the University of Pennsylvania, where he was a Palmer Scholar. He graduated magna cum laude from Harvard University with an A.B. and A.M. in History and Science. Dr. Koppel is qualified to serve on our Board of Directors because of his extensive leadership experience, his public company board experience and his experience working in the healthcare sector.</w:t>
      </w:r>
    </w:p>
    <w:p>
      <w:pPr>
        <w:spacing w:after="0" w:line="182"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i w:val="1"/>
          <w:iCs w:val="1"/>
          <w:color w:val="auto"/>
        </w:rPr>
        <w:t xml:space="preserve">Sukumar Nagendran, M.D., </w:t>
      </w:r>
      <w:r>
        <w:rPr>
          <w:rFonts w:ascii="Arial" w:cs="Arial" w:eastAsia="Arial" w:hAnsi="Arial"/>
          <w:sz w:val="16"/>
          <w:szCs w:val="16"/>
          <w:color w:val="auto"/>
        </w:rPr>
        <w:t>has served as a member of our Board of Directors since September 2018. Since February 2020, Dr. Nagendran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Chief Medical Officer and President of R&amp;D at Jaguar Gene Therapy. Prior to that, he was most recently the Chief Medical Officer and Senior Vice President of AveXis Inc., a clinical-stage gene therapy company, or AveXis, from September 2015 to July 2018, prior to the company’s acquisition by Novartis. Prior to AveXis, Dr. Nagendran was Vice President of Medical Affairs of Quest Diagnostics, a provider of diagnostic information services, from March 2013 to September 2015. Prior to Quest Diagnostics, Dr. Nagendran held key leadership positions at Pfizer, Novartis, Daiichi Sankyo, and Reata Pharmaceuticals. Prior to moving to the biotech industry, Dr. Nagendran practiced internal medicine, with a focus on diabetes and cardiovascular disease. He is a Mayo Alumni Laureate and founding member of the Robert Wood Johnson Legacy Society. He is also the sponsor for the Fonseca-Nagendran Scholar award at the American Diabetes Association to enhance research in minority populations. Dr. Nagendran currently serves on the Board of Directors of SalioGen Therapeutics and Taysha Gene Therapy. Dr. Nagendran received his undergraduate degree in Biochemistry from Rutgers University and his M.D. from Rutgers Medical School and trained in Internal Medicine at Mayo Clinic, Rochester. Dr. Nagendran is qualified to serve on our Board of Directors because of his extensive leadership experience and his experience working in the healthcare sector.</w:t>
      </w:r>
    </w:p>
    <w:p>
      <w:pPr>
        <w:spacing w:after="0" w:line="172"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i w:val="1"/>
          <w:iCs w:val="1"/>
          <w:color w:val="auto"/>
        </w:rPr>
        <w:t xml:space="preserve">Rajeev Shah </w:t>
      </w:r>
      <w:r>
        <w:rPr>
          <w:rFonts w:ascii="Arial" w:cs="Arial" w:eastAsia="Arial" w:hAnsi="Arial"/>
          <w:sz w:val="16"/>
          <w:szCs w:val="16"/>
          <w:color w:val="auto"/>
        </w:rPr>
        <w:t>has served as a member of our Board of Directors since March 2017. Mr. Shah has been a managing partner at RA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L.P., a multi-stage investment manager dedicated to evidence-based investing in public and private healthcare and life science companies that are developing drugs, medical devices, and diagnostics, since 2004. Mr. Shah is also a member of the Board of Directors of Kala Pharmaceuticals, Inc., Satsuma Pharmaceuticals, Inc. and Black Diamond Therapeutics, Inc., each a public biopharmaceutical company. Mr. Shah was previously a member of the Board of Directors of Eidos Therapeutics, Inc., KalVista Pharmaceuticals, Inc. and Ra Pharmaceuticals, Inc., all public pharmaceutical companies. Mr. Shah received a B.A. in Chemistry from Cornell University. Mr. Shah is qualified to serve on our Board of Directors because of his extensive leadership experience, his public company board experience and his experience investing in life science companies.</w:t>
      </w:r>
    </w:p>
    <w:p>
      <w:pPr>
        <w:spacing w:after="0" w:line="166"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i w:val="1"/>
          <w:iCs w:val="1"/>
          <w:color w:val="auto"/>
        </w:rPr>
        <w:t xml:space="preserve">Adam Stone </w:t>
      </w:r>
      <w:r>
        <w:rPr>
          <w:rFonts w:ascii="Arial" w:cs="Arial" w:eastAsia="Arial" w:hAnsi="Arial"/>
          <w:sz w:val="18"/>
          <w:szCs w:val="18"/>
          <w:color w:val="auto"/>
        </w:rPr>
        <w:t>has served as a member of our board of directors since November 2015. Mr. Stone is currently the Chief Investment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Perceptive Advisors, a life sciences focused investing firm, where he has worked since 2006. Since July 2021 and February 2021, respectively, Mr. Stone has served as a director and Chief Executive Officer of ARYA Sciences Acquisition Corp V and ARYA Sciences Acquisition Corp IV. Mr. Stone received a B.A. in molecular biology from Princeton University. Mr. Stone is qualified to serve on our Board of Directors because of his extensive experience developing early-stage biotech and healthcare companies qualifies.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6" w:name="page117"/>
    <w:bookmarkEnd w:id="116"/>
    <w:p>
      <w:pPr>
        <w:ind w:right="120" w:firstLine="546"/>
        <w:spacing w:after="0" w:line="290" w:lineRule="auto"/>
        <w:rPr>
          <w:sz w:val="20"/>
          <w:szCs w:val="20"/>
          <w:color w:val="auto"/>
        </w:rPr>
      </w:pPr>
      <w:r>
        <w:rPr>
          <w:rFonts w:ascii="Arial" w:cs="Arial" w:eastAsia="Arial" w:hAnsi="Arial"/>
          <w:sz w:val="16"/>
          <w:szCs w:val="16"/>
          <w:i w:val="1"/>
          <w:iCs w:val="1"/>
          <w:color w:val="auto"/>
        </w:rPr>
        <w:t xml:space="preserve">Lynne Sullivan </w:t>
      </w:r>
      <w:r>
        <w:rPr>
          <w:rFonts w:ascii="Arial" w:cs="Arial" w:eastAsia="Arial" w:hAnsi="Arial"/>
          <w:sz w:val="16"/>
          <w:szCs w:val="16"/>
          <w:color w:val="auto"/>
        </w:rPr>
        <w:t>has served as a member of our Board of Directors since November 2015. Ms. Sullivan has served as the Chief Financial Officer for</w:t>
      </w:r>
      <w:r>
        <w:rPr>
          <w:rFonts w:ascii="Arial" w:cs="Arial" w:eastAsia="Arial" w:hAnsi="Arial"/>
          <w:sz w:val="16"/>
          <w:szCs w:val="16"/>
          <w:i w:val="1"/>
          <w:iCs w:val="1"/>
          <w:color w:val="auto"/>
        </w:rPr>
        <w:t xml:space="preserve"> </w:t>
      </w:r>
      <w:r>
        <w:rPr>
          <w:rFonts w:ascii="Arial" w:cs="Arial" w:eastAsia="Arial" w:hAnsi="Arial"/>
          <w:sz w:val="16"/>
          <w:szCs w:val="16"/>
          <w:color w:val="auto"/>
        </w:rPr>
        <w:t>UNITY Biotechnology, Inc., a biotechnology company, since August 2020. Prior to that, Ms. Sullivan served as the Chief Financial Officer for Compass Therapeutics, LLC, a biotechnology company, or Compass, from December 2018 to August 2019. Prior to Compass, Ms. Sullivan served as Biogen’s senior vice president of Finance from 2016 to December 2018, where she also served as vice president of Tax and Corporate Finance from February 2015 to March 2016 and vice president of Tax from April 2008 to February 2015. Ms. Sullivan is currently a member of the Board of Directors of BiomX Inc., and Inozyme Pharma, Inc., both of which are public biopharmaceutical companies. She received an M.S. in Taxation from Bentley University and a B.S.B.A. from Suffolk University. Ms. Sullivan was a Certified Public Accountant for over 20 years. Ms. Sullivan is qualified to serve on our Board of Directors because of her extensive experience in public accounting and financial expertise and her experience working in the healthcare sector.</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Board of Directors has established an audit committee, which operates under a charter that has been approved by our Board of Directors and</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that is available on the Investor Relations portion of our website, </w:t>
      </w:r>
      <w:r>
        <w:rPr>
          <w:rFonts w:ascii="Arial" w:cs="Arial" w:eastAsia="Arial" w:hAnsi="Arial"/>
          <w:sz w:val="17"/>
          <w:szCs w:val="17"/>
          <w:i w:val="1"/>
          <w:iCs w:val="1"/>
          <w:color w:val="auto"/>
        </w:rPr>
        <w:t>www.solidbio.com.</w:t>
      </w:r>
      <w:r>
        <w:rPr>
          <w:rFonts w:ascii="Arial" w:cs="Arial" w:eastAsia="Arial" w:hAnsi="Arial"/>
          <w:sz w:val="17"/>
          <w:szCs w:val="17"/>
          <w:color w:val="auto"/>
        </w:rPr>
        <w:t xml:space="preserve"> Our audit committee consists of Ms. Sullivan, Dr. Keresty, and</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Dr. Koppel, with Ms. Sullivan serving as chair of the audit committee. Additionally, Mr. Arnold served as a member of the audit committee through June 16, 2021. Our Board of Directors has determined that each of these individuals meets the independence requirements of the Sarbanes-Oxley Act, Rule 10A-3 under the Exchange Act, and the applicable listing standards of Nasdaq. Each member of our audit committee can read and understand fundamental financial statements in accordance with Nasdaq audit committee requirements. In arriving at this determination, the board has examined each audit committee member’s employment and other experience. Our Board of Directors has determined that Ms. Sullivan qualifies as an audit committee financial expert within the meaning of SEC regulations and meets the financial sophistication requirements of the Nasdaq listing rules. In making this determination, our board has considered Ms. Sullivan’s formal education and previous and current experience in financial roles. Both our independent registered public accounting firm and management periodically meet privately with our audit committee.</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audit committee’s responsibilities include, among other things:</w:t>
      </w:r>
    </w:p>
    <w:p>
      <w:pPr>
        <w:spacing w:after="0" w:line="117" w:lineRule="exact"/>
        <w:rPr>
          <w:sz w:val="20"/>
          <w:szCs w:val="20"/>
          <w:color w:val="auto"/>
        </w:rPr>
      </w:pPr>
    </w:p>
    <w:p>
      <w:pPr>
        <w:ind w:left="880" w:hanging="386"/>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144" w:lineRule="exact"/>
        <w:rPr>
          <w:rFonts w:ascii="Arial" w:cs="Arial" w:eastAsia="Arial" w:hAnsi="Arial"/>
          <w:sz w:val="18"/>
          <w:szCs w:val="18"/>
          <w:color w:val="auto"/>
        </w:rPr>
      </w:pPr>
    </w:p>
    <w:p>
      <w:pPr>
        <w:ind w:left="880" w:right="120" w:hanging="386"/>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62" w:lineRule="exact"/>
        <w:rPr>
          <w:rFonts w:ascii="Arial" w:cs="Arial" w:eastAsia="Arial" w:hAnsi="Arial"/>
          <w:sz w:val="18"/>
          <w:szCs w:val="18"/>
          <w:color w:val="auto"/>
        </w:rPr>
      </w:pPr>
    </w:p>
    <w:p>
      <w:pPr>
        <w:ind w:left="880" w:right="780" w:hanging="386"/>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62" w:lineRule="exact"/>
        <w:rPr>
          <w:rFonts w:ascii="Arial" w:cs="Arial" w:eastAsia="Arial" w:hAnsi="Arial"/>
          <w:sz w:val="18"/>
          <w:szCs w:val="18"/>
          <w:color w:val="auto"/>
        </w:rPr>
      </w:pPr>
    </w:p>
    <w:p>
      <w:pPr>
        <w:ind w:left="880" w:hanging="386"/>
        <w:spacing w:after="0"/>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disclosure controls and procedures and code of business conduct and ethics;</w:t>
      </w:r>
    </w:p>
    <w:p>
      <w:pPr>
        <w:spacing w:after="0" w:line="155" w:lineRule="exact"/>
        <w:rPr>
          <w:rFonts w:ascii="Arial" w:cs="Arial" w:eastAsia="Arial" w:hAnsi="Arial"/>
          <w:sz w:val="17"/>
          <w:szCs w:val="17"/>
          <w:color w:val="auto"/>
        </w:rPr>
      </w:pPr>
    </w:p>
    <w:p>
      <w:pPr>
        <w:ind w:left="880" w:hanging="386"/>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144" w:lineRule="exact"/>
        <w:rPr>
          <w:rFonts w:ascii="Arial" w:cs="Arial" w:eastAsia="Arial" w:hAnsi="Arial"/>
          <w:sz w:val="18"/>
          <w:szCs w:val="18"/>
          <w:color w:val="auto"/>
        </w:rPr>
      </w:pPr>
    </w:p>
    <w:p>
      <w:pPr>
        <w:ind w:left="880" w:hanging="386"/>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procedures for the receipt and retention of accounting related complaints and concerns;</w:t>
      </w:r>
    </w:p>
    <w:p>
      <w:pPr>
        <w:spacing w:after="0" w:line="144" w:lineRule="exact"/>
        <w:rPr>
          <w:rFonts w:ascii="Arial" w:cs="Arial" w:eastAsia="Arial" w:hAnsi="Arial"/>
          <w:sz w:val="18"/>
          <w:szCs w:val="18"/>
          <w:color w:val="auto"/>
        </w:rPr>
      </w:pPr>
    </w:p>
    <w:p>
      <w:pPr>
        <w:ind w:left="880" w:hanging="386"/>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144" w:lineRule="exact"/>
        <w:rPr>
          <w:rFonts w:ascii="Arial" w:cs="Arial" w:eastAsia="Arial" w:hAnsi="Arial"/>
          <w:sz w:val="18"/>
          <w:szCs w:val="18"/>
          <w:color w:val="auto"/>
        </w:rPr>
      </w:pPr>
    </w:p>
    <w:p>
      <w:pPr>
        <w:ind w:left="880" w:hanging="386"/>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w:t>
      </w:r>
    </w:p>
    <w:p>
      <w:pPr>
        <w:spacing w:after="0" w:line="144" w:lineRule="exact"/>
        <w:rPr>
          <w:rFonts w:ascii="Arial" w:cs="Arial" w:eastAsia="Arial" w:hAnsi="Arial"/>
          <w:sz w:val="18"/>
          <w:szCs w:val="18"/>
          <w:color w:val="auto"/>
        </w:rPr>
      </w:pPr>
    </w:p>
    <w:p>
      <w:pPr>
        <w:ind w:left="880" w:hanging="386"/>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on a periodic basis our investment policy; and</w:t>
      </w:r>
    </w:p>
    <w:p>
      <w:pPr>
        <w:spacing w:after="0" w:line="144" w:lineRule="exact"/>
        <w:rPr>
          <w:rFonts w:ascii="Arial" w:cs="Arial" w:eastAsia="Arial" w:hAnsi="Arial"/>
          <w:sz w:val="18"/>
          <w:szCs w:val="18"/>
          <w:color w:val="auto"/>
        </w:rPr>
      </w:pPr>
    </w:p>
    <w:p>
      <w:pPr>
        <w:ind w:left="880" w:hanging="386"/>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52"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Our Board of Directors has determined that the composition and functioning of our audit committee complies with all applicable requirements of the Sarbanes-Oxley Act, and all applicable SEC and Nasdaq rules and regulations.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color w:val="auto"/>
        </w:rPr>
        <w:t xml:space="preserve">We have adopted a Code of Business Conduct and Ethics, or the Code of Conduct, that applies to our directors, executive officers and employees, including our principal executive officer, principal financial officer, principal accounting officer or controller, or persons performing similar functions. The Code of Conduct is available on the Investor Relations portion of our website, </w:t>
      </w:r>
      <w:r>
        <w:rPr>
          <w:rFonts w:ascii="Arial" w:cs="Arial" w:eastAsia="Arial" w:hAnsi="Arial"/>
          <w:sz w:val="17"/>
          <w:szCs w:val="17"/>
          <w:i w:val="1"/>
          <w:iCs w:val="1"/>
          <w:color w:val="auto"/>
        </w:rPr>
        <w:t>www.solidbio.com</w:t>
      </w:r>
      <w:r>
        <w:rPr>
          <w:rFonts w:ascii="Arial" w:cs="Arial" w:eastAsia="Arial" w:hAnsi="Arial"/>
          <w:sz w:val="17"/>
          <w:szCs w:val="17"/>
          <w:color w:val="auto"/>
        </w:rPr>
        <w:t>. The nominating and corporate governance committee of our Board of Directors is responsible for overseeing the Code of Conduct and must approve any waivers of the Code of Conduct for employees, executive officers and directors. In addition, we intend to post on our website all disclosures that are required by law or the listing standards of Nasdaq concerning any amendments to, or waivers of, any provision of the Code of Conduct.</w:t>
      </w:r>
    </w:p>
    <w:p>
      <w:pPr>
        <w:spacing w:after="0" w:line="28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121"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The following information describes the material elements of compensation awarded to, earned by or paid to each of our named executive officers, or the Named Executive Officers. The Named Executive Officers for the year ended December 31, 2021 are:</w:t>
      </w:r>
    </w:p>
    <w:p>
      <w:pPr>
        <w:spacing w:after="0" w:line="62" w:lineRule="exact"/>
        <w:rPr>
          <w:sz w:val="20"/>
          <w:szCs w:val="20"/>
          <w:color w:val="auto"/>
        </w:rPr>
      </w:pPr>
    </w:p>
    <w:p>
      <w:pPr>
        <w:ind w:left="960" w:hanging="41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Ilan Ganot, our President and Chief Executive Officer;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Erin Powers Brennan, our Chief Legal Officer;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Joel Schneider. Ph.D., our Chief Operating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Summary Compensation Table</w:t>
      </w:r>
    </w:p>
    <w:p>
      <w:pPr>
        <w:spacing w:after="0" w:line="117"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The following table contains information about the compensation paid to or earned by each of our Named Executive Officers for the years ended December 31, 2021 and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Salary</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Bonus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Stock Awards</w:t>
            </w:r>
          </w:p>
        </w:tc>
        <w:tc>
          <w:tcPr>
            <w:tcW w:w="13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Option Awards</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1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Year</w:t>
            </w:r>
          </w:p>
        </w:tc>
        <w:tc>
          <w:tcPr>
            <w:tcW w:w="11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1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34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2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220" w:type="dxa"/>
            <w:vAlign w:val="bottom"/>
          </w:tcPr>
          <w:p>
            <w:pPr>
              <w:spacing w:after="0"/>
              <w:rPr>
                <w:sz w:val="15"/>
                <w:szCs w:val="15"/>
                <w:color w:val="auto"/>
              </w:rPr>
            </w:pP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3"/>
                <w:szCs w:val="13"/>
                <w:b w:val="1"/>
                <w:bCs w:val="1"/>
                <w:color w:val="auto"/>
              </w:rPr>
              <w:t>(3)</w:t>
            </w: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(4)</w:t>
            </w: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8"/>
              </w:rPr>
              <w:t>Ilan Ganot, President and Chief Executive</w:t>
            </w: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Officer</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551,100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187,925</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2,544,780</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10,004</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9"/>
              </w:rPr>
              <w:t>3,293,809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535,000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294,250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246,370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405,382</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ind w:left="180"/>
              <w:spacing w:after="0"/>
              <w:rPr>
                <w:sz w:val="20"/>
                <w:szCs w:val="20"/>
                <w:color w:val="auto"/>
              </w:rPr>
            </w:pPr>
            <w:r>
              <w:rPr>
                <w:rFonts w:ascii="Arial" w:cs="Arial" w:eastAsia="Arial" w:hAnsi="Arial"/>
                <w:sz w:val="18"/>
                <w:szCs w:val="18"/>
                <w:color w:val="auto"/>
                <w:w w:val="89"/>
              </w:rPr>
              <w:t>1,481,002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 xml:space="preserve">Erin Powers Brennan, Chief Legal Officer </w:t>
            </w:r>
            <w:r>
              <w:rPr>
                <w:rFonts w:ascii="Arial" w:cs="Arial" w:eastAsia="Arial" w:hAnsi="Arial"/>
                <w:sz w:val="15"/>
                <w:szCs w:val="15"/>
                <w:color w:val="auto"/>
                <w:w w:val="97"/>
              </w:rPr>
              <w:t>(5)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341,667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145,698</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2,382,250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ind w:left="180"/>
              <w:spacing w:after="0"/>
              <w:rPr>
                <w:sz w:val="20"/>
                <w:szCs w:val="20"/>
                <w:color w:val="auto"/>
              </w:rPr>
            </w:pPr>
            <w:r>
              <w:rPr>
                <w:rFonts w:ascii="Arial" w:cs="Arial" w:eastAsia="Arial" w:hAnsi="Arial"/>
                <w:sz w:val="18"/>
                <w:szCs w:val="18"/>
                <w:color w:val="auto"/>
                <w:w w:val="89"/>
              </w:rPr>
              <w:t>2,878,244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40" w:type="dxa"/>
            <w:vAlign w:val="bottom"/>
            <w:gridSpan w:val="2"/>
          </w:tcPr>
          <w:p>
            <w:pPr>
              <w:spacing w:after="0"/>
              <w:rPr>
                <w:sz w:val="20"/>
                <w:szCs w:val="20"/>
                <w:color w:val="auto"/>
              </w:rPr>
            </w:pPr>
            <w:r>
              <w:rPr>
                <w:rFonts w:ascii="Arial" w:cs="Arial" w:eastAsia="Arial" w:hAnsi="Arial"/>
                <w:sz w:val="18"/>
                <w:szCs w:val="18"/>
                <w:color w:val="auto"/>
              </w:rPr>
              <w:t>Joel Schneider, Ph.D., Chief Operating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Officer</w:t>
            </w:r>
          </w:p>
        </w:tc>
        <w:tc>
          <w:tcPr>
            <w:tcW w:w="1020" w:type="dxa"/>
            <w:vAlign w:val="bottom"/>
          </w:tcPr>
          <w:p>
            <w:pPr>
              <w:jc w:val="right"/>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423,265</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118,320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1,155,050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6,126</w:t>
            </w:r>
          </w:p>
        </w:tc>
        <w:tc>
          <w:tcPr>
            <w:tcW w:w="200" w:type="dxa"/>
            <w:vAlign w:val="bottom"/>
          </w:tcPr>
          <w:p>
            <w:pPr>
              <w:spacing w:after="0"/>
              <w:rPr>
                <w:sz w:val="20"/>
                <w:szCs w:val="20"/>
                <w:color w:val="auto"/>
              </w:rPr>
            </w:pPr>
          </w:p>
        </w:tc>
        <w:tc>
          <w:tcPr>
            <w:tcW w:w="920" w:type="dxa"/>
            <w:vAlign w:val="bottom"/>
          </w:tcPr>
          <w:p>
            <w:pPr>
              <w:ind w:left="180"/>
              <w:spacing w:after="0"/>
              <w:rPr>
                <w:sz w:val="20"/>
                <w:szCs w:val="20"/>
                <w:color w:val="auto"/>
              </w:rPr>
            </w:pPr>
            <w:r>
              <w:rPr>
                <w:rFonts w:ascii="Arial" w:cs="Arial" w:eastAsia="Arial" w:hAnsi="Arial"/>
                <w:sz w:val="18"/>
                <w:szCs w:val="18"/>
                <w:color w:val="auto"/>
                <w:w w:val="89"/>
              </w:rPr>
              <w:t>1,702,761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280" w:hanging="532"/>
        <w:spacing w:after="0" w:line="258"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where noted otherwise, represents annual bonuses paid to the Named Executive Officers after the completion of each calendar year at the discretion of our Board of Directors.</w:t>
      </w:r>
    </w:p>
    <w:p>
      <w:pPr>
        <w:spacing w:after="0" w:line="1" w:lineRule="exact"/>
        <w:rPr>
          <w:rFonts w:ascii="Arial" w:cs="Arial" w:eastAsia="Arial" w:hAnsi="Arial"/>
          <w:sz w:val="18"/>
          <w:szCs w:val="18"/>
          <w:color w:val="auto"/>
        </w:rPr>
      </w:pPr>
    </w:p>
    <w:p>
      <w:pPr>
        <w:ind w:left="540" w:hanging="532"/>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in this column represents the aggregate grant date fair value of the restricted stock unit award as computed in accordance with Financial Accounting Standard Board Accounting Standards Codification Topic 718. The assumptions used in calculating the grant date fair value of the award reported in this column are set forth in Note 9 to our audited consolidated financial statements appearing elsewhere in this Annual Report on Form 10-K.</w:t>
      </w:r>
    </w:p>
    <w:p>
      <w:pPr>
        <w:spacing w:after="0" w:line="1" w:lineRule="exact"/>
        <w:rPr>
          <w:rFonts w:ascii="Arial" w:cs="Arial" w:eastAsia="Arial" w:hAnsi="Arial"/>
          <w:sz w:val="18"/>
          <w:szCs w:val="18"/>
          <w:color w:val="auto"/>
        </w:rPr>
      </w:pPr>
    </w:p>
    <w:p>
      <w:pPr>
        <w:ind w:left="540" w:right="80" w:hanging="532"/>
        <w:spacing w:after="0" w:line="281"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amount in this column represents the aggregate grant date fair value of the option award as computed in accordance with Financial Accounting Standard Board Accounting Standards Codification Topic 718. The assumptions used in calculating the grant date fair value of the award reported in this column are set forth in Note 9 to our audited consolidated financial statements appearing elsewhere in this Annual Report on Form 10-K.</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other compensation reflects a matching contribution under the Company’s 401(k) plan.</w:t>
      </w:r>
    </w:p>
    <w:p>
      <w:pPr>
        <w:spacing w:after="0" w:line="9" w:lineRule="exact"/>
        <w:rPr>
          <w:rFonts w:ascii="Arial" w:cs="Arial" w:eastAsia="Arial" w:hAnsi="Arial"/>
          <w:sz w:val="18"/>
          <w:szCs w:val="18"/>
          <w:color w:val="auto"/>
        </w:rPr>
      </w:pPr>
    </w:p>
    <w:p>
      <w:pPr>
        <w:ind w:left="540" w:right="300" w:hanging="532"/>
        <w:spacing w:after="0" w:line="302"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Ms. Brennan commenced employment with us on March 1, 2021. The salary reported reflects the pro rata portion of Ms. Brennan’s annualized salary of $410,000 that was earned during 2021. The bonus reported included a $50,000 signing bonus that Ms. Brennan received in connection with the commencement of her employment and the pro rata portion of her annual bonus that was earned during 2021.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Narrative to Summary Compensation Table</w:t>
      </w:r>
    </w:p>
    <w:p>
      <w:pPr>
        <w:spacing w:after="0" w:line="117" w:lineRule="exact"/>
        <w:rPr>
          <w:sz w:val="20"/>
          <w:szCs w:val="20"/>
          <w:color w:val="auto"/>
        </w:rPr>
      </w:pPr>
    </w:p>
    <w:p>
      <w:pPr>
        <w:ind w:right="340" w:firstLine="546"/>
        <w:spacing w:after="0" w:line="259"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In 2021, we paid Mr. Ganot an annualized base salary of $551,100 and Dr. Schneider an annualized base salary of $423,256.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commencement of Ms. Brennan’s employment in March 2021, our Board of Directors set Ms. Brennan’s annualized base salary of $410,000. For 2022, our Board of Directors increased the base salary amount for Mr. Ganot to $578,700, for Ms. Brennan to $430,500 and for Dr. Schneider to $460,900.</w:t>
      </w:r>
    </w:p>
    <w:p>
      <w:pPr>
        <w:spacing w:after="0" w:line="187"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84" w:lineRule="exact"/>
        <w:rPr>
          <w:sz w:val="20"/>
          <w:szCs w:val="20"/>
          <w:color w:val="auto"/>
        </w:rPr>
      </w:pPr>
    </w:p>
    <w:p>
      <w:pPr>
        <w:ind w:right="40" w:firstLine="546"/>
        <w:spacing w:after="0" w:line="296" w:lineRule="auto"/>
        <w:rPr>
          <w:sz w:val="20"/>
          <w:szCs w:val="20"/>
          <w:color w:val="auto"/>
        </w:rPr>
      </w:pPr>
      <w:r>
        <w:rPr>
          <w:rFonts w:ascii="Arial" w:cs="Arial" w:eastAsia="Arial" w:hAnsi="Arial"/>
          <w:sz w:val="16"/>
          <w:szCs w:val="16"/>
          <w:i w:val="1"/>
          <w:iCs w:val="1"/>
          <w:color w:val="auto"/>
        </w:rPr>
        <w:t xml:space="preserve">Annual Bonus. </w:t>
      </w:r>
      <w:r>
        <w:rPr>
          <w:rFonts w:ascii="Arial" w:cs="Arial" w:eastAsia="Arial" w:hAnsi="Arial"/>
          <w:sz w:val="16"/>
          <w:szCs w:val="16"/>
          <w:color w:val="auto"/>
        </w:rPr>
        <w:t>Our Board of Directors may, in its discretion, award bonuses to our Named Executive Officers from time to time. Our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From time to time, our Board of Directors has approved discretionary annual cash bonuses to our Named Executive Officers with respect to their prior year performance.</w:t>
      </w:r>
    </w:p>
    <w:p>
      <w:pPr>
        <w:spacing w:after="0" w:line="161"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With respect to 2021, our Board of Directors awarded discretionary bonuses of $187,925, $145,698 and $118,320 to Mr. Ganot, Ms. Brennan and Dr. Schneider,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Board of Directors awarded a signing bonus of $50,000 to Ms. Brennan in connection with the commencement of her employment.</w:t>
      </w:r>
    </w:p>
    <w:p>
      <w:pPr>
        <w:spacing w:after="0" w:line="237" w:lineRule="exact"/>
        <w:rPr>
          <w:sz w:val="20"/>
          <w:szCs w:val="20"/>
          <w:color w:val="auto"/>
        </w:rPr>
      </w:pPr>
    </w:p>
    <w:p>
      <w:pPr>
        <w:ind w:right="200" w:firstLine="546"/>
        <w:spacing w:after="0" w:line="273" w:lineRule="auto"/>
        <w:rPr>
          <w:sz w:val="20"/>
          <w:szCs w:val="20"/>
          <w:color w:val="auto"/>
        </w:rPr>
      </w:pPr>
      <w:r>
        <w:rPr>
          <w:rFonts w:ascii="Arial" w:cs="Arial" w:eastAsia="Arial" w:hAnsi="Arial"/>
          <w:sz w:val="17"/>
          <w:szCs w:val="17"/>
          <w:i w:val="1"/>
          <w:iCs w:val="1"/>
          <w:color w:val="auto"/>
        </w:rPr>
        <w:t xml:space="preserve">Equity Incentives. </w:t>
      </w:r>
      <w:r>
        <w:rPr>
          <w:rFonts w:ascii="Arial" w:cs="Arial" w:eastAsia="Arial" w:hAnsi="Arial"/>
          <w:sz w:val="17"/>
          <w:szCs w:val="17"/>
          <w:color w:val="auto"/>
        </w:rPr>
        <w:t>Although we do not have a formal policy with respect to the grant of equity incentive awards to our executive officers, or any</w:t>
      </w:r>
      <w:r>
        <w:rPr>
          <w:rFonts w:ascii="Arial" w:cs="Arial" w:eastAsia="Arial" w:hAnsi="Arial"/>
          <w:sz w:val="17"/>
          <w:szCs w:val="17"/>
          <w:i w:val="1"/>
          <w:iCs w:val="1"/>
          <w:color w:val="auto"/>
        </w:rPr>
        <w:t xml:space="preserve"> </w:t>
      </w:r>
      <w:r>
        <w:rPr>
          <w:rFonts w:ascii="Arial" w:cs="Arial" w:eastAsia="Arial" w:hAnsi="Arial"/>
          <w:sz w:val="17"/>
          <w:szCs w:val="17"/>
          <w:color w:val="auto"/>
        </w:rPr>
        <w:t>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 or restricted stock units.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January 2021, we granted options to purchase 438,000 shares of our common stock to Mr. Ganot and 175,000 shares of our common stock to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Schneider. These options vest in equal annual installments over a term of four years from the date of grant.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March 2021, we granted options to purchase 325,000 shares of our common stock to Ms. Brennan and 15,000 shares of our common stock to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Schneider. These options vest in equal annual installments over a term of four years from the date of grant.</w:t>
      </w:r>
    </w:p>
    <w:p>
      <w:pPr>
        <w:spacing w:after="0" w:line="211" w:lineRule="exact"/>
        <w:rPr>
          <w:sz w:val="20"/>
          <w:szCs w:val="20"/>
          <w:color w:val="auto"/>
        </w:rPr>
      </w:pPr>
    </w:p>
    <w:p>
      <w:pPr>
        <w:ind w:right="40" w:firstLine="551"/>
        <w:spacing w:after="0" w:line="301" w:lineRule="auto"/>
        <w:rPr>
          <w:sz w:val="20"/>
          <w:szCs w:val="20"/>
          <w:color w:val="auto"/>
        </w:rPr>
      </w:pPr>
      <w:r>
        <w:rPr>
          <w:rFonts w:ascii="Arial" w:cs="Arial" w:eastAsia="Arial" w:hAnsi="Arial"/>
          <w:sz w:val="16"/>
          <w:szCs w:val="16"/>
          <w:color w:val="auto"/>
        </w:rPr>
        <w:t>In January 2022, we granted options to purchase 466,000 shares of our common stock and restricted stock units with respect to 233,000 shares of our common stock to Mr. Ganot, options to purchase 127,000 shares of our common stock and restricted stock units with respect to 63,000 shares of our common stock to Ms. Brennan, and options to purchase 180,000 shares of our common stock and restricted stock units with respect to 90,000 shares of our common stock to Dr. Schneider. The options and restricted stock units vest in equal annual installments over a term of four years from the date of grant.</w:t>
      </w:r>
    </w:p>
    <w:p>
      <w:pPr>
        <w:spacing w:after="0" w:line="157" w:lineRule="exact"/>
        <w:rPr>
          <w:sz w:val="20"/>
          <w:szCs w:val="20"/>
          <w:color w:val="auto"/>
        </w:rPr>
      </w:pPr>
    </w:p>
    <w:p>
      <w:pPr>
        <w:ind w:right="320" w:firstLine="551"/>
        <w:spacing w:after="0" w:line="277" w:lineRule="auto"/>
        <w:rPr>
          <w:sz w:val="20"/>
          <w:szCs w:val="20"/>
          <w:color w:val="auto"/>
        </w:rPr>
      </w:pPr>
      <w:r>
        <w:rPr>
          <w:rFonts w:ascii="Arial" w:cs="Arial" w:eastAsia="Arial" w:hAnsi="Arial"/>
          <w:sz w:val="18"/>
          <w:szCs w:val="18"/>
          <w:color w:val="auto"/>
        </w:rPr>
        <w:t>In January 2022, we also granted restricted stock units with respect to 81,250 shares of our common stock to Ms. Brennan. The restricted stock units vest on the second anniversary of the grant date.</w:t>
      </w:r>
    </w:p>
    <w:p>
      <w:pPr>
        <w:spacing w:after="0" w:line="170" w:lineRule="exact"/>
        <w:rPr>
          <w:sz w:val="20"/>
          <w:szCs w:val="20"/>
          <w:color w:val="auto"/>
        </w:rPr>
      </w:pPr>
    </w:p>
    <w:p>
      <w:pPr>
        <w:ind w:right="40" w:firstLine="551"/>
        <w:spacing w:after="0" w:line="277" w:lineRule="auto"/>
        <w:rPr>
          <w:sz w:val="20"/>
          <w:szCs w:val="20"/>
          <w:color w:val="auto"/>
        </w:rPr>
      </w:pPr>
      <w:r>
        <w:rPr>
          <w:rFonts w:ascii="Arial" w:cs="Arial" w:eastAsia="Arial" w:hAnsi="Arial"/>
          <w:sz w:val="18"/>
          <w:szCs w:val="18"/>
          <w:color w:val="auto"/>
        </w:rPr>
        <w:t>Our employees and executives are eligible to receive stock options and other stock-based awards pursuant to our 2020 Equity Incentive Plan, or the 2020 Plan.</w:t>
      </w:r>
    </w:p>
    <w:p>
      <w:pPr>
        <w:spacing w:after="0" w:line="170" w:lineRule="exact"/>
        <w:rPr>
          <w:sz w:val="20"/>
          <w:szCs w:val="20"/>
          <w:color w:val="auto"/>
        </w:rPr>
      </w:pPr>
    </w:p>
    <w:p>
      <w:pPr>
        <w:ind w:right="160" w:firstLine="551"/>
        <w:spacing w:after="0" w:line="296" w:lineRule="auto"/>
        <w:rPr>
          <w:sz w:val="20"/>
          <w:szCs w:val="20"/>
          <w:color w:val="auto"/>
        </w:rPr>
      </w:pPr>
      <w:r>
        <w:rPr>
          <w:rFonts w:ascii="Arial" w:cs="Arial" w:eastAsia="Arial" w:hAnsi="Arial"/>
          <w:sz w:val="16"/>
          <w:szCs w:val="16"/>
          <w:color w:val="auto"/>
        </w:rPr>
        <w:t>We use stock options and/or restricted stock units to compensate our executive officers in the form of initial grants in connection with the commencement of employment and also at various times, often but not necessarily annually, if we have performed as expected or better than expected. None of our executive officers is currently party to an employment agreement that provides for automatic award of stock options or restricted stock units. We have granted stock options to our executive officers with time-based vesting. The options and restricted stock units that we have granted to our executive officers typically become exercisable as to 25% of the shares underlying the option on the first anniversary of the grant date and as to</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9" w:name="page120"/>
    <w:bookmarkEnd w:id="119"/>
    <w:p>
      <w:pPr>
        <w:ind w:right="40"/>
        <w:spacing w:after="0" w:line="257" w:lineRule="auto"/>
        <w:rPr>
          <w:sz w:val="20"/>
          <w:szCs w:val="20"/>
          <w:color w:val="auto"/>
        </w:rPr>
      </w:pPr>
      <w:r>
        <w:rPr>
          <w:rFonts w:ascii="Arial" w:cs="Arial" w:eastAsia="Arial" w:hAnsi="Arial"/>
          <w:sz w:val="18"/>
          <w:szCs w:val="18"/>
          <w:color w:val="auto"/>
        </w:rPr>
        <w:t>an additional 25% of the original number of shares underlying the option annually thereafter. Vesting rights cease upon termination of employment and exercise rights cease shortly after termination, except that vesting is fully accelerated upon certain terminations in connection with a change of control and exercisability is extended in the case of death or disability. Prior to the exercise of an option or the vesting of a restricted stock unit, the holder has no rights as a stockholder with respect to the shares subject to such option or with respect to the restricted stock units, including no voting rights and no right to receive dividends or dividend equivalents.</w:t>
      </w:r>
    </w:p>
    <w:p>
      <w:pPr>
        <w:spacing w:after="0" w:line="188" w:lineRule="exact"/>
        <w:rPr>
          <w:sz w:val="20"/>
          <w:szCs w:val="20"/>
          <w:color w:val="auto"/>
        </w:rPr>
      </w:pPr>
    </w:p>
    <w:p>
      <w:pPr>
        <w:ind w:right="600" w:firstLine="546"/>
        <w:spacing w:after="0" w:line="342" w:lineRule="auto"/>
        <w:rPr>
          <w:sz w:val="20"/>
          <w:szCs w:val="20"/>
          <w:color w:val="auto"/>
        </w:rPr>
      </w:pPr>
      <w:r>
        <w:rPr>
          <w:rFonts w:ascii="Arial" w:cs="Arial" w:eastAsia="Arial" w:hAnsi="Arial"/>
          <w:sz w:val="16"/>
          <w:szCs w:val="16"/>
          <w:color w:val="auto"/>
        </w:rPr>
        <w:t>The exercise price of all stock options granted after the closing of our initial public offering is equal to the fair market value of shares of our common stock on the date of grant, which is determined by reference to the closing market price of our common stock on the date of grant.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right="80" w:firstLine="546"/>
        <w:spacing w:after="0" w:line="290" w:lineRule="auto"/>
        <w:rPr>
          <w:sz w:val="20"/>
          <w:szCs w:val="20"/>
          <w:color w:val="auto"/>
        </w:rPr>
      </w:pPr>
      <w:r>
        <w:rPr>
          <w:rFonts w:ascii="Arial" w:cs="Arial" w:eastAsia="Arial" w:hAnsi="Arial"/>
          <w:sz w:val="16"/>
          <w:szCs w:val="16"/>
          <w:color w:val="auto"/>
        </w:rPr>
        <w:t>We have entered into employment agreements with each of our Named Executive Officers. The employment agreements set forth the terms of the Named Executive Officers’ compensation, including their base salary, and annual performance bonus opportunity. In addition, the employment agreements provide that, subject to eligibility requirements under the plan documents governing such programs and our policies, the Named Executive Officers are entitled, on the same basis as our other employees, to participate in and receive benefits under, any medical, vision and dental insurance policy maintained by us and we will pay, consistent with our then-current employee benefit policy, a portion of the cost of the premiums for any such insurance policy in which the Named Executive Officer elects to participate. Each Named Executive Officer will also be eligible to receive paid vacation time, sick time, and Company holidays consistent with our policies as then in effect from time to time and equity awards at such times and on such terms and conditions as the Board of Directors may determine. Each Named Executive Officer’s employment is at will.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Ilan Ganot</w:t>
      </w:r>
    </w:p>
    <w:p>
      <w:pPr>
        <w:spacing w:after="0" w:line="121" w:lineRule="exact"/>
        <w:rPr>
          <w:sz w:val="20"/>
          <w:szCs w:val="20"/>
          <w:color w:val="auto"/>
        </w:rPr>
      </w:pPr>
    </w:p>
    <w:p>
      <w:pPr>
        <w:ind w:right="300" w:firstLine="546"/>
        <w:spacing w:after="0" w:line="342" w:lineRule="auto"/>
        <w:rPr>
          <w:sz w:val="20"/>
          <w:szCs w:val="20"/>
          <w:color w:val="auto"/>
        </w:rPr>
      </w:pPr>
      <w:r>
        <w:rPr>
          <w:rFonts w:ascii="Arial" w:cs="Arial" w:eastAsia="Arial" w:hAnsi="Arial"/>
          <w:sz w:val="16"/>
          <w:szCs w:val="16"/>
          <w:color w:val="auto"/>
        </w:rPr>
        <w:t>On January 25, 2019, we entered into an employment agreement with Mr. Ganot, our President and Chief Executive Officer, which employment agreement amended and restated the terms of his existing agreement (with the exception of the restrictive covenant provisions contained therein).</w:t>
      </w:r>
    </w:p>
    <w:p>
      <w:pPr>
        <w:spacing w:after="0" w:line="124"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Pursuant to his employment agreement, Mr. Ganot is being paid a salary of $578,700 for 2022, which base salary will be reviewed by the Board of Directors from time to time and is subject to change in the discretion of the Board of Directors. Mr. Ganot is also eligible to earn an annual performance bonus, with a target bonus amount equal to up to 55% of his base salary, based upon the board’s assessment of his performance and the Company’s attainment of targeted goals as set by the board in its sole discretion. The bonus may be in the form of cash, equity award(s), or a combination of cash and equity.</w:t>
      </w:r>
    </w:p>
    <w:p>
      <w:pPr>
        <w:spacing w:after="0" w:line="188"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Mr. Ganot is bound by proprietary rights, non-disclosure, developments, non-competition and non-solicitation obligations pursuant to the restrictive covenants in his existing employment agreement, which provisions remain in full force and effect. Under these restrictive covenants, he has agreed not to compete with us during his employment and for a period of one year after the termination of his employment (provided that he is not restricted from promoting treatments for, or endeavoring to cure, Duchenne), not to solicit our employees, consultants, or actual or prospective customers or business relations during his employment and for a period of one year after the termination of his employment, and to protect our confidential and proprietary information indefinitely.</w:t>
      </w:r>
    </w:p>
    <w:p>
      <w:pPr>
        <w:spacing w:after="0" w:line="192" w:lineRule="exact"/>
        <w:rPr>
          <w:sz w:val="20"/>
          <w:szCs w:val="20"/>
          <w:color w:val="auto"/>
        </w:rPr>
      </w:pPr>
    </w:p>
    <w:p>
      <w:pPr>
        <w:ind w:right="140" w:firstLine="546"/>
        <w:spacing w:after="0" w:line="342" w:lineRule="auto"/>
        <w:rPr>
          <w:sz w:val="20"/>
          <w:szCs w:val="20"/>
          <w:color w:val="auto"/>
        </w:rPr>
      </w:pPr>
      <w:r>
        <w:rPr>
          <w:rFonts w:ascii="Arial" w:cs="Arial" w:eastAsia="Arial" w:hAnsi="Arial"/>
          <w:sz w:val="16"/>
          <w:szCs w:val="16"/>
          <w:color w:val="auto"/>
        </w:rPr>
        <w:t>Mr. Ganot’s employment agreement and his employment may be terminated: (1) upon his death or at our election due to his “disability”; (2) at our election, with or without “cause”; and (3) at his election, with or without “good reason” (as such terms are defined in his employment agreement).</w:t>
      </w:r>
    </w:p>
    <w:p>
      <w:pPr>
        <w:spacing w:after="0" w:line="124" w:lineRule="exact"/>
        <w:rPr>
          <w:sz w:val="20"/>
          <w:szCs w:val="20"/>
          <w:color w:val="auto"/>
        </w:rPr>
      </w:pPr>
    </w:p>
    <w:p>
      <w:pPr>
        <w:ind w:firstLine="546"/>
        <w:spacing w:after="0" w:line="253" w:lineRule="auto"/>
        <w:rPr>
          <w:sz w:val="20"/>
          <w:szCs w:val="20"/>
          <w:color w:val="auto"/>
        </w:rPr>
      </w:pPr>
      <w:r>
        <w:rPr>
          <w:rFonts w:ascii="Arial" w:cs="Arial" w:eastAsia="Arial" w:hAnsi="Arial"/>
          <w:sz w:val="18"/>
          <w:szCs w:val="18"/>
          <w:color w:val="auto"/>
        </w:rPr>
        <w:t>In the event of the termination of Mr. Ganot’s employment by us without cause, or by Mr. Ganot for good reason, prior to or more than twelve months following a “change in control” (as defined in his employment agreement), Mr. Ganot is entitled to receive his base salary that has accrued and to which he is entitled as of the termination date, to the extent consistent with Company policy, accrued but unused paid time off through and including the termination date, unreimbursed business expenses for which expenses he has timely submitted appropriate documentation, and other amounts or benefits to which he is entitled in accordance with the terms of the benefit plans then-sponsored by us, which we refer to collectively as the Ganot Accrued Obligations. In addition, subject to his execution and nonrevocation of a release of claims in our favor, Mr. Ganot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0" w:name="page121"/>
    <w:bookmarkEnd w:id="120"/>
    <w:p>
      <w:pPr>
        <w:ind w:right="80"/>
        <w:spacing w:after="0" w:line="277" w:lineRule="auto"/>
        <w:rPr>
          <w:sz w:val="20"/>
          <w:szCs w:val="20"/>
          <w:color w:val="auto"/>
        </w:rPr>
      </w:pPr>
      <w:r>
        <w:rPr>
          <w:rFonts w:ascii="Arial" w:cs="Arial" w:eastAsia="Arial" w:hAnsi="Arial"/>
          <w:sz w:val="18"/>
          <w:szCs w:val="18"/>
          <w:color w:val="auto"/>
        </w:rPr>
        <w:t>us of the portion of health coverage premiums we pay for similarly-situated, active employees who receive the same type of coverage, for a period of up to 12 months following his date of termination.</w:t>
      </w:r>
    </w:p>
    <w:p>
      <w:pPr>
        <w:spacing w:after="0" w:line="170" w:lineRule="exact"/>
        <w:rPr>
          <w:sz w:val="20"/>
          <w:szCs w:val="20"/>
          <w:color w:val="auto"/>
        </w:rPr>
      </w:pPr>
    </w:p>
    <w:p>
      <w:pPr>
        <w:ind w:right="20" w:firstLine="546"/>
        <w:spacing w:after="0" w:line="284" w:lineRule="auto"/>
        <w:rPr>
          <w:sz w:val="20"/>
          <w:szCs w:val="20"/>
          <w:color w:val="auto"/>
        </w:rPr>
      </w:pPr>
      <w:r>
        <w:rPr>
          <w:rFonts w:ascii="Arial" w:cs="Arial" w:eastAsia="Arial" w:hAnsi="Arial"/>
          <w:sz w:val="16"/>
          <w:szCs w:val="16"/>
          <w:color w:val="auto"/>
        </w:rPr>
        <w:t>In the event of the termination of Mr. Ganot’s employment by us without cause, or by Mr. Ganot for good reason, within twelve months following a change in control, he is entitled to receive the Ganot Accrued Obligations. In addition, subject to his execution and nonrevocation of a release of claims in our favor, he is entitled to (1) continued payment of his base salary,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150% of his target bonus for the year in which his employment is terminated or, if higher, his target bonus immediately prior to the change in control and</w:t>
      </w:r>
    </w:p>
    <w:p>
      <w:pPr>
        <w:spacing w:after="0" w:line="2" w:lineRule="exact"/>
        <w:rPr>
          <w:sz w:val="20"/>
          <w:szCs w:val="20"/>
          <w:color w:val="auto"/>
        </w:rPr>
      </w:pPr>
    </w:p>
    <w:p>
      <w:pPr>
        <w:ind w:right="180" w:firstLine="8"/>
        <w:spacing w:after="0" w:line="260"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full vesting acceleration of any then-unvested equity awards that vest based solely based on the passage of time held by Mr. Ganot, such that any such equity awards held by him become fully exercisable or non-forfeitable as of the termination date.</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If Mr. Ganot’s employment is terminated for any other reason, including as a result of his death or disability, for cause, or voluntarily by him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without good reason, our obligations under the employment agreement cease immediately, and he is only entitled to receive the Ganot Accrued Obligations.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Erin Powers Brennan</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On March 1, 2021, we entered into an employment agreement with Ms. Brennan, our Chief Legal Officer.</w:t>
      </w:r>
    </w:p>
    <w:p>
      <w:pPr>
        <w:spacing w:after="0" w:line="225" w:lineRule="exact"/>
        <w:rPr>
          <w:sz w:val="20"/>
          <w:szCs w:val="20"/>
          <w:color w:val="auto"/>
        </w:rPr>
      </w:pPr>
    </w:p>
    <w:p>
      <w:pPr>
        <w:ind w:right="60" w:firstLine="602"/>
        <w:spacing w:after="0" w:line="257" w:lineRule="auto"/>
        <w:rPr>
          <w:sz w:val="20"/>
          <w:szCs w:val="20"/>
          <w:color w:val="auto"/>
        </w:rPr>
      </w:pPr>
      <w:r>
        <w:rPr>
          <w:rFonts w:ascii="Arial" w:cs="Arial" w:eastAsia="Arial" w:hAnsi="Arial"/>
          <w:sz w:val="18"/>
          <w:szCs w:val="18"/>
          <w:color w:val="auto"/>
        </w:rPr>
        <w:t>Pursuant to her employment agreement, Ms. Brennan is being paid an annual base salary of $430,500 for 2022, which base salary will be reviewed by the Board of Directors from time to time and is subject to change in the discretion of the Board of Directors. Ms. Brennan is also eligible to earn an annual performance bonus, with a target bonus amount equal to up to 40% of her base salary, based upon the board’s assessment of her performance and the Company’s attainment of targeted goals as set by the board in its sole discretion. The bonus may be in the form of cash, equity award(s), or a combination of cash and equity.</w:t>
      </w:r>
    </w:p>
    <w:p>
      <w:pPr>
        <w:spacing w:after="0" w:line="188" w:lineRule="exact"/>
        <w:rPr>
          <w:sz w:val="20"/>
          <w:szCs w:val="20"/>
          <w:color w:val="auto"/>
        </w:rPr>
      </w:pPr>
    </w:p>
    <w:p>
      <w:pPr>
        <w:ind w:right="80" w:firstLine="602"/>
        <w:spacing w:after="0" w:line="301" w:lineRule="auto"/>
        <w:rPr>
          <w:sz w:val="20"/>
          <w:szCs w:val="20"/>
          <w:color w:val="auto"/>
        </w:rPr>
      </w:pPr>
      <w:r>
        <w:rPr>
          <w:rFonts w:ascii="Arial" w:cs="Arial" w:eastAsia="Arial" w:hAnsi="Arial"/>
          <w:sz w:val="16"/>
          <w:szCs w:val="16"/>
          <w:color w:val="auto"/>
        </w:rPr>
        <w:t>Ms. Brennan is bound by proprietary rights, non-disclosure, developments, non-competition and non-solicitation obligations pursuant to the employment agreement. Under these restrictive covenants, she has agreed not to compete with us during her employment and for a period of one year after the termination of her employment, not to solicit our employees, consultants, or actual or prospective customers or business relations during her employment and for a period of one year after the termination of her employment, and to protect our confidential and proprietary information indefinitely.</w:t>
      </w:r>
    </w:p>
    <w:p>
      <w:pPr>
        <w:spacing w:after="0" w:line="157" w:lineRule="exact"/>
        <w:rPr>
          <w:sz w:val="20"/>
          <w:szCs w:val="20"/>
          <w:color w:val="auto"/>
        </w:rPr>
      </w:pPr>
    </w:p>
    <w:p>
      <w:pPr>
        <w:ind w:right="120" w:firstLine="602"/>
        <w:spacing w:after="0" w:line="342" w:lineRule="auto"/>
        <w:rPr>
          <w:sz w:val="20"/>
          <w:szCs w:val="20"/>
          <w:color w:val="auto"/>
        </w:rPr>
      </w:pPr>
      <w:r>
        <w:rPr>
          <w:rFonts w:ascii="Arial" w:cs="Arial" w:eastAsia="Arial" w:hAnsi="Arial"/>
          <w:sz w:val="16"/>
          <w:szCs w:val="16"/>
          <w:color w:val="auto"/>
        </w:rPr>
        <w:t>Ms. Brennan’s employment agreement and her employment may be terminated: (1) upon her death or at our election due to her “disability”; (2) at our election, with or without “cause”; and (3) at her election, with or without “good reason” (as such terms are defined in her employment agreement).</w:t>
      </w:r>
    </w:p>
    <w:p>
      <w:pPr>
        <w:spacing w:after="0" w:line="124" w:lineRule="exact"/>
        <w:rPr>
          <w:sz w:val="20"/>
          <w:szCs w:val="20"/>
          <w:color w:val="auto"/>
        </w:rPr>
      </w:pPr>
    </w:p>
    <w:p>
      <w:pPr>
        <w:ind w:right="20" w:firstLine="602"/>
        <w:spacing w:after="0" w:line="269" w:lineRule="auto"/>
        <w:rPr>
          <w:sz w:val="20"/>
          <w:szCs w:val="20"/>
          <w:color w:val="auto"/>
        </w:rPr>
      </w:pPr>
      <w:r>
        <w:rPr>
          <w:rFonts w:ascii="Arial" w:cs="Arial" w:eastAsia="Arial" w:hAnsi="Arial"/>
          <w:sz w:val="17"/>
          <w:szCs w:val="17"/>
          <w:color w:val="auto"/>
        </w:rPr>
        <w:t>In the event of the termination of Ms. Brennan’s employment by us without cause, or by Ms. Brennan for good reason, prior to or more than twelve months following a “change in control” (as defined in her employment agreement), Ms. Brennan is entitled to receive her base salary that has accrued and to which she is entitled as of the termination date, to the extent consistent with Company policy, accrued but unused paid time off through and including the termination date, unreimbursed business expenses for which expenses she has timely submitted appropriate documentation, and other amounts or benefits to which she is entitled in accordance with the terms of the benefit plans then-sponsored by us, which we refer to collectively as the Brennan Accrued Obligations. In addition, subject to her execution and nonrevocation of a release of claims in our favor, Ms. Brennan is entitled to (1) continued payment of her base salary, in accordance with our regular payroll procedures, for a period of 12 months and (2) provided she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her date of termination.</w:t>
      </w:r>
    </w:p>
    <w:p>
      <w:pPr>
        <w:spacing w:after="0" w:line="118" w:lineRule="exact"/>
        <w:rPr>
          <w:sz w:val="20"/>
          <w:szCs w:val="20"/>
          <w:color w:val="auto"/>
        </w:rPr>
      </w:pPr>
    </w:p>
    <w:p>
      <w:pPr>
        <w:ind w:right="40" w:firstLine="602"/>
        <w:spacing w:after="0" w:line="273" w:lineRule="auto"/>
        <w:rPr>
          <w:sz w:val="20"/>
          <w:szCs w:val="20"/>
          <w:color w:val="auto"/>
        </w:rPr>
      </w:pPr>
      <w:r>
        <w:rPr>
          <w:rFonts w:ascii="Arial" w:cs="Arial" w:eastAsia="Arial" w:hAnsi="Arial"/>
          <w:sz w:val="17"/>
          <w:szCs w:val="17"/>
          <w:color w:val="auto"/>
        </w:rPr>
        <w:t>In the event of the termination of Ms. Brennan’s employment by us without cause, or by Ms. Brennan for good reason, within twelve months following a change in control, she is entitled to receive the Brennan Accrued Obligations. In addition, subject to her execution and nonrevocation of a release of claims in our favor, she is entitled to (1) continued payment of her base salary, in accordance with our regular payroll procedures, for a period of 12 months, (2) provided she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1" w:name="page122"/>
    <w:bookmarkEnd w:id="121"/>
    <w:p>
      <w:pPr>
        <w:ind w:right="140"/>
        <w:spacing w:after="0" w:line="311" w:lineRule="auto"/>
        <w:rPr>
          <w:sz w:val="20"/>
          <w:szCs w:val="20"/>
          <w:color w:val="auto"/>
        </w:rPr>
      </w:pPr>
      <w:r>
        <w:rPr>
          <w:rFonts w:ascii="Arial" w:cs="Arial" w:eastAsia="Arial" w:hAnsi="Arial"/>
          <w:sz w:val="16"/>
          <w:szCs w:val="16"/>
          <w:color w:val="auto"/>
        </w:rPr>
        <w:t>date of termination, (3) a lump sum payment equal to 100% of her target bonus for the year in which her employment is terminated or, if higher, her target bonus immediately prior to the change in control and (4) full vesting acceleration of any then-unvested equity awards that vest based solely based on the passage of time held by Ms. Brennan, such that any such equity awards held by her become fully exercisable or non-forfeitable as of the termination date.</w:t>
      </w:r>
    </w:p>
    <w:p>
      <w:pPr>
        <w:spacing w:after="0" w:line="149" w:lineRule="exact"/>
        <w:rPr>
          <w:sz w:val="20"/>
          <w:szCs w:val="20"/>
          <w:color w:val="auto"/>
        </w:rPr>
      </w:pPr>
    </w:p>
    <w:p>
      <w:pPr>
        <w:ind w:right="400" w:firstLine="546"/>
        <w:spacing w:after="0" w:line="263" w:lineRule="auto"/>
        <w:rPr>
          <w:sz w:val="20"/>
          <w:szCs w:val="20"/>
          <w:color w:val="auto"/>
        </w:rPr>
      </w:pPr>
      <w:r>
        <w:rPr>
          <w:rFonts w:ascii="Arial" w:cs="Arial" w:eastAsia="Arial" w:hAnsi="Arial"/>
          <w:sz w:val="18"/>
          <w:szCs w:val="18"/>
          <w:color w:val="auto"/>
        </w:rPr>
        <w:t>If Ms. Brennan’s employment is terminated for any other reason, including as a result of her death or disability, for cause, or voluntarily by her without good reason, our obligations under the employment agreement cease immediately, and she is only entitled to receive the Brennan Accrued Obligations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Joel Schneider</w:t>
      </w:r>
    </w:p>
    <w:p>
      <w:pPr>
        <w:spacing w:after="0" w:line="121" w:lineRule="exact"/>
        <w:rPr>
          <w:sz w:val="20"/>
          <w:szCs w:val="20"/>
          <w:color w:val="auto"/>
        </w:rPr>
      </w:pPr>
    </w:p>
    <w:p>
      <w:pPr>
        <w:ind w:right="160" w:firstLine="663"/>
        <w:spacing w:after="0" w:line="308" w:lineRule="auto"/>
        <w:rPr>
          <w:sz w:val="20"/>
          <w:szCs w:val="20"/>
          <w:color w:val="auto"/>
        </w:rPr>
      </w:pPr>
      <w:r>
        <w:rPr>
          <w:rFonts w:ascii="Arial" w:cs="Arial" w:eastAsia="Arial" w:hAnsi="Arial"/>
          <w:sz w:val="17"/>
          <w:szCs w:val="17"/>
          <w:color w:val="auto"/>
        </w:rPr>
        <w:t>On January 25, 2019, we entered into an employment agreement with Dr. Schneider, our Chief Operating Officer, which employment agreement amended and restated the terms of his existing agreement (with the exception of the restrictive covenant provisions contained therein).</w:t>
      </w:r>
    </w:p>
    <w:p>
      <w:pPr>
        <w:spacing w:after="0" w:line="146" w:lineRule="exact"/>
        <w:rPr>
          <w:sz w:val="20"/>
          <w:szCs w:val="20"/>
          <w:color w:val="auto"/>
        </w:rPr>
      </w:pPr>
    </w:p>
    <w:p>
      <w:pPr>
        <w:ind w:right="40" w:firstLine="663"/>
        <w:spacing w:after="0" w:line="257" w:lineRule="auto"/>
        <w:rPr>
          <w:sz w:val="20"/>
          <w:szCs w:val="20"/>
          <w:color w:val="auto"/>
        </w:rPr>
      </w:pPr>
      <w:r>
        <w:rPr>
          <w:rFonts w:ascii="Arial" w:cs="Arial" w:eastAsia="Arial" w:hAnsi="Arial"/>
          <w:sz w:val="18"/>
          <w:szCs w:val="18"/>
          <w:color w:val="auto"/>
        </w:rPr>
        <w:t>Pursuant to his employment agreement, Dr. Schneider is being paid an annual base salary of $460,900 for 2022, which base salary will be reviewed by the Board of Directors from time to time and is subject to change in the discretion of the Board of Directors. Dr. Schneider is also eligible to earn an annual performance bonus, with a target bonus amount equal to up to 40% of his base salary, based upon the board’s assessment of his performance and the Company’s attainment of targeted goals as set by the board in its sole discretion. The bonus may be in the form of cash, equity award(s), or a combination of cash and equity.</w:t>
      </w:r>
    </w:p>
    <w:p>
      <w:pPr>
        <w:spacing w:after="0" w:line="188" w:lineRule="exact"/>
        <w:rPr>
          <w:sz w:val="20"/>
          <w:szCs w:val="20"/>
          <w:color w:val="auto"/>
        </w:rPr>
      </w:pPr>
    </w:p>
    <w:p>
      <w:pPr>
        <w:ind w:right="260" w:firstLine="663"/>
        <w:spacing w:after="0" w:line="275" w:lineRule="auto"/>
        <w:rPr>
          <w:sz w:val="20"/>
          <w:szCs w:val="20"/>
          <w:color w:val="auto"/>
        </w:rPr>
      </w:pPr>
      <w:r>
        <w:rPr>
          <w:rFonts w:ascii="Arial" w:cs="Arial" w:eastAsia="Arial" w:hAnsi="Arial"/>
          <w:sz w:val="17"/>
          <w:szCs w:val="17"/>
          <w:color w:val="auto"/>
        </w:rPr>
        <w:t>Dr. Schneider is bound by proprietary rights, non-disclosure, developments, non-competition and non-solicitation obligations pursuant to the restrictive covenants in his existing employment agreement, which provisions remain in full force and effect. Under these restrictive covenants, he has agreed not to compete with us during his employment and for a period of one year after the termination of his employment, not to solicit our employees, consultants, or actual or prospective customers or business relations during his employment and for a period of one year after the termination of his employment, and to protect our confidential and proprietary information indefinitely.</w:t>
      </w:r>
    </w:p>
    <w:p>
      <w:pPr>
        <w:spacing w:after="0" w:line="176" w:lineRule="exact"/>
        <w:rPr>
          <w:sz w:val="20"/>
          <w:szCs w:val="20"/>
          <w:color w:val="auto"/>
        </w:rPr>
      </w:pPr>
    </w:p>
    <w:p>
      <w:pPr>
        <w:ind w:right="60" w:firstLine="663"/>
        <w:spacing w:after="0" w:line="342" w:lineRule="auto"/>
        <w:rPr>
          <w:sz w:val="20"/>
          <w:szCs w:val="20"/>
          <w:color w:val="auto"/>
        </w:rPr>
      </w:pPr>
      <w:r>
        <w:rPr>
          <w:rFonts w:ascii="Arial" w:cs="Arial" w:eastAsia="Arial" w:hAnsi="Arial"/>
          <w:sz w:val="16"/>
          <w:szCs w:val="16"/>
          <w:color w:val="auto"/>
        </w:rPr>
        <w:t>Dr. Schneider’s employment agreement and his employment may be terminated: (1) upon his death or at our election due to his “disability”; (2) at our election, with or without “cause”; and (3) at his election, with or without “good reason” (as such terms are defined in his employment agreement).</w:t>
      </w:r>
    </w:p>
    <w:p>
      <w:pPr>
        <w:spacing w:after="0" w:line="124" w:lineRule="exact"/>
        <w:rPr>
          <w:sz w:val="20"/>
          <w:szCs w:val="20"/>
          <w:color w:val="auto"/>
        </w:rPr>
      </w:pPr>
    </w:p>
    <w:p>
      <w:pPr>
        <w:ind w:firstLine="663"/>
        <w:spacing w:after="0" w:line="269" w:lineRule="auto"/>
        <w:rPr>
          <w:sz w:val="20"/>
          <w:szCs w:val="20"/>
          <w:color w:val="auto"/>
        </w:rPr>
      </w:pPr>
      <w:r>
        <w:rPr>
          <w:rFonts w:ascii="Arial" w:cs="Arial" w:eastAsia="Arial" w:hAnsi="Arial"/>
          <w:sz w:val="17"/>
          <w:szCs w:val="17"/>
          <w:color w:val="auto"/>
        </w:rPr>
        <w:t>In the event of the termination of Dr. Schneider’s employment by us without cause, or by Dr. Schneider for good reason, prior to or more than twelve months following a “change in control” (as defined in his employment agreement), Dr. Morris is entitled to receive his base salary that has accrued and to which he is entitled as of the termination date, to the extent consistent with Company policy, accrued but unused paid time off through and including the termination date, unreimbursed business expenses for which expenses he has timely submitted appropriate documentation, and other amounts or benefits to which he is entitled in accordance with the terms of the benefit plans then-sponsored by us, which we refer to collectively as the Schneider Accrued Obligations. In addition, subject to his execution and nonrevocation of a release of claims in our favor, Dr. Schneider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185" w:lineRule="exact"/>
        <w:rPr>
          <w:sz w:val="20"/>
          <w:szCs w:val="20"/>
          <w:color w:val="auto"/>
        </w:rPr>
      </w:pPr>
    </w:p>
    <w:p>
      <w:pPr>
        <w:ind w:right="20" w:firstLine="663"/>
        <w:spacing w:after="0" w:line="284" w:lineRule="auto"/>
        <w:rPr>
          <w:sz w:val="20"/>
          <w:szCs w:val="20"/>
          <w:color w:val="auto"/>
        </w:rPr>
      </w:pPr>
      <w:r>
        <w:rPr>
          <w:rFonts w:ascii="Arial" w:cs="Arial" w:eastAsia="Arial" w:hAnsi="Arial"/>
          <w:sz w:val="16"/>
          <w:szCs w:val="16"/>
          <w:color w:val="auto"/>
        </w:rPr>
        <w:t>In the event of the termination of Dr. Schneider’s employment by us without cause, or by Dr. Schneider for good reason, within twelve months following a change in control, he is entitled to receive the Morris Accrued Obligations. In addition, subject to his execution and nonrevocation of a release of claims in our favor, he is entitled to (1) continued payment of his base salary,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w:t>
      </w:r>
    </w:p>
    <w:p>
      <w:pPr>
        <w:spacing w:after="0" w:line="2" w:lineRule="exact"/>
        <w:rPr>
          <w:sz w:val="20"/>
          <w:szCs w:val="20"/>
          <w:color w:val="auto"/>
        </w:rPr>
      </w:pPr>
    </w:p>
    <w:p>
      <w:pPr>
        <w:ind w:right="320" w:firstLine="8"/>
        <w:spacing w:after="0" w:line="260"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full vesting acceleration of any then-unvested equity awards that vest based solely based on the passage of time held by Dr. Schneider, such that any such equity awards held by him become fully exercisable or non-forfeitable as of the termination date.</w:t>
      </w:r>
    </w:p>
    <w:p>
      <w:pPr>
        <w:spacing w:after="0" w:line="185" w:lineRule="exact"/>
        <w:rPr>
          <w:sz w:val="20"/>
          <w:szCs w:val="20"/>
          <w:color w:val="auto"/>
        </w:rPr>
      </w:pPr>
    </w:p>
    <w:p>
      <w:pPr>
        <w:ind w:right="200" w:firstLine="663"/>
        <w:spacing w:after="0" w:line="263" w:lineRule="auto"/>
        <w:rPr>
          <w:sz w:val="20"/>
          <w:szCs w:val="20"/>
          <w:color w:val="auto"/>
        </w:rPr>
      </w:pPr>
      <w:r>
        <w:rPr>
          <w:rFonts w:ascii="Arial" w:cs="Arial" w:eastAsia="Arial" w:hAnsi="Arial"/>
          <w:sz w:val="18"/>
          <w:szCs w:val="18"/>
          <w:color w:val="auto"/>
        </w:rPr>
        <w:t>If Dr. Schneider’s employment is terminated for any other reason, including as a result of his death or disability, for cause, or voluntarily by him without good reason, our obligations under the employment agreement cease immediately, and he is only entitled to receive the Schneider Accrued Obligations.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2021 Outstanding Equity Awards at Fiscal Year-End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equity awards held by our Named Executive Officers as of December 31,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Borders>
              <w:bottom w:val="single" w:sz="8" w:color="auto"/>
            </w:tcBorders>
            <w:gridSpan w:val="5"/>
          </w:tcPr>
          <w:p>
            <w:pPr>
              <w:jc w:val="right"/>
              <w:ind w:right="808"/>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1"/>
              </w:rPr>
              <w:t>Number of 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Market value of</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underlying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underlying unexercised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Option expiration</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stock that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shares of stock</w:t>
            </w:r>
          </w:p>
        </w:tc>
        <w:tc>
          <w:tcPr>
            <w:tcW w:w="0" w:type="dxa"/>
            <w:vAlign w:val="bottom"/>
          </w:tcPr>
          <w:p>
            <w:pPr>
              <w:spacing w:after="0"/>
              <w:rPr>
                <w:sz w:val="1"/>
                <w:szCs w:val="1"/>
                <w:color w:val="auto"/>
              </w:rPr>
            </w:pPr>
          </w:p>
        </w:tc>
      </w:tr>
      <w:tr>
        <w:trPr>
          <w:trHeight w:val="148"/>
        </w:trPr>
        <w:tc>
          <w:tcPr>
            <w:tcW w:w="178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options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exercise</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have not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71"/>
        </w:trPr>
        <w:tc>
          <w:tcPr>
            <w:tcW w:w="1780" w:type="dxa"/>
            <w:vAlign w:val="bottom"/>
            <w:gridSpan w:val="2"/>
            <w:vMerge w:val="continue"/>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 exercisable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unexercisable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xml:space="preserve">price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2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date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vested (#)</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 xml:space="preserve">vested ($) </w:t>
            </w:r>
            <w:r>
              <w:rPr>
                <w:rFonts w:ascii="Arial" w:cs="Arial" w:eastAsia="Arial" w:hAnsi="Arial"/>
                <w:sz w:val="12"/>
                <w:szCs w:val="12"/>
                <w:b w:val="1"/>
                <w:bCs w:val="1"/>
                <w:color w:val="auto"/>
                <w:w w:val="90"/>
              </w:rPr>
              <w:t>(10)</w:t>
            </w:r>
          </w:p>
        </w:tc>
        <w:tc>
          <w:tcPr>
            <w:tcW w:w="0" w:type="dxa"/>
            <w:vAlign w:val="bottom"/>
          </w:tcPr>
          <w:p>
            <w:pPr>
              <w:spacing w:after="0"/>
              <w:rPr>
                <w:sz w:val="1"/>
                <w:szCs w:val="1"/>
                <w:color w:val="auto"/>
              </w:rPr>
            </w:pPr>
          </w:p>
        </w:tc>
      </w:tr>
      <w:tr>
        <w:trPr>
          <w:trHeight w:val="155"/>
        </w:trPr>
        <w:tc>
          <w:tcPr>
            <w:tcW w:w="16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Ilan Ganot</w:t>
            </w:r>
          </w:p>
        </w:tc>
        <w:tc>
          <w:tcPr>
            <w:tcW w:w="120" w:type="dxa"/>
            <w:vAlign w:val="bottom"/>
            <w:tcBorders>
              <w:top w:val="single" w:sz="8" w:color="CFF0FC"/>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144,750</w:t>
            </w:r>
          </w:p>
        </w:tc>
        <w:tc>
          <w:tcPr>
            <w:tcW w:w="1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w:t>
            </w:r>
          </w:p>
        </w:tc>
        <w:tc>
          <w:tcPr>
            <w:tcW w:w="1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48,250</w:t>
            </w:r>
          </w:p>
        </w:tc>
        <w:tc>
          <w:tcPr>
            <w:tcW w:w="1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w:t>
            </w: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37.89</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July 25, 2028</w:t>
            </w:r>
          </w:p>
        </w:tc>
        <w:tc>
          <w:tcPr>
            <w:tcW w:w="1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77,500</w:t>
            </w:r>
          </w:p>
        </w:tc>
        <w:tc>
          <w:tcPr>
            <w:tcW w:w="12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1860" w:type="dxa"/>
            <w:vAlign w:val="bottom"/>
          </w:tcPr>
          <w:p>
            <w:pPr>
              <w:jc w:val="right"/>
              <w:spacing w:after="0"/>
              <w:rPr>
                <w:sz w:val="20"/>
                <w:szCs w:val="20"/>
                <w:color w:val="auto"/>
              </w:rPr>
            </w:pPr>
            <w:r>
              <w:rPr>
                <w:rFonts w:ascii="Arial" w:cs="Arial" w:eastAsia="Arial" w:hAnsi="Arial"/>
                <w:sz w:val="14"/>
                <w:szCs w:val="14"/>
                <w:color w:val="auto"/>
              </w:rPr>
              <w:t>77,500</w:t>
            </w:r>
          </w:p>
        </w:tc>
        <w:tc>
          <w:tcPr>
            <w:tcW w:w="10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22.93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January 23, 2029</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35,500</w:t>
            </w:r>
          </w:p>
        </w:tc>
        <w:tc>
          <w:tcPr>
            <w:tcW w:w="1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w:t>
            </w:r>
          </w:p>
        </w:tc>
        <w:tc>
          <w:tcPr>
            <w:tcW w:w="1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106,500</w:t>
            </w:r>
          </w:p>
        </w:tc>
        <w:tc>
          <w:tcPr>
            <w:tcW w:w="10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January 27, 2030</w:t>
            </w: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(5)</w:t>
            </w:r>
          </w:p>
        </w:tc>
        <w:tc>
          <w:tcPr>
            <w:tcW w:w="1860" w:type="dxa"/>
            <w:vAlign w:val="bottom"/>
          </w:tcPr>
          <w:p>
            <w:pPr>
              <w:jc w:val="right"/>
              <w:spacing w:after="0"/>
              <w:rPr>
                <w:sz w:val="20"/>
                <w:szCs w:val="20"/>
                <w:color w:val="auto"/>
              </w:rPr>
            </w:pPr>
            <w:r>
              <w:rPr>
                <w:rFonts w:ascii="Arial" w:cs="Arial" w:eastAsia="Arial" w:hAnsi="Arial"/>
                <w:sz w:val="14"/>
                <w:szCs w:val="14"/>
                <w:color w:val="auto"/>
              </w:rPr>
              <w:t>438,000</w:t>
            </w:r>
          </w:p>
        </w:tc>
        <w:tc>
          <w:tcPr>
            <w:tcW w:w="10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(5)</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6.80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January 25, 2031</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8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Erin Powers Brennan</w:t>
            </w:r>
          </w:p>
        </w:tc>
        <w:tc>
          <w:tcPr>
            <w:tcW w:w="15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(6)</w:t>
            </w:r>
          </w:p>
        </w:tc>
        <w:tc>
          <w:tcPr>
            <w:tcW w:w="1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325,000</w:t>
            </w:r>
          </w:p>
        </w:tc>
        <w:tc>
          <w:tcPr>
            <w:tcW w:w="10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w:t>
            </w:r>
          </w:p>
        </w:tc>
        <w:tc>
          <w:tcPr>
            <w:tcW w:w="7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8.52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March 1, 2031</w:t>
            </w: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80" w:type="dxa"/>
            <w:vAlign w:val="bottom"/>
            <w:gridSpan w:val="2"/>
          </w:tcPr>
          <w:p>
            <w:pPr>
              <w:spacing w:after="0" w:line="155" w:lineRule="exact"/>
              <w:rPr>
                <w:sz w:val="20"/>
                <w:szCs w:val="20"/>
                <w:color w:val="auto"/>
              </w:rPr>
            </w:pPr>
            <w:r>
              <w:rPr>
                <w:rFonts w:ascii="Arial" w:cs="Arial" w:eastAsia="Arial" w:hAnsi="Arial"/>
                <w:sz w:val="14"/>
                <w:szCs w:val="14"/>
                <w:color w:val="auto"/>
              </w:rPr>
              <w:t>Joel Schneider, Ph.D</w:t>
            </w:r>
          </w:p>
        </w:tc>
        <w:tc>
          <w:tcPr>
            <w:tcW w:w="1520" w:type="dxa"/>
            <w:vAlign w:val="bottom"/>
          </w:tcPr>
          <w:p>
            <w:pPr>
              <w:jc w:val="right"/>
              <w:spacing w:after="0" w:line="155" w:lineRule="exact"/>
              <w:rPr>
                <w:sz w:val="20"/>
                <w:szCs w:val="20"/>
                <w:color w:val="auto"/>
              </w:rPr>
            </w:pPr>
            <w:r>
              <w:rPr>
                <w:rFonts w:ascii="Arial" w:cs="Arial" w:eastAsia="Arial" w:hAnsi="Arial"/>
                <w:sz w:val="14"/>
                <w:szCs w:val="14"/>
                <w:color w:val="auto"/>
              </w:rPr>
              <w:t>79,257</w:t>
            </w:r>
          </w:p>
        </w:tc>
        <w:tc>
          <w:tcPr>
            <w:tcW w:w="120" w:type="dxa"/>
            <w:vAlign w:val="bottom"/>
          </w:tcPr>
          <w:p>
            <w:pPr>
              <w:spacing w:after="0"/>
              <w:rPr>
                <w:sz w:val="13"/>
                <w:szCs w:val="13"/>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(3)</w:t>
            </w:r>
          </w:p>
        </w:tc>
        <w:tc>
          <w:tcPr>
            <w:tcW w:w="1860" w:type="dxa"/>
            <w:vAlign w:val="bottom"/>
          </w:tcPr>
          <w:p>
            <w:pPr>
              <w:jc w:val="right"/>
              <w:spacing w:after="0" w:line="155" w:lineRule="exact"/>
              <w:rPr>
                <w:sz w:val="20"/>
                <w:szCs w:val="20"/>
                <w:color w:val="auto"/>
              </w:rPr>
            </w:pPr>
            <w:r>
              <w:rPr>
                <w:rFonts w:ascii="Arial" w:cs="Arial" w:eastAsia="Arial" w:hAnsi="Arial"/>
                <w:sz w:val="14"/>
                <w:szCs w:val="14"/>
                <w:color w:val="auto"/>
              </w:rPr>
              <w:t>26,420</w:t>
            </w:r>
          </w:p>
        </w:tc>
        <w:tc>
          <w:tcPr>
            <w:tcW w:w="10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26.23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February 14, 2028</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w:t>
            </w:r>
          </w:p>
        </w:tc>
        <w:tc>
          <w:tcPr>
            <w:tcW w:w="1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22.93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January 23, 2029</w:t>
            </w: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11,750</w:t>
            </w:r>
          </w:p>
        </w:tc>
        <w:tc>
          <w:tcPr>
            <w:tcW w:w="12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(4)</w:t>
            </w:r>
          </w:p>
        </w:tc>
        <w:tc>
          <w:tcPr>
            <w:tcW w:w="1860" w:type="dxa"/>
            <w:vAlign w:val="bottom"/>
          </w:tcPr>
          <w:p>
            <w:pPr>
              <w:jc w:val="right"/>
              <w:spacing w:after="0"/>
              <w:rPr>
                <w:sz w:val="20"/>
                <w:szCs w:val="20"/>
                <w:color w:val="auto"/>
              </w:rPr>
            </w:pPr>
            <w:r>
              <w:rPr>
                <w:rFonts w:ascii="Arial" w:cs="Arial" w:eastAsia="Arial" w:hAnsi="Arial"/>
                <w:sz w:val="14"/>
                <w:szCs w:val="14"/>
                <w:color w:val="auto"/>
              </w:rPr>
              <w:t>35,250</w:t>
            </w:r>
          </w:p>
        </w:tc>
        <w:tc>
          <w:tcPr>
            <w:tcW w:w="10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January 27, 2030</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(5)</w:t>
            </w:r>
          </w:p>
        </w:tc>
        <w:tc>
          <w:tcPr>
            <w:tcW w:w="1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175,000</w:t>
            </w:r>
          </w:p>
        </w:tc>
        <w:tc>
          <w:tcPr>
            <w:tcW w:w="10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6.80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January 25, 2031</w:t>
            </w: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(7)</w:t>
            </w:r>
          </w:p>
        </w:tc>
        <w:tc>
          <w:tcPr>
            <w:tcW w:w="186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(7)</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March 2, 2031</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37,500</w:t>
            </w:r>
          </w:p>
        </w:tc>
        <w:tc>
          <w:tcPr>
            <w:tcW w:w="100" w:type="dxa"/>
            <w:vAlign w:val="bottom"/>
            <w:shd w:val="clear" w:color="auto" w:fill="CFF0FC"/>
          </w:tcPr>
          <w:p>
            <w:pPr>
              <w:spacing w:after="0"/>
              <w:rPr>
                <w:sz w:val="14"/>
                <w:szCs w:val="14"/>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65,625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37,500</w:t>
            </w:r>
          </w:p>
        </w:tc>
        <w:tc>
          <w:tcPr>
            <w:tcW w:w="10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2"/>
                <w:szCs w:val="12"/>
                <w:color w:val="auto"/>
              </w:rPr>
              <w:t>(9)</w:t>
            </w:r>
          </w:p>
        </w:tc>
        <w:tc>
          <w:tcPr>
            <w:tcW w:w="1100" w:type="dxa"/>
            <w:vAlign w:val="bottom"/>
          </w:tcPr>
          <w:p>
            <w:pPr>
              <w:jc w:val="right"/>
              <w:spacing w:after="0"/>
              <w:rPr>
                <w:sz w:val="20"/>
                <w:szCs w:val="20"/>
                <w:color w:val="auto"/>
              </w:rPr>
            </w:pPr>
            <w:r>
              <w:rPr>
                <w:rFonts w:ascii="Arial" w:cs="Arial" w:eastAsia="Arial" w:hAnsi="Arial"/>
                <w:sz w:val="14"/>
                <w:szCs w:val="14"/>
                <w:color w:val="auto"/>
              </w:rPr>
              <w:t>65,625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right="40" w:hanging="532"/>
        <w:spacing w:after="0" w:line="258"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option was granted on July 25, 2018 under the 2018 Plan and is subject to vesting in equal annual installments over four years from the vesting start date through and including July 25, 2022.</w:t>
      </w:r>
    </w:p>
    <w:p>
      <w:pPr>
        <w:spacing w:after="0" w:line="1" w:lineRule="exact"/>
        <w:rPr>
          <w:rFonts w:ascii="Arial" w:cs="Arial" w:eastAsia="Arial" w:hAnsi="Arial"/>
          <w:sz w:val="18"/>
          <w:szCs w:val="18"/>
          <w:color w:val="auto"/>
        </w:rPr>
      </w:pPr>
    </w:p>
    <w:p>
      <w:pPr>
        <w:ind w:left="540" w:right="340" w:hanging="532"/>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option was granted on January 23, 2019 under the 2018 Plan and is subject to vesting in equal annual installments over four years from the vesting start date through and including January 23, 2023.</w:t>
      </w:r>
    </w:p>
    <w:p>
      <w:pPr>
        <w:ind w:left="540" w:right="240" w:hanging="532"/>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option was granted on February 14, 2018 under the 2018 Plan and is subject to vesting in equal annual installments over four years from the vesting start date through and including February 14, 2022.</w:t>
      </w:r>
    </w:p>
    <w:p>
      <w:pPr>
        <w:ind w:left="540" w:right="340" w:hanging="532"/>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option was granted on January 27, 2020 under the 2018 Plan and is subject to vesting in equal annual installments over four years from the vesting start date through and including January 27, 2024.</w:t>
      </w:r>
    </w:p>
    <w:p>
      <w:pPr>
        <w:ind w:left="540" w:right="340" w:hanging="532"/>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option was granted on January 25, 2021 under the 2020 Plan and is subject to vesting in equal annual installments over four years from the vesting start date through and including January 27, 2025.</w:t>
      </w:r>
    </w:p>
    <w:p>
      <w:pPr>
        <w:ind w:left="540" w:right="500" w:hanging="532"/>
        <w:spacing w:after="0" w:line="265"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This option was granted on March 1, 2021, when Ms. Brennan was hired as Chief Legal Officer. It was an inducement grant and is subject to vesting in equal annual installments over four years from the vesting start date through and including March 1, 2025.</w:t>
      </w:r>
    </w:p>
    <w:p>
      <w:pPr>
        <w:ind w:left="540" w:right="360" w:hanging="532"/>
        <w:spacing w:after="0" w:line="265"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This option was granted on March 2, 2021, when Dr. Schneider was promoted to Chief Operating Officer, under the 2020 Plan and is subject to vesting in equal annual installments over four years from the vesting start date through and including March 2, 2025.</w:t>
      </w:r>
    </w:p>
    <w:p>
      <w:pPr>
        <w:ind w:left="540" w:hanging="53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restricted stock units granted under our 2020 Plan. The grant was made on March 11, 2020 and vests on March 11, 2022.</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Consists of restricted stock units granted under our 2020. The grant was made on June 16, 2020 and will vest on March 11, 2022.</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the $1.75 closing sale price of our common stock on December 31, 2021 as reported by the Nasdaq Global Select Market.</w:t>
      </w:r>
    </w:p>
    <w:p>
      <w:pPr>
        <w:spacing w:after="0" w:line="251"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On January 27, 2022, we granted a stock option to Mr. Ganot, Ms. Brennan and Dr. Schneider for the right to buy 466,000, 127,000 and 180,000 shares of our common stock, respectively. The options have an exercise price of $1.13 per share, vest in four equal annual installments beginning on January 27, 2023 and expire on January 27, 2032. On January 27, 2022, we granted RSUs to Mr. Ganot, Ms. Brennan and Dr. Schneider for the right to common shares of 233,000, 63,000 and 90,000 shares of our common stock, respectively. These RSUs vest in four equal annual installments beginning on January 27, 2023.</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3" w:name="page124"/>
    <w:bookmarkEnd w:id="123"/>
    <w:p>
      <w:pPr>
        <w:ind w:right="220" w:firstLine="546"/>
        <w:spacing w:after="0" w:line="277" w:lineRule="auto"/>
        <w:rPr>
          <w:sz w:val="20"/>
          <w:szCs w:val="20"/>
          <w:color w:val="auto"/>
        </w:rPr>
      </w:pPr>
      <w:r>
        <w:rPr>
          <w:rFonts w:ascii="Arial" w:cs="Arial" w:eastAsia="Arial" w:hAnsi="Arial"/>
          <w:sz w:val="18"/>
          <w:szCs w:val="18"/>
          <w:color w:val="auto"/>
        </w:rPr>
        <w:t>On January 27, 2022, we also granted RSUs to Ms. Brennan for the right to common shares of 81,250 of our common stock. These RSUs vest on the second anniversary of the grant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Biosciences, LLC Amended and Restated Equity Incentive Plan</w:t>
      </w:r>
    </w:p>
    <w:p>
      <w:pPr>
        <w:spacing w:after="0" w:line="11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Prior to the closing of our initial public offering, Solid Biosciences, LLC maintained its Amended and Restated Equity Incentive Plan, or the Existing Plan, under which Solid Biosciences, LLC granted Series D Common Units to its employees, consultants and other service providers. The Existing Plan was frozen in connection with our initial public offering. No further awards will be granted under the Existing Plan, but awards granted prior to the freeze date will continue in accordance with their terms and the terms of the Existing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Omnibus Incentive Plan</w:t>
      </w:r>
    </w:p>
    <w:p>
      <w:pPr>
        <w:spacing w:after="0" w:line="117" w:lineRule="exact"/>
        <w:rPr>
          <w:sz w:val="20"/>
          <w:szCs w:val="20"/>
          <w:color w:val="auto"/>
        </w:rPr>
      </w:pPr>
    </w:p>
    <w:p>
      <w:pPr>
        <w:jc w:val="both"/>
        <w:ind w:right="280" w:firstLine="546"/>
        <w:spacing w:after="0" w:line="263" w:lineRule="auto"/>
        <w:rPr>
          <w:sz w:val="20"/>
          <w:szCs w:val="20"/>
          <w:color w:val="auto"/>
        </w:rPr>
      </w:pPr>
      <w:r>
        <w:rPr>
          <w:rFonts w:ascii="Arial" w:cs="Arial" w:eastAsia="Arial" w:hAnsi="Arial"/>
          <w:sz w:val="18"/>
          <w:szCs w:val="18"/>
          <w:color w:val="auto"/>
        </w:rPr>
        <w:t>Prior to our initial public offering, the board of managers of Solid Biosciences, LLC adopted the Solid Biosciences Inc. 2018 Omnibus Incentive Plan, or 2018 Plan, contingent upon the consummation of our initial public offering. The unitholders of Solid Biosciences, LLC approved the 2018 Plan contingent upon the consummation of our initial public offering.</w:t>
      </w:r>
    </w:p>
    <w:p>
      <w:pPr>
        <w:spacing w:after="0" w:line="76"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As of the effective date of the 2020 Plan, no further awards will be made under the 2018 Plan. Any options or awards outstanding under the 2018 Plan remain outstanding and effective and are governed by their existing terms.</w:t>
      </w:r>
    </w:p>
    <w:p>
      <w:pPr>
        <w:spacing w:after="0" w:line="170"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The material terms of the 2018 Plan are summarized below. The following summary is qualified in its entirety by reference to the complete text of the 2018 Plan, a copy of which was filed as Exhibit 99.1 to our registration statement on Form S-8 filed with the SEC on January 29, 2018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of the plan</w:t>
      </w:r>
    </w:p>
    <w:p>
      <w:pPr>
        <w:spacing w:after="0" w:line="117" w:lineRule="exact"/>
        <w:rPr>
          <w:sz w:val="20"/>
          <w:szCs w:val="20"/>
          <w:color w:val="auto"/>
        </w:rPr>
      </w:pPr>
    </w:p>
    <w:p>
      <w:pPr>
        <w:ind w:right="340" w:firstLine="546"/>
        <w:spacing w:after="0" w:line="286" w:lineRule="auto"/>
        <w:rPr>
          <w:sz w:val="20"/>
          <w:szCs w:val="20"/>
          <w:color w:val="auto"/>
        </w:rPr>
      </w:pPr>
      <w:r>
        <w:rPr>
          <w:rFonts w:ascii="Arial" w:cs="Arial" w:eastAsia="Arial" w:hAnsi="Arial"/>
          <w:sz w:val="17"/>
          <w:szCs w:val="17"/>
          <w:color w:val="auto"/>
        </w:rPr>
        <w:t>The board of managers of Solid Biosciences, LLC appointed the compensation committee of our Board of Directors as the committee under the 2018 Plan with the authority to administer the 2018 Plan. We refer to our Board of Directors or compensation committee, as applicable, as the Administrator. The Administrator is authorized to grant awards to eligible employees, consultants and non-employee directors.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awards</w:t>
      </w:r>
    </w:p>
    <w:p>
      <w:pPr>
        <w:spacing w:after="0" w:line="117" w:lineRule="exact"/>
        <w:rPr>
          <w:sz w:val="20"/>
          <w:szCs w:val="20"/>
          <w:color w:val="auto"/>
        </w:rPr>
      </w:pPr>
    </w:p>
    <w:p>
      <w:pPr>
        <w:ind w:right="40" w:firstLine="546"/>
        <w:spacing w:after="0" w:line="288"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2018 Plan authorized the Administrator to grant incentive stock options, or ISOs, to eligible employees and non-qualified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to purchase shares to employees, consultants, prospective employees, prospective consultants and non-employee directors. The Administrator determined the number of shares of common stock subject to each option, the term of each option, the exercise price (which may not be less than the fair market value of the shares of common stock at the time of grant, or 110% of fair market value in the case of ISOs granted to 10% stockholders), the vesting schedule and the other terms and conditions of each option. Options are exercisable at such times and subject to such terms as were determined by the Administrator at the time of grant. The maximum term of options under the 2018 Plan is ten years (or five years in the case of ISOs granted to 10% stockholders). Upon the exercise of an option, the participant must make payment of the full exercise price (a) in cash or by check, bank draft or money order; (b) solely to the extent permitted by law and authorized by the Administrator, through the delivery of irrevocable instructions to a broker, reasonably acceptable to us, to promptly deliver to us an amount equal to the aggregate exercise price; or (c) on such other terms and conditions as may be acceptable to the Administrator (including, without limitation, the relinquishment of options or by payment in full or in part in the form of shares of common stock).</w:t>
      </w:r>
    </w:p>
    <w:p>
      <w:pPr>
        <w:spacing w:after="0" w:line="168"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The 2018 Plan authorized the Administrator to grant restricted stock. Any recipients of restricted stock were required to enter into</w:t>
      </w:r>
      <w:r>
        <w:rPr>
          <w:rFonts w:ascii="Arial" w:cs="Arial" w:eastAsia="Arial" w:hAnsi="Arial"/>
          <w:sz w:val="17"/>
          <w:szCs w:val="17"/>
          <w:i w:val="1"/>
          <w:iCs w:val="1"/>
          <w:color w:val="auto"/>
        </w:rPr>
        <w:t xml:space="preserve"> </w:t>
      </w:r>
      <w:r>
        <w:rPr>
          <w:rFonts w:ascii="Arial" w:cs="Arial" w:eastAsia="Arial" w:hAnsi="Arial"/>
          <w:sz w:val="17"/>
          <w:szCs w:val="17"/>
          <w:color w:val="auto"/>
        </w:rPr>
        <w:t>an agreement with us subjecting the restricted stock to transfer and other restrictions and providing the criteria or dates on which such awards vest and such restrictions lapse. The restrictions on restricted stock may lapse and the awards may vest over time, based on performance criteria or other factors, as determined by the Administrator at the time of grant. Except as otherwise determined by the Administrator, a holder of restricted stock has all of the attendant rights of a stockholder including the right to receive dividends, if any, subject to and conditioned upon vesting and restrictions lapsing on the underlying restricted stock, the right to vote shares and, subject to and conditioned upon the vesting and restrictions lapsing for the underlying shares, the right to tender such shares. However, the Administrator may in its discretion provide at the time of grant that the right to receive dividends on restricted stock will not be subject to the vesting or lapsing of the restrictions on the restricted stock.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4" w:name="page125"/>
    <w:bookmarkEnd w:id="124"/>
    <w:p>
      <w:pPr>
        <w:ind w:firstLine="546"/>
        <w:spacing w:after="0" w:line="289" w:lineRule="auto"/>
        <w:rPr>
          <w:sz w:val="20"/>
          <w:szCs w:val="20"/>
          <w:color w:val="auto"/>
        </w:rPr>
      </w:pPr>
      <w:r>
        <w:rPr>
          <w:rFonts w:ascii="Arial" w:cs="Arial" w:eastAsia="Arial" w:hAnsi="Arial"/>
          <w:sz w:val="16"/>
          <w:szCs w:val="16"/>
          <w:i w:val="1"/>
          <w:iCs w:val="1"/>
          <w:color w:val="auto"/>
        </w:rPr>
        <w:t>Other stock-based awards</w:t>
      </w:r>
      <w:r>
        <w:rPr>
          <w:rFonts w:ascii="Arial" w:cs="Arial" w:eastAsia="Arial" w:hAnsi="Arial"/>
          <w:sz w:val="16"/>
          <w:szCs w:val="16"/>
          <w:color w:val="auto"/>
        </w:rPr>
        <w:t>. The 2018 Plan authorized the Administrator to grant awards of shares of common stock and other awards that are valued</w:t>
      </w:r>
      <w:r>
        <w:rPr>
          <w:rFonts w:ascii="Arial" w:cs="Arial" w:eastAsia="Arial" w:hAnsi="Arial"/>
          <w:sz w:val="16"/>
          <w:szCs w:val="16"/>
          <w:i w:val="1"/>
          <w:iCs w:val="1"/>
          <w:color w:val="auto"/>
        </w:rPr>
        <w:t xml:space="preserve"> </w:t>
      </w:r>
      <w:r>
        <w:rPr>
          <w:rFonts w:ascii="Arial" w:cs="Arial" w:eastAsia="Arial" w:hAnsi="Arial"/>
          <w:sz w:val="16"/>
          <w:szCs w:val="16"/>
          <w:color w:val="auto"/>
        </w:rPr>
        <w:t>in whole or in part by reference to, or are payable in or otherwise based on, shares of common stock, including, but not limited to, shares of common stock awarded purely as a bonus and not subject to any restrictions or conditions; shares of common stock in payment of the amounts due under an incentive or performance plan sponsored or maintained by us or an affiliate; stock appreciation rights; stock equivalent units; restricted stock units; performance awards entitling participants to receive a number of shares of common stock (or cash in an equivalent value) or a fixed dollar amount, payable in cash, stock or a combination of both, with respect to a designated performance period; or awards valued by reference to book value of our shares of common stock. In general, other stock-based awards that are denominated in shares of common stock include the right to receive dividends, if any, subject to and conditioned upon vesting and restrictions lapsing on the underlying award, but the Administrator may in its discretion provide at the time of grant that the right to receive dividends on a stock-denominated award will not be subject to the vesting or lapsing of the restrictions on the performance award.</w:t>
      </w:r>
    </w:p>
    <w:p>
      <w:pPr>
        <w:spacing w:after="0" w:line="166"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i w:val="1"/>
          <w:iCs w:val="1"/>
          <w:color w:val="auto"/>
        </w:rPr>
        <w:t>Performance-based cash awards</w:t>
      </w:r>
      <w:r>
        <w:rPr>
          <w:rFonts w:ascii="Arial" w:cs="Arial" w:eastAsia="Arial" w:hAnsi="Arial"/>
          <w:sz w:val="18"/>
          <w:szCs w:val="18"/>
          <w:color w:val="auto"/>
        </w:rPr>
        <w:t>. The 2018 Plan authorized the Administrator to grant cash awards that are payable or otherwise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attainment of pre-established performance goals during a performance period. Any such performance goals are based on the attainment of a certain target level of, or a specified increase in (or decrease where noted), criteria selected by the Administrator.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transactions; Change in control</w:t>
      </w:r>
    </w:p>
    <w:p>
      <w:pPr>
        <w:spacing w:after="0" w:line="117" w:lineRule="exact"/>
        <w:rPr>
          <w:sz w:val="20"/>
          <w:szCs w:val="20"/>
          <w:color w:val="auto"/>
        </w:rPr>
      </w:pPr>
    </w:p>
    <w:p>
      <w:pPr>
        <w:ind w:right="160" w:firstLine="546"/>
        <w:spacing w:after="0" w:line="254" w:lineRule="auto"/>
        <w:rPr>
          <w:sz w:val="20"/>
          <w:szCs w:val="20"/>
          <w:color w:val="auto"/>
        </w:rPr>
      </w:pPr>
      <w:r>
        <w:rPr>
          <w:rFonts w:ascii="Arial" w:cs="Arial" w:eastAsia="Arial" w:hAnsi="Arial"/>
          <w:sz w:val="18"/>
          <w:szCs w:val="18"/>
          <w:color w:val="auto"/>
        </w:rPr>
        <w:t>In the event of a change in control, as defined in the 2018 Plan, except as otherwise provided by the Administrator, unvested awards will not vest. Instead, the Administrator may, in its sole discretion, provide that outstanding awards will be: assumed and continued; purchased based on the price per share paid in the change in control transaction (less, in the case of options and stock appreciation rights, or SARs, the exercise price), as adjusted by the Administrator for any contingent purchase price, escrow obligations, indemnification obligations or other adjustments to the purchase price; and/or in the case of stock options or other stock-based appreciation awards where the change in control price is less than the applicable exercise price, cancelled. However, the Administrator may in its sole discretion provide for the acceleration of vesting and lapse of restrictions of an award at any time including in connection with a change in control.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awards</w:t>
      </w:r>
    </w:p>
    <w:p>
      <w:pPr>
        <w:spacing w:after="0" w:line="117" w:lineRule="exact"/>
        <w:rPr>
          <w:sz w:val="20"/>
          <w:szCs w:val="20"/>
          <w:color w:val="auto"/>
        </w:rPr>
      </w:pPr>
    </w:p>
    <w:p>
      <w:pPr>
        <w:ind w:right="240" w:firstLine="546"/>
        <w:spacing w:after="0" w:line="263" w:lineRule="auto"/>
        <w:rPr>
          <w:sz w:val="20"/>
          <w:szCs w:val="20"/>
          <w:color w:val="auto"/>
        </w:rPr>
      </w:pPr>
      <w:r>
        <w:rPr>
          <w:rFonts w:ascii="Arial" w:cs="Arial" w:eastAsia="Arial" w:hAnsi="Arial"/>
          <w:sz w:val="18"/>
          <w:szCs w:val="18"/>
          <w:color w:val="auto"/>
        </w:rPr>
        <w:t>Except as the Administrator may permit, at the time of grant or thereafter, awards granted under the 2018 Plan are generally not transferable by a participant other than by will or the laws of descent and distribution. Shares of common stock acquired by a permissible transferee will continue to be subject to the terms of the 2018 Plan and the applicable award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Subject to the rules referred to in the balance of this paragraph, our Board of Directors or the Administrator (to the extent permitted by law) may at any time amend, in whole or in part, any or all of the provisions of the 2018 Plan, or suspend or terminate it entirely, retroactively or otherwise. Except as required to comply with applicable law, no such amendment, suspension or termination may reduce the rights of a participant with respect to awards previously granted without the consent of such participant. In addition, without the approval of stockholders, no amendment may be made that would: increase the aggregate number of shares of common stock that may be issued under the 2018 Plan; increase the maximum individual participant share limitations for a fiscal year or year of a performance period; change the classification of individuals eligible to receive awards under the 2018 Plan; extend the maximum term of any option; reduce the exercise price of any option or SAR or cancel any outstanding “in-the-money” option or SAR in exchange for cash; substitute any option or SAR in exchange for an option or SAR (or similar other award) with a lower exercise price; alter the performance goals; or require stockholder approval in order for the 2018 Plan to continue to comply with Section 162(m) or Section 422 of the Internal Revenue Code of 1986, as amended, or the Code.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of shares</w:t>
      </w:r>
    </w:p>
    <w:p>
      <w:pPr>
        <w:spacing w:after="0" w:line="117"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On January 29, 2018, we filed a registration statement on Form S-8 under the Securities Act of 1933, as amended, or the Securities Act, to register the full number of shares of common stock available for issuance under the 2018 Plan.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right="280" w:firstLine="802"/>
        <w:spacing w:after="0" w:line="277" w:lineRule="auto"/>
        <w:rPr>
          <w:sz w:val="20"/>
          <w:szCs w:val="20"/>
          <w:color w:val="auto"/>
        </w:rPr>
      </w:pPr>
      <w:r>
        <w:rPr>
          <w:rFonts w:ascii="Arial" w:cs="Arial" w:eastAsia="Arial" w:hAnsi="Arial"/>
          <w:sz w:val="18"/>
          <w:szCs w:val="18"/>
          <w:color w:val="auto"/>
        </w:rPr>
        <w:t>Our 2020 Equity Incentive Plan, or the 2020 Plan, which became effective on June 16, 2020, was adopted by our Board of Directors in April 2020 and approved by our stockholders approved in June 2020.</w:t>
      </w:r>
    </w:p>
    <w:p>
      <w:pPr>
        <w:spacing w:after="0" w:line="62" w:lineRule="exact"/>
        <w:rPr>
          <w:sz w:val="20"/>
          <w:szCs w:val="20"/>
          <w:color w:val="auto"/>
        </w:rPr>
      </w:pPr>
    </w:p>
    <w:p>
      <w:pPr>
        <w:ind w:right="80" w:firstLine="802"/>
        <w:spacing w:after="0" w:line="308" w:lineRule="auto"/>
        <w:rPr>
          <w:sz w:val="20"/>
          <w:szCs w:val="20"/>
          <w:color w:val="auto"/>
        </w:rPr>
      </w:pPr>
      <w:r>
        <w:rPr>
          <w:rFonts w:ascii="Arial" w:cs="Arial" w:eastAsia="Arial" w:hAnsi="Arial"/>
          <w:sz w:val="17"/>
          <w:szCs w:val="17"/>
          <w:color w:val="auto"/>
        </w:rPr>
        <w:t>The material terms of the 2020 Plan are summarized below. The following summary is qualified in its entirety by reference to the complete text of the 2020 Plan, a copy of which is filed as Exhibit 10.26 to this Annual Report on Form 10-K and is incorporated herein by reference.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Awards; Shares Available for Awards</w:t>
      </w:r>
    </w:p>
    <w:p>
      <w:pPr>
        <w:spacing w:after="0" w:line="225" w:lineRule="exact"/>
        <w:rPr>
          <w:sz w:val="20"/>
          <w:szCs w:val="20"/>
          <w:color w:val="auto"/>
        </w:rPr>
      </w:pPr>
    </w:p>
    <w:p>
      <w:pPr>
        <w:ind w:right="180" w:firstLine="802"/>
        <w:spacing w:after="0" w:line="342" w:lineRule="auto"/>
        <w:rPr>
          <w:sz w:val="20"/>
          <w:szCs w:val="20"/>
          <w:color w:val="auto"/>
        </w:rPr>
      </w:pPr>
      <w:r>
        <w:rPr>
          <w:rFonts w:ascii="Arial" w:cs="Arial" w:eastAsia="Arial" w:hAnsi="Arial"/>
          <w:sz w:val="16"/>
          <w:szCs w:val="16"/>
          <w:color w:val="auto"/>
        </w:rPr>
        <w:t>The 2020 Plan provides for the grant of incentive stock options intended to qualify under Section 422 of the Code, nonstatutory stock options, SARs, restricted stock, restricted stock units, other stock-based awards and cash awards as described below, which we collectively refer to as awards.</w:t>
      </w:r>
    </w:p>
    <w:p>
      <w:pPr>
        <w:spacing w:after="0" w:line="124" w:lineRule="exact"/>
        <w:rPr>
          <w:sz w:val="20"/>
          <w:szCs w:val="20"/>
          <w:color w:val="auto"/>
        </w:rPr>
      </w:pPr>
    </w:p>
    <w:p>
      <w:pPr>
        <w:ind w:firstLine="802"/>
        <w:spacing w:after="0" w:line="291" w:lineRule="auto"/>
        <w:rPr>
          <w:sz w:val="20"/>
          <w:szCs w:val="20"/>
          <w:color w:val="auto"/>
        </w:rPr>
      </w:pPr>
      <w:r>
        <w:rPr>
          <w:rFonts w:ascii="Arial" w:cs="Arial" w:eastAsia="Arial" w:hAnsi="Arial"/>
          <w:sz w:val="16"/>
          <w:szCs w:val="16"/>
          <w:color w:val="auto"/>
        </w:rPr>
        <w:t>Subject to adjustment in the event of stock splits, stock dividends or similar events, awards may be made under the 2020 Plan for up to the sum of 3,000,000 shares of our common stock plus such additional number of shares of our common stock (up to 4,879,025 shares) as is equal to (x) the number of shares of our common stock reserved for issuance under the 2018 Plan that remained available for grant under the 2018 Plan immediately prior to the date that the 2020 Plan was approved by our stockholders and (y) the number of shares of common stock subject to awards granted under the 2018 Plan, which awards expire, terminate or are otherwise surrendered, cancelled or forfeited or repurchased by us pursuant to a contractual repurchase right. On June 16, 2021, our stockholders approved an amendment to the 2020 Plan to reserve an additional 7,000,000 shares of common stock for issuance under the 2020 Plan. At December 31, 2021, 8,557,152 shares remained available for future issuance under the 2020 Plan.</w:t>
      </w:r>
    </w:p>
    <w:p>
      <w:pPr>
        <w:spacing w:after="0" w:line="166" w:lineRule="exact"/>
        <w:rPr>
          <w:sz w:val="20"/>
          <w:szCs w:val="20"/>
          <w:color w:val="auto"/>
        </w:rPr>
      </w:pPr>
    </w:p>
    <w:p>
      <w:pPr>
        <w:ind w:right="20" w:firstLine="802"/>
        <w:spacing w:after="0" w:line="273" w:lineRule="auto"/>
        <w:rPr>
          <w:sz w:val="20"/>
          <w:szCs w:val="20"/>
          <w:color w:val="auto"/>
        </w:rPr>
      </w:pPr>
      <w:r>
        <w:rPr>
          <w:rFonts w:ascii="Arial" w:cs="Arial" w:eastAsia="Arial" w:hAnsi="Arial"/>
          <w:sz w:val="17"/>
          <w:szCs w:val="17"/>
          <w:color w:val="auto"/>
        </w:rPr>
        <w:t>The 2020 Plan provides that the maximum amount of cash and equity compensation (calculated based on grant date fair value for financial reporting purposes) granted to any individual non-employee director in his or her capacity as a non-employee director in any calendar year may not exceed $500,000 in the case of an incumbent non-employee director or $1,000,000 in the case of the first year of service of a non-employee director. Exceptions to this limitation may only be made by our board, in its discretion, in extraordinary circumstances, provided that the non-employee director receiving the additional compensation does not participate in the decision to award such compensation. Cash and awards granted under the 2020 Plan to non-employee directors in their capacity as our consultants or advisors are not subject to this limitation.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Descriptions of Awards</w:t>
      </w:r>
    </w:p>
    <w:p>
      <w:pPr>
        <w:spacing w:after="0" w:line="225" w:lineRule="exact"/>
        <w:rPr>
          <w:sz w:val="20"/>
          <w:szCs w:val="20"/>
          <w:color w:val="auto"/>
        </w:rPr>
      </w:pPr>
    </w:p>
    <w:p>
      <w:pPr>
        <w:ind w:right="200" w:firstLine="802"/>
        <w:spacing w:after="0" w:line="287"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Optionees receive the right to purchase a specified number of shares of common stock at a specified exercise price and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other terms and conditions that are specified in connection with the option grant. An option that is not intended to be an “incentive stock option” is a “nonstatutory stock option”. Options may not be granted at an exercise price that is less than 100% of the fair market value of our common stock on</w:t>
      </w:r>
    </w:p>
    <w:p>
      <w:pPr>
        <w:spacing w:after="0" w:line="2"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date of grant. Under the terms of the 2020 Plan, options may not be granted for a term in excess of ten years. The 2020 Plan permits participants to pay the exercise price of options using one or more of the following manners of payment: (i) payment by cash, by check, (ii) except as may otherwise</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be provided in the applicable option agreement or approved by our board, in connection with a “cashless exercise” through a broker, (iii) to the extent provided in the applicable option agreement or approved by our board, and subject to certain conditions, by delivery of shares of common stock to us owned by the participant valued at their fair market value, (iv) to the extent provided in an applicable nonstatutory stock option agreement or approved by our board, by delivery of a notice of “net exercise” as a result of which we will retain a number of shares of common stock otherwise issuable pursuant to the stock option equal to the aggregate exercise price for the portion of the option being exercised divided by the fair market value of our common stock on the date of exercise, (v) to the extent permitted by applicable law and provided for in the applicable option agreement or approved by our board, by any other lawful means (but not by a promissory note of the participant), or (vi) by any combination of these forms of payment.</w:t>
      </w:r>
    </w:p>
    <w:p>
      <w:pPr>
        <w:spacing w:after="0" w:line="168" w:lineRule="exact"/>
        <w:rPr>
          <w:sz w:val="20"/>
          <w:szCs w:val="20"/>
          <w:color w:val="auto"/>
        </w:rPr>
      </w:pPr>
    </w:p>
    <w:p>
      <w:pPr>
        <w:ind w:right="80" w:firstLine="802"/>
        <w:spacing w:after="0" w:line="301"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An SAR is an award entitling the holder, upon exercise, to receive a number of shares of our common stock, or cash</w:t>
      </w:r>
      <w:r>
        <w:rPr>
          <w:rFonts w:ascii="Arial" w:cs="Arial" w:eastAsia="Arial" w:hAnsi="Arial"/>
          <w:sz w:val="16"/>
          <w:szCs w:val="16"/>
          <w:i w:val="1"/>
          <w:iCs w:val="1"/>
          <w:color w:val="auto"/>
        </w:rPr>
        <w:t xml:space="preserve"> </w:t>
      </w:r>
      <w:r>
        <w:rPr>
          <w:rFonts w:ascii="Arial" w:cs="Arial" w:eastAsia="Arial" w:hAnsi="Arial"/>
          <w:sz w:val="16"/>
          <w:szCs w:val="16"/>
          <w:color w:val="auto"/>
        </w:rPr>
        <w:t>(or a combination of shares of our common stock and cash) determined by reference to appreciation, from and after the date of grant, in the fair market value of a share of our common stock over the measurement price. The 2020 Plan provides that the measurement price of an SAR may not be less than the fair market value of our common stock on the date the SAR is granted and that SARs may not be granted with a term in excess of 10 years.</w:t>
      </w:r>
    </w:p>
    <w:p>
      <w:pPr>
        <w:spacing w:after="0" w:line="157" w:lineRule="exact"/>
        <w:rPr>
          <w:sz w:val="20"/>
          <w:szCs w:val="20"/>
          <w:color w:val="auto"/>
        </w:rPr>
      </w:pPr>
    </w:p>
    <w:p>
      <w:pPr>
        <w:ind w:right="100" w:firstLine="802"/>
        <w:spacing w:after="0" w:line="277"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entitle recipients to acquire shares of our common stock, subject to our right to repurchase all</w:t>
      </w:r>
      <w:r>
        <w:rPr>
          <w:rFonts w:ascii="Arial" w:cs="Arial" w:eastAsia="Arial" w:hAnsi="Arial"/>
          <w:sz w:val="18"/>
          <w:szCs w:val="18"/>
          <w:i w:val="1"/>
          <w:iCs w:val="1"/>
          <w:color w:val="auto"/>
        </w:rPr>
        <w:t xml:space="preserve"> </w:t>
      </w:r>
      <w:r>
        <w:rPr>
          <w:rFonts w:ascii="Arial" w:cs="Arial" w:eastAsia="Arial" w:hAnsi="Arial"/>
          <w:sz w:val="18"/>
          <w:szCs w:val="18"/>
          <w:color w:val="auto"/>
        </w:rPr>
        <w:t>or part of such shares at their issue price or other stated or formula price (or to require forfeiture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26" w:name="page127"/>
    <w:bookmarkEnd w:id="126"/>
    <w:p>
      <w:pPr>
        <w:ind w:right="700"/>
        <w:spacing w:after="0" w:line="277" w:lineRule="auto"/>
        <w:rPr>
          <w:sz w:val="20"/>
          <w:szCs w:val="20"/>
          <w:color w:val="auto"/>
        </w:rPr>
      </w:pPr>
      <w:r>
        <w:rPr>
          <w:rFonts w:ascii="Arial" w:cs="Arial" w:eastAsia="Arial" w:hAnsi="Arial"/>
          <w:sz w:val="18"/>
          <w:szCs w:val="18"/>
          <w:color w:val="auto"/>
        </w:rPr>
        <w:t>such shares if issued at no cost) in the event that the conditions specified in the applicable award are not satisfied prior to the end of the applicable restriction period established for such award.</w:t>
      </w:r>
    </w:p>
    <w:p>
      <w:pPr>
        <w:spacing w:after="0" w:line="170" w:lineRule="exact"/>
        <w:rPr>
          <w:sz w:val="20"/>
          <w:szCs w:val="20"/>
          <w:color w:val="auto"/>
        </w:rPr>
      </w:pPr>
    </w:p>
    <w:p>
      <w:pPr>
        <w:ind w:right="160" w:firstLine="802"/>
        <w:spacing w:after="0" w:line="308"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Restricted stock units, or RSUs, entitle the recipient to receive shares of our common stock, or cash equal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such shares, to be delivered at the time such award vests pursuant to the terms and conditions established by our board.</w:t>
      </w:r>
    </w:p>
    <w:p>
      <w:pPr>
        <w:spacing w:after="0" w:line="146" w:lineRule="exact"/>
        <w:rPr>
          <w:sz w:val="20"/>
          <w:szCs w:val="20"/>
          <w:color w:val="auto"/>
        </w:rPr>
      </w:pPr>
    </w:p>
    <w:p>
      <w:pPr>
        <w:ind w:right="60" w:firstLine="802"/>
        <w:spacing w:after="0" w:line="275" w:lineRule="auto"/>
        <w:rPr>
          <w:sz w:val="20"/>
          <w:szCs w:val="20"/>
          <w:color w:val="auto"/>
        </w:rPr>
      </w:pPr>
      <w:r>
        <w:rPr>
          <w:rFonts w:ascii="Arial" w:cs="Arial" w:eastAsia="Arial" w:hAnsi="Arial"/>
          <w:sz w:val="17"/>
          <w:szCs w:val="17"/>
          <w:i w:val="1"/>
          <w:iCs w:val="1"/>
          <w:color w:val="auto"/>
        </w:rPr>
        <w:t xml:space="preserve">Other Stock-Based Awards. </w:t>
      </w:r>
      <w:r>
        <w:rPr>
          <w:rFonts w:ascii="Arial" w:cs="Arial" w:eastAsia="Arial" w:hAnsi="Arial"/>
          <w:sz w:val="17"/>
          <w:szCs w:val="17"/>
          <w:color w:val="auto"/>
        </w:rPr>
        <w:t>Under the 2020 Plan, our board may grant other awards of shares of our common stock, and other awards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valued in whole or in part by reference to, or are otherwise based on, shares of our common stock or other property, having such terms and conditions as our board may determine. We refer to these types of awards as other stock-based awards. Other stock-based awards may be available as a form of payment in settlement of other awards granted under the 2020 Plan or as payment in lieu of compensation to which a participant is otherwise entitled. Other stock-based awards may be paid in shares of our common stock or in cash, as our board may determine.</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 xml:space="preserve">Cash Awards. </w:t>
      </w:r>
      <w:r>
        <w:rPr>
          <w:rFonts w:ascii="Arial" w:cs="Arial" w:eastAsia="Arial" w:hAnsi="Arial"/>
          <w:sz w:val="16"/>
          <w:szCs w:val="16"/>
          <w:color w:val="auto"/>
        </w:rPr>
        <w:t>Under the 2020 Plan, the board has the right to grant cash-based awards including awards subject to performance conditions.</w:t>
      </w:r>
    </w:p>
    <w:p>
      <w:pPr>
        <w:spacing w:after="0" w:line="248"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i w:val="1"/>
          <w:iCs w:val="1"/>
          <w:color w:val="auto"/>
        </w:rPr>
        <w:t xml:space="preserve">Performance Conditions. </w:t>
      </w:r>
      <w:r>
        <w:rPr>
          <w:rFonts w:ascii="Arial" w:cs="Arial" w:eastAsia="Arial" w:hAnsi="Arial"/>
          <w:sz w:val="18"/>
          <w:szCs w:val="18"/>
          <w:color w:val="auto"/>
        </w:rPr>
        <w:t>Our board may specify that the degree of granting, vesting and/or payout of any award is subject to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one or more of performance measures enumerated in the 2020 Plan and established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 to Receive Awards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All of our employees, officers, and directors, as well as our consultants and advisors, are eligible to receive awards under the 2020 Plan.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incentive stock options may only be granted to our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 of Awards</w:t>
      </w:r>
    </w:p>
    <w:p>
      <w:pPr>
        <w:spacing w:after="0" w:line="225" w:lineRule="exact"/>
        <w:rPr>
          <w:sz w:val="20"/>
          <w:szCs w:val="20"/>
          <w:color w:val="auto"/>
        </w:rPr>
      </w:pPr>
    </w:p>
    <w:p>
      <w:pPr>
        <w:ind w:right="20" w:firstLine="802"/>
        <w:spacing w:after="0" w:line="263" w:lineRule="auto"/>
        <w:rPr>
          <w:sz w:val="20"/>
          <w:szCs w:val="20"/>
          <w:color w:val="auto"/>
        </w:rPr>
      </w:pPr>
      <w:r>
        <w:rPr>
          <w:rFonts w:ascii="Arial" w:cs="Arial" w:eastAsia="Arial" w:hAnsi="Arial"/>
          <w:sz w:val="18"/>
          <w:szCs w:val="18"/>
          <w:color w:val="auto"/>
        </w:rPr>
        <w:t>Except as our board may permit, awards may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120" w:firstLine="802"/>
        <w:spacing w:after="0" w:line="279" w:lineRule="auto"/>
        <w:rPr>
          <w:sz w:val="20"/>
          <w:szCs w:val="20"/>
          <w:color w:val="auto"/>
        </w:rPr>
      </w:pPr>
      <w:r>
        <w:rPr>
          <w:rFonts w:ascii="Arial" w:cs="Arial" w:eastAsia="Arial" w:hAnsi="Arial"/>
          <w:sz w:val="17"/>
          <w:szCs w:val="17"/>
          <w:color w:val="auto"/>
        </w:rPr>
        <w:t>The 2020 Plan is administered by our board. Pursuant to the terms of the 2020 Plan, our board may delegate any or all of its powers under the 2020 Plan to one or more committees or subcommittees of our board. The board has authorized our compensation committee to administer certain aspects of the 2020 Plan, including the granting of awards to executive officers. The Board of Directors, or any such committee, may delegate to one of our officers, the authority to make grants under the 2020 Plan, subject to the limitations set forth in the 2020 Plan.</w:t>
      </w:r>
    </w:p>
    <w:p>
      <w:pPr>
        <w:spacing w:after="0" w:line="171" w:lineRule="exact"/>
        <w:rPr>
          <w:sz w:val="20"/>
          <w:szCs w:val="20"/>
          <w:color w:val="auto"/>
        </w:rPr>
      </w:pPr>
    </w:p>
    <w:p>
      <w:pPr>
        <w:ind w:right="80" w:firstLine="802"/>
        <w:spacing w:after="0" w:line="279" w:lineRule="auto"/>
        <w:rPr>
          <w:sz w:val="20"/>
          <w:szCs w:val="20"/>
          <w:color w:val="auto"/>
        </w:rPr>
      </w:pPr>
      <w:r>
        <w:rPr>
          <w:rFonts w:ascii="Arial" w:cs="Arial" w:eastAsia="Arial" w:hAnsi="Arial"/>
          <w:sz w:val="17"/>
          <w:szCs w:val="17"/>
          <w:color w:val="auto"/>
        </w:rPr>
        <w:t>Subject to any applicable limitations contained in the 2020 Plan, the board, our compensation committee, or any other committee or officer to whom the board delegates authority, as the case may be, selects the recipients of awards and determines (i) the number of shares of common stock, cash or other consideration covered by awards and the terms and conditions of such awards, including the dates upon which such awards become exercisable or otherwise vest, (ii) the exercise or measurement price of awards, if any, and (iii) the duration of awards.</w:t>
      </w:r>
    </w:p>
    <w:p>
      <w:pPr>
        <w:spacing w:after="0" w:line="171" w:lineRule="exact"/>
        <w:rPr>
          <w:sz w:val="20"/>
          <w:szCs w:val="20"/>
          <w:color w:val="auto"/>
        </w:rPr>
      </w:pPr>
    </w:p>
    <w:p>
      <w:pPr>
        <w:ind w:firstLine="802"/>
        <w:spacing w:after="0" w:line="291" w:lineRule="auto"/>
        <w:rPr>
          <w:sz w:val="20"/>
          <w:szCs w:val="20"/>
          <w:color w:val="auto"/>
        </w:rPr>
      </w:pPr>
      <w:r>
        <w:rPr>
          <w:rFonts w:ascii="Arial" w:cs="Arial" w:eastAsia="Arial" w:hAnsi="Arial"/>
          <w:sz w:val="16"/>
          <w:szCs w:val="16"/>
          <w:color w:val="auto"/>
        </w:rPr>
        <w:t>In the event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we are required to make equitable adjustments (or make substituted awards, as applicable), in the manner determined by our board, to (i) the number and class of securities available under the 2020 Plan, (ii) the share counting rules and sublimit set forth in the 2020 Plan,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award and each outstanding other stock-based award.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i w:val="1"/>
          <w:iCs w:val="1"/>
          <w:color w:val="auto"/>
        </w:rPr>
        <w:t>Amendment of Awards</w:t>
      </w:r>
    </w:p>
    <w:p>
      <w:pPr>
        <w:spacing w:after="0" w:line="225" w:lineRule="exact"/>
        <w:rPr>
          <w:sz w:val="20"/>
          <w:szCs w:val="20"/>
          <w:color w:val="auto"/>
        </w:rPr>
      </w:pPr>
    </w:p>
    <w:p>
      <w:pPr>
        <w:ind w:firstLine="802"/>
        <w:spacing w:after="0" w:line="255" w:lineRule="auto"/>
        <w:rPr>
          <w:sz w:val="20"/>
          <w:szCs w:val="20"/>
          <w:color w:val="auto"/>
        </w:rPr>
      </w:pPr>
      <w:r>
        <w:rPr>
          <w:rFonts w:ascii="Arial" w:cs="Arial" w:eastAsia="Arial" w:hAnsi="Arial"/>
          <w:sz w:val="18"/>
          <w:szCs w:val="18"/>
          <w:color w:val="auto"/>
        </w:rPr>
        <w:t>Except as otherwise provided under the 2020 Plan with respect to repricing outstanding stock options or SARs, our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that the participant’s consent to any such action will be required unless our board determines that the action, taking into account any related action, does not materially and adversely affect the participant’s rights under the 2020 Plan or the change is otherwise permitted under the terms of the 2020 Plan in connection with a change in capitalization or reorganization event.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Events</w:t>
      </w:r>
    </w:p>
    <w:p>
      <w:pPr>
        <w:spacing w:after="0" w:line="225" w:lineRule="exact"/>
        <w:rPr>
          <w:sz w:val="20"/>
          <w:szCs w:val="20"/>
          <w:color w:val="auto"/>
        </w:rPr>
      </w:pPr>
    </w:p>
    <w:p>
      <w:pPr>
        <w:ind w:right="60" w:firstLine="802"/>
        <w:spacing w:after="0" w:line="279" w:lineRule="auto"/>
        <w:rPr>
          <w:sz w:val="20"/>
          <w:szCs w:val="20"/>
          <w:color w:val="auto"/>
        </w:rPr>
      </w:pPr>
      <w:r>
        <w:rPr>
          <w:rFonts w:ascii="Arial" w:cs="Arial" w:eastAsia="Arial" w:hAnsi="Arial"/>
          <w:sz w:val="17"/>
          <w:szCs w:val="17"/>
          <w:color w:val="auto"/>
        </w:rPr>
        <w:t>The 2020 Plan contains provisions addressing the consequences of any reorganization event. A reorganization event is defined under the 2020 Plan as (a) any merger or consolidation of us with or into another entity as a result of which all of our common stock is converted into or exchanged for the right to receive cash, securities or other property, or is cancelled, (b) any transfer or disposition of all of our common stock for cash, securities or other property pursuant to a share exchange or other transaction or (c) our liquidation or dissolution.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or Termination</w:t>
      </w:r>
    </w:p>
    <w:p>
      <w:pPr>
        <w:spacing w:after="0" w:line="225" w:lineRule="exact"/>
        <w:rPr>
          <w:sz w:val="20"/>
          <w:szCs w:val="20"/>
          <w:color w:val="auto"/>
        </w:rPr>
      </w:pPr>
    </w:p>
    <w:p>
      <w:pPr>
        <w:ind w:right="100" w:firstLine="802"/>
        <w:spacing w:after="0" w:line="257" w:lineRule="auto"/>
        <w:rPr>
          <w:sz w:val="20"/>
          <w:szCs w:val="20"/>
          <w:color w:val="auto"/>
        </w:rPr>
      </w:pPr>
      <w:r>
        <w:rPr>
          <w:rFonts w:ascii="Arial" w:cs="Arial" w:eastAsia="Arial" w:hAnsi="Arial"/>
          <w:sz w:val="18"/>
          <w:szCs w:val="18"/>
          <w:color w:val="auto"/>
        </w:rPr>
        <w:t>No award may be granted under the 2020 Plan after June 15, 2030, but awards previously granted may extend beyond that date. Our board may amend, suspend or terminate the 2020 Plan or any portion of the 2020 Plan at any time, except that no amendment that would amend the prohibitions on repricing without stockholder approval may be amended without stockholder approval and no amendment that would require stockholder approval under the rules of the national securities exchange on which we then maintains our primary listing may be made effective unless and until such amendment has been approved by our stockholders.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of Shares</w:t>
      </w:r>
    </w:p>
    <w:p>
      <w:pPr>
        <w:spacing w:after="0" w:line="117" w:lineRule="exact"/>
        <w:rPr>
          <w:sz w:val="20"/>
          <w:szCs w:val="20"/>
          <w:color w:val="auto"/>
        </w:rPr>
      </w:pPr>
    </w:p>
    <w:p>
      <w:pPr>
        <w:ind w:right="260" w:firstLine="802"/>
        <w:spacing w:after="0" w:line="277" w:lineRule="auto"/>
        <w:rPr>
          <w:sz w:val="20"/>
          <w:szCs w:val="20"/>
          <w:color w:val="auto"/>
        </w:rPr>
      </w:pPr>
      <w:r>
        <w:rPr>
          <w:rFonts w:ascii="Arial" w:cs="Arial" w:eastAsia="Arial" w:hAnsi="Arial"/>
          <w:sz w:val="18"/>
          <w:szCs w:val="18"/>
          <w:color w:val="auto"/>
        </w:rPr>
        <w:t>On August 6, 2020 and August 16, 2021, we filed a registration statement on Form S-8 under the Securities Act to register the full number of shares of common stock available for issuance under the 2020 Plan.</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ind w:right="200" w:firstLine="802"/>
        <w:spacing w:after="0" w:line="263" w:lineRule="auto"/>
        <w:rPr>
          <w:sz w:val="20"/>
          <w:szCs w:val="20"/>
          <w:color w:val="auto"/>
        </w:rPr>
      </w:pPr>
      <w:r>
        <w:rPr>
          <w:rFonts w:ascii="Arial" w:cs="Arial" w:eastAsia="Arial" w:hAnsi="Arial"/>
          <w:sz w:val="18"/>
          <w:szCs w:val="18"/>
          <w:color w:val="auto"/>
        </w:rPr>
        <w:t>Our ESPP was adopted by our Board of Directors in April 2021 and approved by our stockholders in June 2021. The ESPP is administered by our Board of Directors or by a committee appointed by our Board of Directors. The ESPP provides for 1,102,885 shares to be available for purchase by eligible employees according to its terms.</w:t>
      </w:r>
    </w:p>
    <w:p>
      <w:pPr>
        <w:spacing w:after="0" w:line="184" w:lineRule="exact"/>
        <w:rPr>
          <w:sz w:val="20"/>
          <w:szCs w:val="20"/>
          <w:color w:val="auto"/>
        </w:rPr>
      </w:pPr>
    </w:p>
    <w:p>
      <w:pPr>
        <w:ind w:right="40" w:firstLine="802"/>
        <w:spacing w:after="0" w:line="277" w:lineRule="auto"/>
        <w:rPr>
          <w:sz w:val="20"/>
          <w:szCs w:val="20"/>
          <w:color w:val="auto"/>
        </w:rPr>
      </w:pPr>
      <w:r>
        <w:rPr>
          <w:rFonts w:ascii="Arial" w:cs="Arial" w:eastAsia="Arial" w:hAnsi="Arial"/>
          <w:sz w:val="18"/>
          <w:szCs w:val="18"/>
          <w:color w:val="auto"/>
        </w:rPr>
        <w:t>All of our employees, including directors who are employees, and all employees of any of our subsidiaries designated by our board from time to time, are eligible to participate in the ESPP provided that:</w:t>
      </w:r>
    </w:p>
    <w:p>
      <w:pPr>
        <w:spacing w:after="0" w:line="76" w:lineRule="exact"/>
        <w:rPr>
          <w:sz w:val="20"/>
          <w:szCs w:val="20"/>
          <w:color w:val="auto"/>
        </w:rPr>
      </w:pPr>
    </w:p>
    <w:p>
      <w:pPr>
        <w:ind w:left="1000" w:right="40" w:hanging="439"/>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person is customarily employed by us or by our designated subsidiary for more than 20 hours per week and for more than five months in a calendar year;</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person has been employed by us or by our designated subsidiary for at least 30 days prior to enrolling in the ESPP; and</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such person was our employee or any employee of our designated subsidiary on the first day of the applicable offering period under the ESPP.</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retain the discretion to determine which eligible employees may participate in an offering under applicable regulations.</w:t>
      </w:r>
    </w:p>
    <w:p>
      <w:pPr>
        <w:spacing w:after="0" w:line="225" w:lineRule="exact"/>
        <w:rPr>
          <w:sz w:val="20"/>
          <w:szCs w:val="20"/>
          <w:color w:val="auto"/>
        </w:rPr>
      </w:pPr>
    </w:p>
    <w:p>
      <w:pPr>
        <w:ind w:right="100" w:firstLine="802"/>
        <w:spacing w:after="0" w:line="259" w:lineRule="auto"/>
        <w:rPr>
          <w:sz w:val="20"/>
          <w:szCs w:val="20"/>
          <w:color w:val="auto"/>
        </w:rPr>
      </w:pPr>
      <w:r>
        <w:rPr>
          <w:rFonts w:ascii="Arial" w:cs="Arial" w:eastAsia="Arial" w:hAnsi="Arial"/>
          <w:sz w:val="18"/>
          <w:szCs w:val="18"/>
          <w:color w:val="auto"/>
        </w:rPr>
        <w:t>Offerings under the ESPP will begin on dates determined by our board and will continue for six months, which we refer to as the plan purchase period. Payroll deductions made during each plan purchase period will be held for the purchase of our common stock at the end of each plan purchase period. Our board may, in its discretion, change the date on which plan purchase periods may commence and may choose a different plan purchase period of 12 months or less for each offering.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8" w:name="page129"/>
    <w:bookmarkEnd w:id="128"/>
    <w:p>
      <w:pPr>
        <w:ind w:right="100" w:firstLine="802"/>
        <w:spacing w:after="0" w:line="291" w:lineRule="auto"/>
        <w:rPr>
          <w:sz w:val="20"/>
          <w:szCs w:val="20"/>
          <w:color w:val="auto"/>
        </w:rPr>
      </w:pPr>
      <w:r>
        <w:rPr>
          <w:rFonts w:ascii="Arial" w:cs="Arial" w:eastAsia="Arial" w:hAnsi="Arial"/>
          <w:sz w:val="16"/>
          <w:szCs w:val="16"/>
          <w:color w:val="auto"/>
        </w:rPr>
        <w:t>With respect to any offering under the ESPP, an employee may authorize a payroll deduction in any dollar amount up to a maximum of 15% of the compensation such employee receives during the plan purchase period (or during such shorter period during which payroll deductions are made). Compensation is defined under the ESPP to mean the amount of money reportable on the employee’s federal income tax withholding statement, excluding overtime, shift premium, incentive or bonus awards, allowances and reimbursements for expenses such as relocation allowances for travel expenses, income or gains associated with the grant or vesting of restricted stock, income or gains on the exercise of stock options or stock appreciation rights, and similar items, but including, in the case of salespersons, sales commissions to the extent determined by our board. Our board may, in its discretion, designate a lower maximum contribution rate, and a minimum payroll deduction may be established from time to time by our board.</w:t>
      </w:r>
    </w:p>
    <w:p>
      <w:pPr>
        <w:spacing w:after="0" w:line="166" w:lineRule="exact"/>
        <w:rPr>
          <w:sz w:val="20"/>
          <w:szCs w:val="20"/>
          <w:color w:val="auto"/>
        </w:rPr>
      </w:pPr>
    </w:p>
    <w:p>
      <w:pPr>
        <w:ind w:firstLine="802"/>
        <w:spacing w:after="0" w:line="288" w:lineRule="auto"/>
        <w:rPr>
          <w:sz w:val="20"/>
          <w:szCs w:val="20"/>
          <w:color w:val="auto"/>
        </w:rPr>
      </w:pPr>
      <w:r>
        <w:rPr>
          <w:rFonts w:ascii="Arial" w:cs="Arial" w:eastAsia="Arial" w:hAnsi="Arial"/>
          <w:sz w:val="16"/>
          <w:szCs w:val="16"/>
          <w:color w:val="auto"/>
        </w:rPr>
        <w:t>On the offering commencement date of each plan purchase period, we will grant to each eligible employee who is then a participant in the ESPP a right to purchase up to a whole number of shares of our common stock determined by dividing (a) $25,000 divided by the number of full months in the plan purchase period by (b) the closing price of a share of our common stock on the offering commencement date (as determined under the ESPP); provided, however, that in the event the length of the plan purchase period exceeds twelve (12) months, the number of shares each participant may purchase pursuant to the Purchase Right shall be up to that whole number of shares of Common Stock determined by multiplying $2,083 by the number of full months on the plan purchase period and dividing the result by the closing price of a share of our common stock on the offering commencement date (as determined under the ESPP). Each employee who continues to be a participant in the ESPP on the last business day of the plan purchase period (referred to as the exercise date) is deemed to have exercised the right to purchase at the purchase right price on such date and will be deemed to have purchased from us the number of whole shares of our common stock reserved for purposes of the ESPP that such employee’s accumulated payroll deductions on the exercise date will pay for, up to the maximum number determined as set forth above.</w:t>
      </w:r>
    </w:p>
    <w:p>
      <w:pPr>
        <w:spacing w:after="0" w:line="168" w:lineRule="exact"/>
        <w:rPr>
          <w:sz w:val="20"/>
          <w:szCs w:val="20"/>
          <w:color w:val="auto"/>
        </w:rPr>
      </w:pPr>
    </w:p>
    <w:p>
      <w:pPr>
        <w:ind w:right="360" w:firstLine="802"/>
        <w:spacing w:after="0" w:line="301" w:lineRule="auto"/>
        <w:rPr>
          <w:sz w:val="20"/>
          <w:szCs w:val="20"/>
          <w:color w:val="auto"/>
        </w:rPr>
      </w:pPr>
      <w:r>
        <w:rPr>
          <w:rFonts w:ascii="Arial" w:cs="Arial" w:eastAsia="Arial" w:hAnsi="Arial"/>
          <w:sz w:val="16"/>
          <w:szCs w:val="16"/>
          <w:color w:val="auto"/>
        </w:rPr>
        <w:t>Under the terms of the ESPP, the purchase right price shall be determined by our board for each plan purchase period and the purchase right price will be at least 85% of the applicable closing price of our common stock (determined as provided under the ESPP). If our board does not make a determination of the purchase right price, the purchase right price will be 85% of the lesser of the closing price of our common stock (determined as provided under the ESPP) on either (a) the first business day of the plan purchase period or (b) the purchase exercise date.</w:t>
      </w:r>
    </w:p>
    <w:p>
      <w:pPr>
        <w:spacing w:after="0" w:line="157" w:lineRule="exact"/>
        <w:rPr>
          <w:sz w:val="20"/>
          <w:szCs w:val="20"/>
          <w:color w:val="auto"/>
        </w:rPr>
      </w:pPr>
    </w:p>
    <w:p>
      <w:pPr>
        <w:ind w:right="100" w:firstLine="802"/>
        <w:spacing w:after="0" w:line="293" w:lineRule="auto"/>
        <w:rPr>
          <w:sz w:val="20"/>
          <w:szCs w:val="20"/>
          <w:color w:val="auto"/>
        </w:rPr>
      </w:pPr>
      <w:r>
        <w:rPr>
          <w:rFonts w:ascii="Arial" w:cs="Arial" w:eastAsia="Arial" w:hAnsi="Arial"/>
          <w:sz w:val="16"/>
          <w:szCs w:val="16"/>
          <w:color w:val="auto"/>
        </w:rPr>
        <w:t>Any balance remaining in an employee’s payroll deduction account at the end of a plan purchase period will be automatically refunded to the employee, except that any balance which is less than the purchase price of one share of our common stock will be carried forward for the following offering, unless the employee elects not to participate in the following offering, in which case the balance in the employee’s account will be refunded. An employee may withdraw the balance accumulated in such employee’s account and withdraw from participation in an offering at any time prior to the close of business on the last business day in the plan purchase period. Any employee who so withdraws may not begin participating again during the remainder of the plan purchase period but may participate in any subsequent offering in accordance with the terms and conditions established by our board.</w:t>
      </w:r>
    </w:p>
    <w:p>
      <w:pPr>
        <w:spacing w:after="0" w:line="164" w:lineRule="exact"/>
        <w:rPr>
          <w:sz w:val="20"/>
          <w:szCs w:val="20"/>
          <w:color w:val="auto"/>
        </w:rPr>
      </w:pPr>
    </w:p>
    <w:p>
      <w:pPr>
        <w:ind w:firstLine="802"/>
        <w:spacing w:after="0" w:line="291" w:lineRule="auto"/>
        <w:rPr>
          <w:sz w:val="20"/>
          <w:szCs w:val="20"/>
          <w:color w:val="auto"/>
        </w:rPr>
      </w:pPr>
      <w:r>
        <w:rPr>
          <w:rFonts w:ascii="Arial" w:cs="Arial" w:eastAsia="Arial" w:hAnsi="Arial"/>
          <w:sz w:val="16"/>
          <w:szCs w:val="16"/>
          <w:color w:val="auto"/>
        </w:rPr>
        <w:t xml:space="preserve">For purposes of monitoring the compliance with required holding periods under the ESPP, we may require that the shares purchased under the ESPP be deposited directly into a brokerage account that we establish for each participant at a brokerage firm that we designate, which we refer to as the ESPP broker account. Except as otherwise provided in the ESPP, the deposited shares may not be transferred (either electronically or in certificate form) from the ESPP broker account until the </w:t>
      </w:r>
      <w:r>
        <w:rPr>
          <w:rFonts w:ascii="Arial" w:cs="Arial" w:eastAsia="Arial" w:hAnsi="Arial"/>
          <w:sz w:val="16"/>
          <w:szCs w:val="16"/>
          <w:i w:val="1"/>
          <w:iCs w:val="1"/>
          <w:color w:val="auto"/>
        </w:rPr>
        <w:t>later</w:t>
      </w:r>
      <w:r>
        <w:rPr>
          <w:rFonts w:ascii="Arial" w:cs="Arial" w:eastAsia="Arial" w:hAnsi="Arial"/>
          <w:sz w:val="16"/>
          <w:szCs w:val="16"/>
          <w:color w:val="auto"/>
        </w:rPr>
        <w:t xml:space="preserve"> of the following two periods: (i) the end of the two (2)-year period measured from the date the participant first commences participation in offerings under the ESPP and (ii) the end of the one (1)-year measured from the purchase exercise date of the applicable shares. Such limitation shall apply both to transfers to different accounts with the same ESPP broker and to transfers to other brokerage firms. Any shares held for the required holding period may thereafter be transferred (either electronically or in certificate form) to other accounts or to other brokerage firms.</w:t>
      </w:r>
    </w:p>
    <w:p>
      <w:pPr>
        <w:spacing w:after="0" w:line="166" w:lineRule="exact"/>
        <w:rPr>
          <w:sz w:val="20"/>
          <w:szCs w:val="20"/>
          <w:color w:val="auto"/>
        </w:rPr>
      </w:pPr>
    </w:p>
    <w:p>
      <w:pPr>
        <w:ind w:right="140" w:firstLine="802"/>
        <w:spacing w:after="0" w:line="255" w:lineRule="auto"/>
        <w:rPr>
          <w:sz w:val="20"/>
          <w:szCs w:val="20"/>
          <w:color w:val="auto"/>
        </w:rPr>
      </w:pPr>
      <w:r>
        <w:rPr>
          <w:rFonts w:ascii="Arial" w:cs="Arial" w:eastAsia="Arial" w:hAnsi="Arial"/>
          <w:sz w:val="18"/>
          <w:szCs w:val="18"/>
          <w:color w:val="auto"/>
        </w:rPr>
        <w:t>If any employee’s employment is terminated prior to the last business day of a plan purchase period, the employee’s account balance will be refunded to the employee (without any reductions for payroll deductions) or, in the event of the employee’s death, to a designated beneficiary, to the executor or administrator of the employee’s estate, or if no executor or administrator has been appointed to our knowledge, to any other person we designate in our discretion. If, prior to the last business day of a plan purchase period, the designated subsidiary in which an employee is employed ceases to be a subsidiary of ours, or if the employee is transferred to a subsidiary that is not a designated subsidiary, the employee will be deemed to have terminated employment for purposes of the ESPP.</w:t>
      </w:r>
    </w:p>
    <w:p>
      <w:pPr>
        <w:spacing w:after="0" w:line="192" w:lineRule="exact"/>
        <w:rPr>
          <w:sz w:val="20"/>
          <w:szCs w:val="20"/>
          <w:color w:val="auto"/>
        </w:rPr>
      </w:pPr>
    </w:p>
    <w:p>
      <w:pPr>
        <w:ind w:right="580" w:firstLine="802"/>
        <w:spacing w:after="0" w:line="277" w:lineRule="auto"/>
        <w:rPr>
          <w:sz w:val="20"/>
          <w:szCs w:val="20"/>
          <w:color w:val="auto"/>
        </w:rPr>
      </w:pPr>
      <w:r>
        <w:rPr>
          <w:rFonts w:ascii="Arial" w:cs="Arial" w:eastAsia="Arial" w:hAnsi="Arial"/>
          <w:sz w:val="18"/>
          <w:szCs w:val="18"/>
          <w:color w:val="auto"/>
        </w:rPr>
        <w:t>Rights under the ESPP are not transferable by a participating employee other than by will or the laws of descent and distribution, and are exercisable during the employee’s lifetime only by the employee.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9" w:name="page130"/>
    <w:bookmarkEnd w:id="129"/>
    <w:p>
      <w:pPr>
        <w:ind w:right="80" w:firstLine="802"/>
        <w:spacing w:after="0" w:line="259" w:lineRule="auto"/>
        <w:rPr>
          <w:sz w:val="20"/>
          <w:szCs w:val="20"/>
          <w:color w:val="auto"/>
        </w:rPr>
      </w:pPr>
      <w:r>
        <w:rPr>
          <w:rFonts w:ascii="Arial" w:cs="Arial" w:eastAsia="Arial" w:hAnsi="Arial"/>
          <w:sz w:val="18"/>
          <w:szCs w:val="18"/>
          <w:color w:val="auto"/>
        </w:rPr>
        <w:t>Shares may be issued upon exercise of an option from authorized but unissued shares of our common stock, from shares held in our treasury, or from any other proper source. In the event the total number of shares of our common stock specified in elections to be purchased under any offering plus the number of shares purchased under previous offerings under the ESPP exceeds the maximum number of shares issuable under the ESPP, our board will allot the shares then available on a pro-rata basis.</w:t>
      </w:r>
    </w:p>
    <w:p>
      <w:pPr>
        <w:spacing w:after="0" w:line="187" w:lineRule="exact"/>
        <w:rPr>
          <w:sz w:val="20"/>
          <w:szCs w:val="20"/>
          <w:color w:val="auto"/>
        </w:rPr>
      </w:pPr>
    </w:p>
    <w:p>
      <w:pPr>
        <w:jc w:val="both"/>
        <w:ind w:right="20" w:firstLine="802"/>
        <w:spacing w:after="0" w:line="311" w:lineRule="auto"/>
        <w:rPr>
          <w:sz w:val="20"/>
          <w:szCs w:val="20"/>
          <w:color w:val="auto"/>
        </w:rPr>
      </w:pPr>
      <w:r>
        <w:rPr>
          <w:rFonts w:ascii="Arial" w:cs="Arial" w:eastAsia="Arial" w:hAnsi="Arial"/>
          <w:sz w:val="16"/>
          <w:szCs w:val="16"/>
          <w:color w:val="auto"/>
        </w:rPr>
        <w:t>We will be required to make equitable adjustments in the manner determined by our board to the number and class of securities available under the ESPP and the purchase right price to reflect stock splits, reverse stock splits, stock dividends, recapitalizations, combinations of shares, reclassifications of shares, spin-offs and other similar changes in capitalization or any distribution to holders of our common stock other than an ordinary cash dividend.</w:t>
      </w:r>
    </w:p>
    <w:p>
      <w:pPr>
        <w:spacing w:after="0" w:line="149" w:lineRule="exact"/>
        <w:rPr>
          <w:sz w:val="20"/>
          <w:szCs w:val="20"/>
          <w:color w:val="auto"/>
        </w:rPr>
      </w:pPr>
    </w:p>
    <w:p>
      <w:pPr>
        <w:ind w:right="140" w:firstLine="802"/>
        <w:spacing w:after="0" w:line="277" w:lineRule="auto"/>
        <w:rPr>
          <w:sz w:val="20"/>
          <w:szCs w:val="20"/>
          <w:color w:val="auto"/>
        </w:rPr>
      </w:pPr>
      <w:r>
        <w:rPr>
          <w:rFonts w:ascii="Arial" w:cs="Arial" w:eastAsia="Arial" w:hAnsi="Arial"/>
          <w:sz w:val="18"/>
          <w:szCs w:val="18"/>
          <w:color w:val="auto"/>
        </w:rPr>
        <w:t>Upon the occurrence of a Reorganization Event (as defined below), our board is authorized to take any one or more of the following actions as to outstanding purchase rights under the ESPP:</w:t>
      </w:r>
    </w:p>
    <w:p>
      <w:pPr>
        <w:spacing w:after="0" w:line="76" w:lineRule="exact"/>
        <w:rPr>
          <w:sz w:val="20"/>
          <w:szCs w:val="20"/>
          <w:color w:val="auto"/>
        </w:rPr>
      </w:pPr>
    </w:p>
    <w:p>
      <w:pPr>
        <w:ind w:left="1000" w:right="220" w:hanging="439"/>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that purchase rights will be assumed, or substantially equivalent purchase rights will be substituted, by the acquiring or succeeding corporation (or an affiliate thereof);</w:t>
      </w:r>
    </w:p>
    <w:p>
      <w:pPr>
        <w:spacing w:after="0" w:line="75" w:lineRule="exact"/>
        <w:rPr>
          <w:rFonts w:ascii="Arial" w:cs="Arial" w:eastAsia="Arial" w:hAnsi="Arial"/>
          <w:sz w:val="18"/>
          <w:szCs w:val="18"/>
          <w:color w:val="auto"/>
        </w:rPr>
      </w:pPr>
    </w:p>
    <w:p>
      <w:pPr>
        <w:ind w:left="1000" w:right="180" w:hanging="439"/>
        <w:spacing w:after="0" w:line="259"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written notice to employees, provide that all outstanding purchase rights will be terminated immediately prior to the consummation of the Reorganization Event and that all such outstanding purchase rights will become exercisable to the extent of accumulated payroll deductions as of a date specified by our board in such notice, which date shall not be less than 10 days preceding the effective date of the Reorganization Event;</w:t>
      </w:r>
    </w:p>
    <w:p>
      <w:pPr>
        <w:spacing w:after="0" w:line="92" w:lineRule="exact"/>
        <w:rPr>
          <w:rFonts w:ascii="Arial" w:cs="Arial" w:eastAsia="Arial" w:hAnsi="Arial"/>
          <w:sz w:val="18"/>
          <w:szCs w:val="18"/>
          <w:color w:val="auto"/>
        </w:rPr>
      </w:pPr>
    </w:p>
    <w:p>
      <w:pPr>
        <w:ind w:left="1000" w:right="180" w:hanging="439"/>
        <w:spacing w:after="0" w:line="308"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upon written notice to employees, provide that all outstanding purchase rights will be cancelled as of a date prior to the effective date of the Reorganization Event and that all accumulated payroll deductions will be returned to participating employees on such date;</w:t>
      </w:r>
    </w:p>
    <w:p>
      <w:pPr>
        <w:spacing w:after="0" w:line="51" w:lineRule="exact"/>
        <w:rPr>
          <w:rFonts w:ascii="Arial" w:cs="Arial" w:eastAsia="Arial" w:hAnsi="Arial"/>
          <w:sz w:val="17"/>
          <w:szCs w:val="17"/>
          <w:color w:val="auto"/>
        </w:rPr>
      </w:pPr>
    </w:p>
    <w:p>
      <w:pPr>
        <w:ind w:left="1000" w:right="20" w:hanging="439"/>
        <w:spacing w:after="0" w:line="291"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upon the occurrence of a Reorganization Event in which holders of our common stock will receive a cash payment for each share surrendered in the Reorganization Event (the “acquisition price”), change the last day of the plan purchase period to be the date of the consummation of the Reorganization Event and make or provide for a cash payment to each employee equal to (i) the acquisition price times the number of shares of common stock that the employee’s accumulated payroll deductions as of immediately prior to the Reorganization Event could purchase at the purchase right price, where the acquisition price is treated as the fair market value of the common stock on the last day of the applicable plan purchase period for purposes of determining the purchase right price, and where the number of shares that could be purchased is subject to the limitations under the plan, minus (ii) the result of multiplying such number of shares by such purchase right price;</w:t>
      </w:r>
    </w:p>
    <w:p>
      <w:pPr>
        <w:spacing w:after="0" w:line="98" w:lineRule="exact"/>
        <w:rPr>
          <w:rFonts w:ascii="Arial" w:cs="Arial" w:eastAsia="Arial" w:hAnsi="Arial"/>
          <w:sz w:val="16"/>
          <w:szCs w:val="16"/>
          <w:color w:val="auto"/>
        </w:rPr>
      </w:pPr>
    </w:p>
    <w:p>
      <w:pPr>
        <w:ind w:left="1000" w:right="140" w:hanging="439"/>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that, in connection with a liquidation or dissolution of our company, purchase rights will convert into the right to receive liquidation proceeds (net of the purchase right price); and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A “Reorganization Event” is defined under the ESPP as (i) any merger or consolidation of us with or into another entity as a result of which all of our common stock is converted into or exchanged for the right to receive cash, securities or other property or is cancelled, (ii) any transfer or disposition of all of the common stock of the Company for cash, securities or other property pursuant to a share exchange or other transaction, or (iii) our liquidation or dissolution.</w:t>
      </w:r>
    </w:p>
    <w:p>
      <w:pPr>
        <w:spacing w:after="0" w:line="187" w:lineRule="exact"/>
        <w:rPr>
          <w:sz w:val="20"/>
          <w:szCs w:val="20"/>
          <w:color w:val="auto"/>
        </w:rPr>
      </w:pPr>
    </w:p>
    <w:p>
      <w:pPr>
        <w:ind w:right="80" w:firstLine="802"/>
        <w:spacing w:after="0" w:line="259" w:lineRule="auto"/>
        <w:rPr>
          <w:sz w:val="20"/>
          <w:szCs w:val="20"/>
          <w:color w:val="auto"/>
        </w:rPr>
      </w:pPr>
      <w:r>
        <w:rPr>
          <w:rFonts w:ascii="Arial" w:cs="Arial" w:eastAsia="Arial" w:hAnsi="Arial"/>
          <w:sz w:val="18"/>
          <w:szCs w:val="18"/>
          <w:color w:val="auto"/>
        </w:rPr>
        <w:t>Our board may at any time, and from time to time, amend the ESPP. We are required under the ESPP to obtain stockholder approval for any amendment if such approval is required by Section 423 of the Code. Further, our board may not make any amendment that would cause the ESPP to fail to comply with Section 423 of the Code. Our board may terminate the ESPP at any time. Upon termination, we will refund all amounts in the accounts of participating employees.</w:t>
      </w:r>
    </w:p>
    <w:p>
      <w:pPr>
        <w:spacing w:after="0" w:line="187" w:lineRule="exact"/>
        <w:rPr>
          <w:sz w:val="20"/>
          <w:szCs w:val="20"/>
          <w:color w:val="auto"/>
        </w:rPr>
      </w:pPr>
    </w:p>
    <w:p>
      <w:pPr>
        <w:ind w:right="340" w:firstLine="802"/>
        <w:spacing w:after="0" w:line="277" w:lineRule="auto"/>
        <w:rPr>
          <w:sz w:val="20"/>
          <w:szCs w:val="20"/>
          <w:color w:val="auto"/>
        </w:rPr>
      </w:pPr>
      <w:r>
        <w:rPr>
          <w:rFonts w:ascii="Arial" w:cs="Arial" w:eastAsia="Arial" w:hAnsi="Arial"/>
          <w:sz w:val="18"/>
          <w:szCs w:val="18"/>
          <w:color w:val="auto"/>
        </w:rPr>
        <w:t>On August 16, 2021, we filed a registration statement on Form S-8 under the Securities Act to register the full number of shares of common stock available for issuance under the ESPP.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340" w:firstLine="546"/>
        <w:spacing w:after="0" w:line="342" w:lineRule="auto"/>
        <w:rPr>
          <w:sz w:val="20"/>
          <w:szCs w:val="20"/>
          <w:color w:val="auto"/>
        </w:rPr>
      </w:pPr>
      <w:r>
        <w:rPr>
          <w:rFonts w:ascii="Arial" w:cs="Arial" w:eastAsia="Arial" w:hAnsi="Arial"/>
          <w:sz w:val="16"/>
          <w:szCs w:val="16"/>
          <w:color w:val="auto"/>
        </w:rPr>
        <w:t>During 2021, we did not provide any compensation to Mr. Ganot, our President and Chief Executive Officer, for his service as a member of our board. Mr. Ganot’s compensation as an executive officer is set forth above under “</w:t>
      </w:r>
      <w:r>
        <w:rPr>
          <w:rFonts w:ascii="Arial" w:cs="Arial" w:eastAsia="Arial" w:hAnsi="Arial"/>
          <w:sz w:val="16"/>
          <w:szCs w:val="16"/>
          <w:i w:val="1"/>
          <w:iCs w:val="1"/>
          <w:color w:val="auto"/>
        </w:rPr>
        <w:t>Executive Compensation—2021 Summary Compensation Table</w:t>
      </w:r>
      <w:r>
        <w:rPr>
          <w:rFonts w:ascii="Arial" w:cs="Arial" w:eastAsia="Arial" w:hAnsi="Arial"/>
          <w:sz w:val="16"/>
          <w:szCs w:val="16"/>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0" w:name="page131"/>
    <w:bookmarkEnd w:id="130"/>
    <w:p>
      <w:pPr>
        <w:ind w:right="120" w:firstLine="546"/>
        <w:spacing w:after="0" w:line="263" w:lineRule="auto"/>
        <w:rPr>
          <w:sz w:val="20"/>
          <w:szCs w:val="20"/>
          <w:color w:val="auto"/>
        </w:rPr>
      </w:pPr>
      <w:r>
        <w:rPr>
          <w:rFonts w:ascii="Arial" w:cs="Arial" w:eastAsia="Arial" w:hAnsi="Arial"/>
          <w:sz w:val="18"/>
          <w:szCs w:val="18"/>
          <w:color w:val="auto"/>
        </w:rPr>
        <w:t>Non-employee director compensation is set by our Board of Directors at the recommendation of our compensation committee. In 2021, the compensation committee retained Radford, an AON Hewitt company, to assist in assessing our non-employee director compensation program and provide recommendations with respect to the compensation program.</w:t>
      </w:r>
    </w:p>
    <w:p>
      <w:pPr>
        <w:spacing w:after="0" w:line="184"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Under our current director compensation program, we pay our non-employee directors a cash retainer for their service on the Board of Directors and for their service on each committee of which the director is a member. The chairs of each committee receive higher retainers for such service. These fees are payable in arrears in equal semi-annual installments not later than the 15th business day following the end of the second and fourth calendar quarters, provided that the amount of such payment will be prorated for any portion of such semi-annual period that the director is not serving on the board, on such committee or in such position, and no fee shall be payable in respect of any period prior to the completion of our initial public offering. The fees paid to non-employee directors for their service on the Board of Directors and for their service on each committee of the Board of Directors of which the director is a member are as follows: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Member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Chairperson</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Incremental</w:t>
            </w: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215"/>
              <w:spacing w:after="0"/>
              <w:rPr>
                <w:sz w:val="20"/>
                <w:szCs w:val="20"/>
                <w:color w:val="auto"/>
              </w:rPr>
            </w:pPr>
            <w:r>
              <w:rPr>
                <w:rFonts w:ascii="Arial" w:cs="Arial" w:eastAsia="Arial" w:hAnsi="Arial"/>
                <w:sz w:val="14"/>
                <w:szCs w:val="14"/>
                <w:b w:val="1"/>
                <w:bCs w:val="1"/>
                <w:color w:val="auto"/>
              </w:rPr>
              <w:t>Annual Fee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Annual Fee</w:t>
            </w:r>
          </w:p>
        </w:tc>
        <w:tc>
          <w:tcPr>
            <w:tcW w:w="0" w:type="dxa"/>
            <w:vAlign w:val="bottom"/>
          </w:tcPr>
          <w:p>
            <w:pPr>
              <w:spacing w:after="0"/>
              <w:rPr>
                <w:sz w:val="1"/>
                <w:szCs w:val="1"/>
                <w:color w:val="auto"/>
              </w:rPr>
            </w:pPr>
          </w:p>
        </w:tc>
      </w:tr>
      <w:tr>
        <w:trPr>
          <w:trHeight w:val="223"/>
        </w:trPr>
        <w:tc>
          <w:tcPr>
            <w:tcW w:w="6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Board of Directors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Audit Committee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Clinical Committee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Compensation Committee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Nominating and Corporate Governance Committee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546"/>
        <w:spacing w:after="0" w:line="308" w:lineRule="auto"/>
        <w:rPr>
          <w:sz w:val="20"/>
          <w:szCs w:val="20"/>
          <w:color w:val="auto"/>
        </w:rPr>
      </w:pPr>
      <w:r>
        <w:rPr>
          <w:rFonts w:ascii="Arial" w:cs="Arial" w:eastAsia="Arial" w:hAnsi="Arial"/>
          <w:sz w:val="17"/>
          <w:szCs w:val="17"/>
          <w:color w:val="auto"/>
        </w:rPr>
        <w:t>We also reimburse our non-employee directors for reasonable out-of-pocket business expenses incurred in connection with the performance of their duties as directors, including travel expenses in connection with their attendance in person at our board of director and committee meetings.</w:t>
      </w:r>
    </w:p>
    <w:p>
      <w:pPr>
        <w:spacing w:after="0" w:line="146" w:lineRule="exact"/>
        <w:rPr>
          <w:sz w:val="20"/>
          <w:szCs w:val="20"/>
          <w:color w:val="auto"/>
        </w:rPr>
      </w:pPr>
    </w:p>
    <w:p>
      <w:pPr>
        <w:ind w:right="40" w:firstLine="546"/>
        <w:spacing w:after="0" w:line="290" w:lineRule="auto"/>
        <w:rPr>
          <w:sz w:val="20"/>
          <w:szCs w:val="20"/>
          <w:color w:val="auto"/>
        </w:rPr>
      </w:pPr>
      <w:r>
        <w:rPr>
          <w:rFonts w:ascii="Arial" w:cs="Arial" w:eastAsia="Arial" w:hAnsi="Arial"/>
          <w:sz w:val="16"/>
          <w:szCs w:val="16"/>
          <w:color w:val="auto"/>
        </w:rPr>
        <w:t>In addition, under our current director compensation program, each new non-employee director elected to our Board of Directors receives an option to purchase 40,000 shares of our common stock under our 2020 Plan. Each of these options vest in equal annual installments over a three-year period measured from the date of grant, subject to the director’s continued service as a director. Further, on the date of our annual meeting of stockholders, each non-employee director that has served on our Board of Directors for at least six months prior to such annual meeting receives an option to purchase 10,000 shares of our common stock under our 2020 Plan. Each of these options vest in full on the earlier to occur of the one-year anniversary of the grant date and immediately prior to our first annual meeting of stockholders occurring after the grant date, subject to the director’s continued service as a director. All options granted to our non-employee directors under our director compensation program will be issued at exercise prices equal to the fair market value of our common stock on the date of grant and will become exercisable in full in the event of a change in control.</w:t>
      </w:r>
    </w:p>
    <w:p>
      <w:pPr>
        <w:spacing w:after="0" w:line="165" w:lineRule="exact"/>
        <w:rPr>
          <w:sz w:val="20"/>
          <w:szCs w:val="20"/>
          <w:color w:val="auto"/>
        </w:rPr>
      </w:pPr>
    </w:p>
    <w:p>
      <w:pPr>
        <w:ind w:right="260" w:firstLine="546"/>
        <w:spacing w:after="0" w:line="311" w:lineRule="auto"/>
        <w:rPr>
          <w:sz w:val="20"/>
          <w:szCs w:val="20"/>
          <w:color w:val="auto"/>
        </w:rPr>
      </w:pPr>
      <w:r>
        <w:rPr>
          <w:rFonts w:ascii="Arial" w:cs="Arial" w:eastAsia="Arial" w:hAnsi="Arial"/>
          <w:sz w:val="16"/>
          <w:szCs w:val="16"/>
          <w:color w:val="auto"/>
        </w:rPr>
        <w:t>This program is intended to provide compensation for our non-employee directors in a manner that enables us to attract and retain outstanding director candidates and reflects the substantial time commitment necessary to oversee our affairs. We also seek to align the interests of our directors and our stockholders, and we have chosen to do so by compensating our non-employee directors with a mix of cash and equity-based compensation.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1" w:name="page132"/>
    <w:bookmarkEnd w:id="131"/>
    <w:p>
      <w:pPr>
        <w:ind w:left="560"/>
        <w:spacing w:after="0"/>
        <w:rPr>
          <w:sz w:val="20"/>
          <w:szCs w:val="20"/>
          <w:color w:val="auto"/>
        </w:rPr>
      </w:pPr>
      <w:r>
        <w:rPr>
          <w:rFonts w:ascii="Arial" w:cs="Arial" w:eastAsia="Arial" w:hAnsi="Arial"/>
          <w:sz w:val="18"/>
          <w:szCs w:val="18"/>
          <w:color w:val="auto"/>
        </w:rPr>
        <w:t>The table below shows the compensation paid to our non-employee directors during 2021.</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Fees</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Earned</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Paid in</w:t>
            </w: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Cash</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80" w:type="dxa"/>
            <w:vAlign w:val="bottom"/>
          </w:tcPr>
          <w:p>
            <w:pPr>
              <w:spacing w:after="0"/>
              <w:rPr>
                <w:sz w:val="12"/>
                <w:szCs w:val="12"/>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90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 xml:space="preserve">($) </w:t>
            </w:r>
            <w:r>
              <w:rPr>
                <w:rFonts w:ascii="Arial" w:cs="Arial" w:eastAsia="Arial" w:hAnsi="Arial"/>
                <w:sz w:val="12"/>
                <w:szCs w:val="12"/>
                <w:b w:val="1"/>
                <w:bCs w:val="1"/>
                <w:color w:val="auto"/>
                <w:w w:val="99"/>
              </w:rPr>
              <w:t>(1)(2)</w:t>
            </w: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Ian Smith</w:t>
            </w: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90"/>
              </w:rPr>
              <w:t>72,726</w:t>
            </w:r>
          </w:p>
        </w:tc>
        <w:tc>
          <w:tcPr>
            <w:tcW w:w="2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2,648,930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2,721,656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 xml:space="preserve">Matthew Arnold </w:t>
            </w:r>
            <w:r>
              <w:rPr>
                <w:rFonts w:ascii="Arial" w:cs="Arial" w:eastAsia="Arial" w:hAnsi="Arial"/>
                <w:sz w:val="15"/>
                <w:szCs w:val="15"/>
                <w:color w:val="auto"/>
              </w:rPr>
              <w:t>(7)</w:t>
            </w:r>
          </w:p>
        </w:tc>
        <w:tc>
          <w:tcPr>
            <w:tcW w:w="900" w:type="dxa"/>
            <w:vAlign w:val="bottom"/>
          </w:tcPr>
          <w:p>
            <w:pPr>
              <w:ind w:left="380"/>
              <w:spacing w:after="0"/>
              <w:rPr>
                <w:sz w:val="20"/>
                <w:szCs w:val="20"/>
                <w:color w:val="auto"/>
              </w:rPr>
            </w:pPr>
            <w:r>
              <w:rPr>
                <w:rFonts w:ascii="Arial" w:cs="Arial" w:eastAsia="Arial" w:hAnsi="Arial"/>
                <w:sz w:val="18"/>
                <w:szCs w:val="18"/>
                <w:color w:val="auto"/>
                <w:w w:val="90"/>
              </w:rPr>
              <w:t>19,445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Clare Kahn, Ph.D</w:t>
            </w:r>
          </w:p>
        </w:tc>
        <w:tc>
          <w:tcPr>
            <w:tcW w:w="9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0"/>
              </w:rPr>
              <w:t>38,048</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367,545</w:t>
            </w: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405,593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Martin Freed, M.D., F.A.C.P.</w:t>
            </w:r>
          </w:p>
        </w:tc>
        <w:tc>
          <w:tcPr>
            <w:tcW w:w="900" w:type="dxa"/>
            <w:vAlign w:val="bottom"/>
          </w:tcPr>
          <w:p>
            <w:pPr>
              <w:ind w:left="380"/>
              <w:spacing w:after="0"/>
              <w:rPr>
                <w:sz w:val="20"/>
                <w:szCs w:val="20"/>
                <w:color w:val="auto"/>
              </w:rPr>
            </w:pPr>
            <w:r>
              <w:rPr>
                <w:rFonts w:ascii="Arial" w:cs="Arial" w:eastAsia="Arial" w:hAnsi="Arial"/>
                <w:sz w:val="18"/>
                <w:szCs w:val="18"/>
                <w:color w:val="auto"/>
                <w:w w:val="90"/>
              </w:rPr>
              <w:t>56,726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213,278</w:t>
            </w:r>
          </w:p>
        </w:tc>
        <w:tc>
          <w:tcPr>
            <w:tcW w:w="280" w:type="dxa"/>
            <w:vAlign w:val="bottom"/>
          </w:tcPr>
          <w:p>
            <w:pPr>
              <w:jc w:val="right"/>
              <w:spacing w:after="0"/>
              <w:rPr>
                <w:sz w:val="20"/>
                <w:szCs w:val="20"/>
                <w:color w:val="auto"/>
              </w:rPr>
            </w:pPr>
            <w:r>
              <w:rPr>
                <w:rFonts w:ascii="Arial" w:cs="Arial" w:eastAsia="Arial" w:hAnsi="Arial"/>
                <w:sz w:val="15"/>
                <w:szCs w:val="15"/>
                <w:color w:val="auto"/>
              </w:rPr>
              <w:t>(5)</w:t>
            </w:r>
          </w:p>
        </w:tc>
        <w:tc>
          <w:tcPr>
            <w:tcW w:w="920" w:type="dxa"/>
            <w:vAlign w:val="bottom"/>
          </w:tcPr>
          <w:p>
            <w:pPr>
              <w:jc w:val="right"/>
              <w:spacing w:after="0"/>
              <w:rPr>
                <w:sz w:val="20"/>
                <w:szCs w:val="20"/>
                <w:color w:val="auto"/>
              </w:rPr>
            </w:pPr>
            <w:r>
              <w:rPr>
                <w:rFonts w:ascii="Arial" w:cs="Arial" w:eastAsia="Arial" w:hAnsi="Arial"/>
                <w:sz w:val="18"/>
                <w:szCs w:val="18"/>
                <w:color w:val="auto"/>
              </w:rPr>
              <w:t>270,004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Huffines</w:t>
            </w:r>
          </w:p>
        </w:tc>
        <w:tc>
          <w:tcPr>
            <w:tcW w:w="9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0"/>
              </w:rPr>
              <w:t>37,726</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101,378</w:t>
            </w: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Georgia Keresty, Ph.D, M.PH.</w:t>
            </w:r>
          </w:p>
        </w:tc>
        <w:tc>
          <w:tcPr>
            <w:tcW w:w="900" w:type="dxa"/>
            <w:vAlign w:val="bottom"/>
          </w:tcPr>
          <w:p>
            <w:pPr>
              <w:ind w:left="380"/>
              <w:spacing w:after="0"/>
              <w:rPr>
                <w:sz w:val="20"/>
                <w:szCs w:val="20"/>
                <w:color w:val="auto"/>
              </w:rPr>
            </w:pPr>
            <w:r>
              <w:rPr>
                <w:rFonts w:ascii="Arial" w:cs="Arial" w:eastAsia="Arial" w:hAnsi="Arial"/>
                <w:sz w:val="18"/>
                <w:szCs w:val="18"/>
                <w:color w:val="auto"/>
                <w:w w:val="90"/>
              </w:rPr>
              <w:t>37,164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367,545</w:t>
            </w:r>
          </w:p>
        </w:tc>
        <w:tc>
          <w:tcPr>
            <w:tcW w:w="280" w:type="dxa"/>
            <w:vAlign w:val="bottom"/>
          </w:tcPr>
          <w:p>
            <w:pPr>
              <w:jc w:val="right"/>
              <w:spacing w:after="0"/>
              <w:rPr>
                <w:sz w:val="20"/>
                <w:szCs w:val="20"/>
                <w:color w:val="auto"/>
              </w:rPr>
            </w:pPr>
            <w:r>
              <w:rPr>
                <w:rFonts w:ascii="Arial" w:cs="Arial" w:eastAsia="Arial" w:hAnsi="Arial"/>
                <w:sz w:val="15"/>
                <w:szCs w:val="15"/>
                <w:color w:val="auto"/>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404,709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Adam Koppel, M.D., Ph.D.</w:t>
            </w:r>
          </w:p>
        </w:tc>
        <w:tc>
          <w:tcPr>
            <w:tcW w:w="9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0"/>
              </w:rPr>
              <w:t>62,726</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101,378</w:t>
            </w: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Sukumar Nagendran, M.D.</w:t>
            </w:r>
          </w:p>
        </w:tc>
        <w:tc>
          <w:tcPr>
            <w:tcW w:w="900" w:type="dxa"/>
            <w:vAlign w:val="bottom"/>
          </w:tcPr>
          <w:p>
            <w:pPr>
              <w:ind w:left="380"/>
              <w:spacing w:after="0"/>
              <w:rPr>
                <w:sz w:val="20"/>
                <w:szCs w:val="20"/>
                <w:color w:val="auto"/>
              </w:rPr>
            </w:pPr>
            <w:r>
              <w:rPr>
                <w:rFonts w:ascii="Arial" w:cs="Arial" w:eastAsia="Arial" w:hAnsi="Arial"/>
                <w:sz w:val="18"/>
                <w:szCs w:val="18"/>
                <w:color w:val="auto"/>
                <w:w w:val="90"/>
              </w:rPr>
              <w:t>45,226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101,378</w:t>
            </w:r>
          </w:p>
        </w:tc>
        <w:tc>
          <w:tcPr>
            <w:tcW w:w="280" w:type="dxa"/>
            <w:vAlign w:val="bottom"/>
          </w:tcPr>
          <w:p>
            <w:pPr>
              <w:jc w:val="right"/>
              <w:spacing w:after="0"/>
              <w:rPr>
                <w:sz w:val="20"/>
                <w:szCs w:val="20"/>
                <w:color w:val="auto"/>
              </w:rPr>
            </w:pPr>
            <w:r>
              <w:rPr>
                <w:rFonts w:ascii="Arial" w:cs="Arial" w:eastAsia="Arial" w:hAnsi="Arial"/>
                <w:sz w:val="15"/>
                <w:szCs w:val="15"/>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146,604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Rajeev Shah</w:t>
            </w:r>
          </w:p>
        </w:tc>
        <w:tc>
          <w:tcPr>
            <w:tcW w:w="9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0"/>
              </w:rPr>
              <w:t>42,726</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101,378</w:t>
            </w: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Adam Stone</w:t>
            </w:r>
          </w:p>
        </w:tc>
        <w:tc>
          <w:tcPr>
            <w:tcW w:w="900" w:type="dxa"/>
            <w:vAlign w:val="bottom"/>
          </w:tcPr>
          <w:p>
            <w:pPr>
              <w:ind w:left="380"/>
              <w:spacing w:after="0"/>
              <w:rPr>
                <w:sz w:val="20"/>
                <w:szCs w:val="20"/>
                <w:color w:val="auto"/>
              </w:rPr>
            </w:pPr>
            <w:r>
              <w:rPr>
                <w:rFonts w:ascii="Arial" w:cs="Arial" w:eastAsia="Arial" w:hAnsi="Arial"/>
                <w:sz w:val="18"/>
                <w:szCs w:val="18"/>
                <w:color w:val="auto"/>
                <w:w w:val="90"/>
              </w:rPr>
              <w:t>50,726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101,378</w:t>
            </w:r>
          </w:p>
        </w:tc>
        <w:tc>
          <w:tcPr>
            <w:tcW w:w="280" w:type="dxa"/>
            <w:vAlign w:val="bottom"/>
          </w:tcPr>
          <w:p>
            <w:pPr>
              <w:jc w:val="right"/>
              <w:spacing w:after="0"/>
              <w:rPr>
                <w:sz w:val="20"/>
                <w:szCs w:val="20"/>
                <w:color w:val="auto"/>
              </w:rPr>
            </w:pPr>
            <w:r>
              <w:rPr>
                <w:rFonts w:ascii="Arial" w:cs="Arial" w:eastAsia="Arial" w:hAnsi="Arial"/>
                <w:sz w:val="15"/>
                <w:szCs w:val="15"/>
                <w:color w:val="auto"/>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152,104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Lynne Sullivan</w:t>
            </w:r>
          </w:p>
        </w:tc>
        <w:tc>
          <w:tcPr>
            <w:tcW w:w="9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0"/>
              </w:rPr>
              <w:t>56,726</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101,378</w:t>
            </w: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40" w:right="120" w:hanging="532"/>
        <w:spacing w:after="0" w:line="287" w:lineRule="auto"/>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 in this column represents the aggregate grant date fair value of the award as computed in accordance with Financial Accounting Standard Board Accounting Standards Codification Topic 718. The assumptions used in calculating the grant date fair value of the award reported in this column are set forth in Note 9 to our audited consolidated financial statements appearing elsewhere in this Annual Report on Form 10-K.</w:t>
      </w:r>
    </w:p>
    <w:p>
      <w:pPr>
        <w:spacing w:after="0" w:line="2" w:lineRule="exact"/>
        <w:rPr>
          <w:rFonts w:ascii="Arial" w:cs="Arial" w:eastAsia="Arial" w:hAnsi="Arial"/>
          <w:sz w:val="16"/>
          <w:szCs w:val="16"/>
          <w:color w:val="auto"/>
        </w:rPr>
      </w:pPr>
    </w:p>
    <w:p>
      <w:pPr>
        <w:ind w:left="540" w:hanging="532"/>
        <w:spacing w:after="0"/>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of December 31, 2021, our non-employee directors held options to purchase shares of our common stock as follows: Mr. Smith: 419,000 shares;</w:t>
      </w:r>
    </w:p>
    <w:p>
      <w:pPr>
        <w:spacing w:after="0" w:line="3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Mr. Arnold: 0 shares; Dr. Kahn 40,000; Dr. Freed: 55,000 shares; Mr. Huffines: 30,000; Dr. Keresty: 40,000 shares; Dr. Koppel: 30,000 shares; Dr.</w:t>
      </w:r>
    </w:p>
    <w:p>
      <w:pPr>
        <w:spacing w:after="0" w:line="3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Nagendran: 30,000 shares; Mr. Shah: 30,000 shares; Mr. Stone: 30,000 shares; and Ms. Sullivan: 30,000 shares.</w:t>
      </w:r>
    </w:p>
    <w:p>
      <w:pPr>
        <w:spacing w:after="0" w:line="9" w:lineRule="exact"/>
        <w:rPr>
          <w:rFonts w:ascii="Arial" w:cs="Arial" w:eastAsia="Arial" w:hAnsi="Arial"/>
          <w:sz w:val="16"/>
          <w:szCs w:val="16"/>
          <w:color w:val="auto"/>
        </w:rPr>
      </w:pPr>
    </w:p>
    <w:p>
      <w:pPr>
        <w:ind w:left="540" w:right="80" w:hanging="532"/>
        <w:spacing w:after="0" w:line="250"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(i) an option to purchase 30,000 shares of our common stock granted on June 16, 2021 and (ii) an option to purchase 389,000 shares of our common stock granted on January 4, 2021.</w:t>
      </w: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an option to purchase 40,000 shares of our common stock granted on March 2, 2021.</w:t>
      </w:r>
    </w:p>
    <w:p>
      <w:pPr>
        <w:spacing w:after="0" w:line="21" w:lineRule="exact"/>
        <w:rPr>
          <w:rFonts w:ascii="Arial" w:cs="Arial" w:eastAsia="Arial" w:hAnsi="Arial"/>
          <w:sz w:val="18"/>
          <w:szCs w:val="18"/>
          <w:color w:val="auto"/>
        </w:rPr>
      </w:pPr>
    </w:p>
    <w:p>
      <w:pPr>
        <w:ind w:left="540" w:right="100" w:hanging="532"/>
        <w:spacing w:after="0" w:line="258"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(i) an option to purchase 25,000 shares of our common stock granted on April 27, 2021 and (ii) an option to purchase 30,000 shares of our common stock granted on June 16, 2021.</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an option to purchase 30,000 shares of our common stock granted on June 16, 2021.</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Arnold served as a director until June 16, 2021.</w:t>
      </w:r>
    </w:p>
    <w:p>
      <w:pPr>
        <w:spacing w:after="0" w:line="319"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In respect of his services as executive chair of our board, on January 3, 2022, we granted Mr. Smith an option to purchase 194,500 shares of our common stock and 97,250 restricted stock units.</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firstLine="546"/>
        <w:spacing w:after="0" w:line="286" w:lineRule="auto"/>
        <w:rPr>
          <w:sz w:val="20"/>
          <w:szCs w:val="20"/>
          <w:color w:val="auto"/>
        </w:rPr>
      </w:pPr>
      <w:r>
        <w:rPr>
          <w:rFonts w:ascii="Arial" w:cs="Arial" w:eastAsia="Arial" w:hAnsi="Arial"/>
          <w:sz w:val="17"/>
          <w:szCs w:val="17"/>
          <w:color w:val="auto"/>
        </w:rPr>
        <w:t>None of the current members of our compensation committee has ever been an executive officer or employee of ours.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6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February 16, 2022 by (i) each person whom we know to beneficially own more than 5% of our outstanding common stock, or a 5% stockholder, (ii) each director, (iii) each Named Executive Officer and (iv) all current directors and executive officers as a group. Unless otherwise indicated, the address of each executive officer and director is c/o Solid Biosciences Inc., 141 Portland Street, Fifth Floor, Cambridge, MA 02139.</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32" w:name="page133"/>
    <w:bookmarkEnd w:id="132"/>
    <w:p>
      <w:pPr>
        <w:ind w:right="40" w:firstLine="546"/>
        <w:spacing w:after="0" w:line="296" w:lineRule="auto"/>
        <w:rPr>
          <w:sz w:val="20"/>
          <w:szCs w:val="20"/>
          <w:color w:val="auto"/>
        </w:rPr>
      </w:pPr>
      <w:r>
        <w:rPr>
          <w:rFonts w:ascii="Arial" w:cs="Arial" w:eastAsia="Arial" w:hAnsi="Arial"/>
          <w:sz w:val="16"/>
          <w:szCs w:val="16"/>
          <w:color w:val="auto"/>
        </w:rPr>
        <w:t>The number of shares of common stock “beneficially owned” by each stockholder is determined under rules issued by the SEC regarding the beneficial ownership of securities. This information is not necessarily indicative of beneficial ownership for any other purpose. Under these rules, beneficial ownership of shares of our common stock includes (1) any shares as to which the person or entity has sole or shared voting power or investment power and (2) any shares as to which the person or entity has the right to acquire beneficial ownership within 60 days after February 16, 2022. The percentage of beneficial ownership in the table below is based on 110,472,962 shares of common stock deemed to be outstanding as of February 16, 2022.</w:t>
      </w:r>
    </w:p>
    <w:p>
      <w:pPr>
        <w:spacing w:after="0" w:line="161"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Unless otherwise indicated below, and subject to community property laws where applicable, to our knowledge, all persons named in the table have sole voting and investment power with respect to their shares of common stock.</w:t>
      </w:r>
    </w:p>
    <w:p>
      <w:pPr>
        <w:spacing w:after="0" w:line="3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6140" w:type="dxa"/>
            <w:vAlign w:val="bottom"/>
            <w:gridSpan w:val="2"/>
            <w:vMerge w:val="continue"/>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Owned</w:t>
            </w: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23"/>
        </w:trPr>
        <w:tc>
          <w:tcPr>
            <w:tcW w:w="6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5% Stockholders:</w:t>
            </w:r>
          </w:p>
        </w:tc>
        <w:tc>
          <w:tcPr>
            <w:tcW w:w="1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spacing w:after="0"/>
              <w:rPr>
                <w:sz w:val="20"/>
                <w:szCs w:val="20"/>
                <w:color w:val="auto"/>
              </w:rPr>
            </w:pPr>
            <w:r>
              <w:rPr>
                <w:rFonts w:ascii="Arial" w:cs="Arial" w:eastAsia="Arial" w:hAnsi="Arial"/>
                <w:sz w:val="18"/>
                <w:szCs w:val="18"/>
                <w:color w:val="auto"/>
              </w:rPr>
              <w:t xml:space="preserve">Perceptive Life Sciences Master Fund LTD </w:t>
            </w:r>
            <w:r>
              <w:rPr>
                <w:rFonts w:ascii="Arial" w:cs="Arial" w:eastAsia="Arial" w:hAnsi="Arial"/>
                <w:sz w:val="15"/>
                <w:szCs w:val="15"/>
                <w:color w:val="auto"/>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13,412,552</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Entities affiliated with RA Capital Management, L.P. </w:t>
            </w:r>
            <w:r>
              <w:rPr>
                <w:rFonts w:ascii="Arial" w:cs="Arial" w:eastAsia="Arial" w:hAnsi="Arial"/>
                <w:sz w:val="15"/>
                <w:szCs w:val="15"/>
                <w:color w:val="auto"/>
              </w:rPr>
              <w:t>(2)</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12,367,873</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9"/>
        </w:trPr>
        <w:tc>
          <w:tcPr>
            <w:tcW w:w="6140" w:type="dxa"/>
            <w:vAlign w:val="bottom"/>
            <w:gridSpan w:val="2"/>
          </w:tcPr>
          <w:p>
            <w:pPr>
              <w:spacing w:after="0"/>
              <w:rPr>
                <w:sz w:val="20"/>
                <w:szCs w:val="20"/>
                <w:color w:val="auto"/>
              </w:rPr>
            </w:pPr>
            <w:r>
              <w:rPr>
                <w:rFonts w:ascii="Arial" w:cs="Arial" w:eastAsia="Arial" w:hAnsi="Arial"/>
                <w:sz w:val="18"/>
                <w:szCs w:val="18"/>
                <w:color w:val="auto"/>
              </w:rPr>
              <w:t xml:space="preserve">EcoR1 Capital, LLC </w:t>
            </w:r>
            <w:r>
              <w:rPr>
                <w:rFonts w:ascii="Arial" w:cs="Arial" w:eastAsia="Arial" w:hAnsi="Arial"/>
                <w:sz w:val="15"/>
                <w:szCs w:val="15"/>
                <w:color w:val="auto"/>
              </w:rPr>
              <w:t>(3)</w:t>
            </w:r>
          </w:p>
        </w:tc>
        <w:tc>
          <w:tcPr>
            <w:tcW w:w="1220" w:type="dxa"/>
            <w:vAlign w:val="bottom"/>
          </w:tcPr>
          <w:p>
            <w:pPr>
              <w:jc w:val="right"/>
              <w:spacing w:after="0"/>
              <w:rPr>
                <w:sz w:val="20"/>
                <w:szCs w:val="20"/>
                <w:color w:val="auto"/>
              </w:rPr>
            </w:pPr>
            <w:r>
              <w:rPr>
                <w:rFonts w:ascii="Arial" w:cs="Arial" w:eastAsia="Arial" w:hAnsi="Arial"/>
                <w:sz w:val="18"/>
                <w:szCs w:val="18"/>
                <w:color w:val="auto"/>
              </w:rPr>
              <w:t>9,202,702</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BCLS SB Investco, LP </w:t>
            </w:r>
            <w:r>
              <w:rPr>
                <w:rFonts w:ascii="Arial" w:cs="Arial" w:eastAsia="Arial" w:hAnsi="Arial"/>
                <w:sz w:val="15"/>
                <w:szCs w:val="15"/>
                <w:color w:val="auto"/>
              </w:rPr>
              <w:t>(4)</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7,929,918</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 xml:space="preserve">Ultragenyx Pharmaceutical Inc. </w:t>
            </w:r>
            <w:r>
              <w:rPr>
                <w:rFonts w:ascii="Arial" w:cs="Arial" w:eastAsia="Arial" w:hAnsi="Arial"/>
                <w:sz w:val="15"/>
                <w:szCs w:val="15"/>
                <w:color w:val="auto"/>
              </w:rPr>
              <w:t>(5)</w:t>
            </w:r>
          </w:p>
        </w:tc>
        <w:tc>
          <w:tcPr>
            <w:tcW w:w="1220" w:type="dxa"/>
            <w:vAlign w:val="bottom"/>
          </w:tcPr>
          <w:p>
            <w:pPr>
              <w:jc w:val="right"/>
              <w:spacing w:after="0"/>
              <w:rPr>
                <w:sz w:val="20"/>
                <w:szCs w:val="20"/>
                <w:color w:val="auto"/>
              </w:rPr>
            </w:pPr>
            <w:r>
              <w:rPr>
                <w:rFonts w:ascii="Arial" w:cs="Arial" w:eastAsia="Arial" w:hAnsi="Arial"/>
                <w:sz w:val="18"/>
                <w:szCs w:val="18"/>
                <w:color w:val="auto"/>
              </w:rPr>
              <w:t>7,825,797</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Suvretta Capital Management, LLC </w:t>
            </w:r>
            <w:r>
              <w:rPr>
                <w:rFonts w:ascii="Arial" w:cs="Arial" w:eastAsia="Arial" w:hAnsi="Arial"/>
                <w:sz w:val="15"/>
                <w:szCs w:val="15"/>
                <w:color w:val="auto"/>
              </w:rPr>
              <w:t>(6)</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6,287,193</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9"/>
        </w:trPr>
        <w:tc>
          <w:tcPr>
            <w:tcW w:w="6140" w:type="dxa"/>
            <w:vAlign w:val="bottom"/>
            <w:gridSpan w:val="2"/>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(7)</w:t>
            </w:r>
          </w:p>
        </w:tc>
        <w:tc>
          <w:tcPr>
            <w:tcW w:w="1220" w:type="dxa"/>
            <w:vAlign w:val="bottom"/>
          </w:tcPr>
          <w:p>
            <w:pPr>
              <w:jc w:val="right"/>
              <w:spacing w:after="0"/>
              <w:rPr>
                <w:sz w:val="20"/>
                <w:szCs w:val="20"/>
                <w:color w:val="auto"/>
              </w:rPr>
            </w:pPr>
            <w:r>
              <w:rPr>
                <w:rFonts w:ascii="Arial" w:cs="Arial" w:eastAsia="Arial" w:hAnsi="Arial"/>
                <w:sz w:val="18"/>
                <w:szCs w:val="18"/>
                <w:color w:val="auto"/>
              </w:rPr>
              <w:t>6,253,209</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spacing w:after="0"/>
              <w:rPr>
                <w:sz w:val="20"/>
                <w:szCs w:val="20"/>
                <w:color w:val="auto"/>
              </w:rPr>
            </w:pPr>
            <w:r>
              <w:rPr>
                <w:rFonts w:ascii="Arial" w:cs="Arial" w:eastAsia="Arial" w:hAnsi="Arial"/>
                <w:sz w:val="18"/>
                <w:szCs w:val="18"/>
                <w:color w:val="auto"/>
              </w:rPr>
              <w:t xml:space="preserve">Ilan Ganot </w:t>
            </w:r>
            <w:r>
              <w:rPr>
                <w:rFonts w:ascii="Arial" w:cs="Arial" w:eastAsia="Arial" w:hAnsi="Arial"/>
                <w:sz w:val="15"/>
                <w:szCs w:val="15"/>
                <w:color w:val="auto"/>
              </w:rPr>
              <w:t>(8)</w:t>
            </w:r>
          </w:p>
        </w:tc>
        <w:tc>
          <w:tcPr>
            <w:tcW w:w="1220" w:type="dxa"/>
            <w:vAlign w:val="bottom"/>
          </w:tcPr>
          <w:p>
            <w:pPr>
              <w:jc w:val="right"/>
              <w:spacing w:after="0"/>
              <w:rPr>
                <w:sz w:val="20"/>
                <w:szCs w:val="20"/>
                <w:color w:val="auto"/>
              </w:rPr>
            </w:pPr>
            <w:r>
              <w:rPr>
                <w:rFonts w:ascii="Arial" w:cs="Arial" w:eastAsia="Arial" w:hAnsi="Arial"/>
                <w:sz w:val="18"/>
                <w:szCs w:val="18"/>
                <w:color w:val="auto"/>
              </w:rPr>
              <w:t>1,941,547</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Erin Powers Brennan </w:t>
            </w:r>
            <w:r>
              <w:rPr>
                <w:rFonts w:ascii="Arial" w:cs="Arial" w:eastAsia="Arial" w:hAnsi="Arial"/>
                <w:sz w:val="15"/>
                <w:szCs w:val="15"/>
                <w:color w:val="auto"/>
              </w:rPr>
              <w:t>(9)</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81,250</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tcPr>
          <w:p>
            <w:pPr>
              <w:spacing w:after="0"/>
              <w:rPr>
                <w:sz w:val="20"/>
                <w:szCs w:val="20"/>
                <w:color w:val="auto"/>
              </w:rPr>
            </w:pPr>
            <w:r>
              <w:rPr>
                <w:rFonts w:ascii="Arial" w:cs="Arial" w:eastAsia="Arial" w:hAnsi="Arial"/>
                <w:sz w:val="18"/>
                <w:szCs w:val="18"/>
                <w:color w:val="auto"/>
              </w:rPr>
              <w:t xml:space="preserve">Joel Schneider, Ph.D. </w:t>
            </w:r>
            <w:r>
              <w:rPr>
                <w:rFonts w:ascii="Arial" w:cs="Arial" w:eastAsia="Arial" w:hAnsi="Arial"/>
                <w:sz w:val="15"/>
                <w:szCs w:val="15"/>
                <w:color w:val="auto"/>
              </w:rPr>
              <w:t>(10)</w:t>
            </w:r>
          </w:p>
        </w:tc>
        <w:tc>
          <w:tcPr>
            <w:tcW w:w="1220" w:type="dxa"/>
            <w:vAlign w:val="bottom"/>
          </w:tcPr>
          <w:p>
            <w:pPr>
              <w:jc w:val="right"/>
              <w:spacing w:after="0"/>
              <w:rPr>
                <w:sz w:val="20"/>
                <w:szCs w:val="20"/>
                <w:color w:val="auto"/>
              </w:rPr>
            </w:pPr>
            <w:r>
              <w:rPr>
                <w:rFonts w:ascii="Arial" w:cs="Arial" w:eastAsia="Arial" w:hAnsi="Arial"/>
                <w:sz w:val="18"/>
                <w:szCs w:val="18"/>
                <w:color w:val="auto"/>
              </w:rPr>
              <w:t>488,451</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Ian Smith </w:t>
            </w:r>
            <w:r>
              <w:rPr>
                <w:rFonts w:ascii="Arial" w:cs="Arial" w:eastAsia="Arial" w:hAnsi="Arial"/>
                <w:sz w:val="15"/>
                <w:szCs w:val="15"/>
                <w:color w:val="auto"/>
              </w:rPr>
              <w:t>(11)</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970,246</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 xml:space="preserve">Martin Freed, M.D., F.A.C.P. </w:t>
            </w:r>
            <w:r>
              <w:rPr>
                <w:rFonts w:ascii="Arial" w:cs="Arial" w:eastAsia="Arial" w:hAnsi="Arial"/>
                <w:sz w:val="15"/>
                <w:szCs w:val="15"/>
                <w:color w:val="auto"/>
              </w:rPr>
              <w:t>(12)</w:t>
            </w:r>
          </w:p>
        </w:tc>
        <w:tc>
          <w:tcPr>
            <w:tcW w:w="1220" w:type="dxa"/>
            <w:vAlign w:val="bottom"/>
          </w:tcPr>
          <w:p>
            <w:pPr>
              <w:jc w:val="right"/>
              <w:spacing w:after="0"/>
              <w:rPr>
                <w:sz w:val="20"/>
                <w:szCs w:val="20"/>
                <w:color w:val="auto"/>
              </w:rPr>
            </w:pPr>
            <w:r>
              <w:rPr>
                <w:rFonts w:ascii="Arial" w:cs="Arial" w:eastAsia="Arial" w:hAnsi="Arial"/>
                <w:sz w:val="18"/>
                <w:szCs w:val="18"/>
                <w:color w:val="auto"/>
              </w:rPr>
              <w:t>123,763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Robert Huffines </w:t>
            </w:r>
            <w:r>
              <w:rPr>
                <w:rFonts w:ascii="Arial" w:cs="Arial" w:eastAsia="Arial" w:hAnsi="Arial"/>
                <w:sz w:val="15"/>
                <w:szCs w:val="15"/>
                <w:color w:val="auto"/>
              </w:rPr>
              <w:t>(13)</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 xml:space="preserve">Clare Kahn </w:t>
            </w:r>
            <w:r>
              <w:rPr>
                <w:rFonts w:ascii="Arial" w:cs="Arial" w:eastAsia="Arial" w:hAnsi="Arial"/>
                <w:sz w:val="15"/>
                <w:szCs w:val="15"/>
                <w:color w:val="auto"/>
              </w:rPr>
              <w:t>(14)</w:t>
            </w:r>
          </w:p>
        </w:tc>
        <w:tc>
          <w:tcPr>
            <w:tcW w:w="1220" w:type="dxa"/>
            <w:vAlign w:val="bottom"/>
          </w:tcPr>
          <w:p>
            <w:pPr>
              <w:jc w:val="right"/>
              <w:spacing w:after="0"/>
              <w:rPr>
                <w:sz w:val="20"/>
                <w:szCs w:val="20"/>
                <w:color w:val="auto"/>
              </w:rPr>
            </w:pPr>
            <w:r>
              <w:rPr>
                <w:rFonts w:ascii="Arial" w:cs="Arial" w:eastAsia="Arial" w:hAnsi="Arial"/>
                <w:sz w:val="18"/>
                <w:szCs w:val="18"/>
                <w:color w:val="auto"/>
              </w:rPr>
              <w:t>13,333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Georgia Keresty </w:t>
            </w:r>
            <w:r>
              <w:rPr>
                <w:rFonts w:ascii="Arial" w:cs="Arial" w:eastAsia="Arial" w:hAnsi="Arial"/>
                <w:sz w:val="15"/>
                <w:szCs w:val="15"/>
                <w:color w:val="auto"/>
              </w:rPr>
              <w:t>(15)</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 xml:space="preserve">Adam Koppel, M.D., Ph.D. </w:t>
            </w:r>
            <w:r>
              <w:rPr>
                <w:rFonts w:ascii="Arial" w:cs="Arial" w:eastAsia="Arial" w:hAnsi="Arial"/>
                <w:sz w:val="15"/>
                <w:szCs w:val="15"/>
                <w:color w:val="auto"/>
              </w:rPr>
              <w:t>(16)</w:t>
            </w: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Sukumar Nagendran, M.D. </w:t>
            </w:r>
            <w:r>
              <w:rPr>
                <w:rFonts w:ascii="Arial" w:cs="Arial" w:eastAsia="Arial" w:hAnsi="Arial"/>
                <w:sz w:val="15"/>
                <w:szCs w:val="15"/>
                <w:color w:val="auto"/>
              </w:rPr>
              <w:t>(17)</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104,258</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 xml:space="preserve">Rajeev Shah </w:t>
            </w:r>
            <w:r>
              <w:rPr>
                <w:rFonts w:ascii="Arial" w:cs="Arial" w:eastAsia="Arial" w:hAnsi="Arial"/>
                <w:sz w:val="15"/>
                <w:szCs w:val="15"/>
                <w:color w:val="auto"/>
              </w:rPr>
              <w:t>(18)</w:t>
            </w:r>
          </w:p>
        </w:tc>
        <w:tc>
          <w:tcPr>
            <w:tcW w:w="1220" w:type="dxa"/>
            <w:vAlign w:val="bottom"/>
          </w:tcPr>
          <w:p>
            <w:pPr>
              <w:jc w:val="right"/>
              <w:spacing w:after="0"/>
              <w:rPr>
                <w:sz w:val="20"/>
                <w:szCs w:val="20"/>
                <w:color w:val="auto"/>
              </w:rPr>
            </w:pPr>
            <w:r>
              <w:rPr>
                <w:rFonts w:ascii="Arial" w:cs="Arial" w:eastAsia="Arial" w:hAnsi="Arial"/>
                <w:sz w:val="18"/>
                <w:szCs w:val="18"/>
                <w:color w:val="auto"/>
              </w:rPr>
              <w:t>12,417,873</w:t>
            </w:r>
          </w:p>
        </w:tc>
        <w:tc>
          <w:tcPr>
            <w:tcW w:w="2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Adam Stone </w:t>
            </w:r>
            <w:r>
              <w:rPr>
                <w:rFonts w:ascii="Arial" w:cs="Arial" w:eastAsia="Arial" w:hAnsi="Arial"/>
                <w:sz w:val="15"/>
                <w:szCs w:val="15"/>
                <w:color w:val="auto"/>
              </w:rPr>
              <w:t>(19)</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 xml:space="preserve">Lynne Sullivan </w:t>
            </w:r>
            <w:r>
              <w:rPr>
                <w:rFonts w:ascii="Arial" w:cs="Arial" w:eastAsia="Arial" w:hAnsi="Arial"/>
                <w:sz w:val="15"/>
                <w:szCs w:val="15"/>
                <w:color w:val="auto"/>
              </w:rPr>
              <w:t>(20)</w:t>
            </w:r>
          </w:p>
        </w:tc>
        <w:tc>
          <w:tcPr>
            <w:tcW w:w="122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All current directors and executive officers as a group (15 persons) </w:t>
            </w:r>
            <w:r>
              <w:rPr>
                <w:rFonts w:ascii="Arial" w:cs="Arial" w:eastAsia="Arial" w:hAnsi="Arial"/>
                <w:sz w:val="15"/>
                <w:szCs w:val="15"/>
                <w:color w:val="auto"/>
              </w:rPr>
              <w:t>(21)</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16,985,764</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50" w:lineRule="exact"/>
        <w:rPr>
          <w:sz w:val="20"/>
          <w:szCs w:val="20"/>
          <w:color w:val="auto"/>
        </w:rPr>
      </w:pPr>
    </w:p>
    <w:p>
      <w:pPr>
        <w:ind w:left="540" w:right="40" w:hanging="532"/>
        <w:spacing w:after="0" w:line="285"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Consists of shares held by Perceptive Life Sciences Master Fund LTD, or the Master Fund. Perceptive Advisors LLC is the investment manager to Master Fund and may be deemed to beneficially own the securities directly held by the Master Fund. Joseph Edelman is the managing member of Perceptive Advisors LLC. Perceptive Advisors LLC and Mr. Edelman may be deemed to beneficially own the shares held by the Master Fund. The address of Perceptive is 51 Astor Place, 10th Floor, New York, NY 10003. Perceptive reports that it holds shared voting power and shared dispositive power with respect to all shares held by it. Based on information set forth in a Schedule 13D/A filed with the SEC on March 23, 2021.</w:t>
      </w:r>
    </w:p>
    <w:p>
      <w:pPr>
        <w:spacing w:after="0" w:line="1" w:lineRule="exact"/>
        <w:rPr>
          <w:rFonts w:ascii="Arial" w:cs="Arial" w:eastAsia="Arial" w:hAnsi="Arial"/>
          <w:sz w:val="16"/>
          <w:szCs w:val="16"/>
          <w:color w:val="auto"/>
        </w:rPr>
      </w:pPr>
    </w:p>
    <w:p>
      <w:pPr>
        <w:ind w:left="540" w:right="40" w:hanging="532"/>
        <w:spacing w:after="0" w:line="288"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Consists of 12,367,873 shares held by RA Capital Healthcare Fund, L.P. (“RA Capital Fund”). RA Capital Management, L.P. (“RA Capital”) is the investment manager for RA Capital Fund. The general partner of RA Capital is RA Capital Management GP, LLC, of which Dr. Peter Kolchinsky and Mr. Rajeev Shah are the managing members. Rajeev Shah is a member of our board of directors. RA Capital, RA Capital Management GP, LLC, Dr. Kolchinsky and Mr. Shah may be deemed to have voting and investment power over the shares held of record by RA Capital Fund. RA Capital, RA Capital Management GP, LLC, Dr. Kolchinsky and Mr. Shah expressly disclaim beneficial ownership over all shares held by RA Capital Fund, except to the extent of their pecuniary interest therein. The address for each of RA Capital Fund and RA Capital is c/o 200 Berkeley Street, 18th Floor, Boston, MA 02116. Based on information set forth in a Schedule 13D/A filed with the SEC on March 25, 2021.</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33" w:name="page134"/>
    <w:bookmarkEnd w:id="133"/>
    <w:p>
      <w:pPr>
        <w:ind w:left="532" w:right="40" w:hanging="532"/>
        <w:spacing w:after="0" w:line="254" w:lineRule="auto"/>
        <w:tabs>
          <w:tab w:leader="none" w:pos="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(a) 832,795 shares held by EcoR1 Capital, LLC (“EcoR1”) and (b) 8,369,907 shares held by EcoR1 Capital Fund Qualified, L.P. (“Qualified Fund”), where EcoR1 and Oleg Nodelman hold shared voting power and shared dispositive power. The address of EcoR1, the Qualified Fund and Oleg Nodelman is 357 Tehama Street #3, San Francisco, CA 94103. Based on information set forth in a Schedule 13G/A field with the SEC on February 14, 2022.</w:t>
      </w:r>
    </w:p>
    <w:p>
      <w:pPr>
        <w:spacing w:after="0" w:line="2" w:lineRule="exact"/>
        <w:rPr>
          <w:rFonts w:ascii="Arial" w:cs="Arial" w:eastAsia="Arial" w:hAnsi="Arial"/>
          <w:sz w:val="18"/>
          <w:szCs w:val="18"/>
          <w:color w:val="auto"/>
        </w:rPr>
      </w:pPr>
    </w:p>
    <w:p>
      <w:pPr>
        <w:ind w:left="532" w:right="60" w:hanging="532"/>
        <w:spacing w:after="0" w:line="250" w:lineRule="auto"/>
        <w:tabs>
          <w:tab w:leader="none" w:pos="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shares held by BCLS SB Investco, LP. (“BCLS”). Bain Capital Life Sciences Investors, LLC is the ultimate general partner of BCLS. As a result, Bain Capital Life Sciences Investors, LLC may be deemed to share voting and dispositive power with respect to the shares held by BCLS. The address of BCLS SB Investco, LP is c/o Bain Capital Life Sciences, LP, 200 Clarendon Street, Boston, Massachusetts 02116. Based on information set forth in a Schedule 13D/A filed with the SEC on March 25, 2021.</w:t>
      </w:r>
    </w:p>
    <w:p>
      <w:pPr>
        <w:spacing w:after="0" w:line="1" w:lineRule="exact"/>
        <w:rPr>
          <w:rFonts w:ascii="Arial" w:cs="Arial" w:eastAsia="Arial" w:hAnsi="Arial"/>
          <w:sz w:val="18"/>
          <w:szCs w:val="18"/>
          <w:color w:val="auto"/>
        </w:rPr>
      </w:pPr>
    </w:p>
    <w:p>
      <w:pPr>
        <w:ind w:left="532" w:right="500" w:hanging="532"/>
        <w:spacing w:after="0" w:line="250" w:lineRule="auto"/>
        <w:tabs>
          <w:tab w:leader="none" w:pos="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shares held by Ultragenyx Pharmaceuticals, Inc. with principal executive offices located at 60 Leveroni Court, Novato, California 94949.</w:t>
      </w:r>
    </w:p>
    <w:p>
      <w:pPr>
        <w:ind w:left="532" w:right="280" w:hanging="532"/>
        <w:spacing w:after="0" w:line="281" w:lineRule="auto"/>
        <w:tabs>
          <w:tab w:leader="none" w:pos="532"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Consists of 6,287,193 shares held by Suvretta Capital Management, LLC (“Suvretta”), where Suvretta, Averill Master Fund, Ltd. ("Averill") and Aaron Cowen hold shared voting power and shared dispositive power. The address of Suvretta and Aaron Cowen is 540 Madison Avenue, 7th Floor, New York, New York 10022 and the address of Averilll is c/o Maples Corporate Services Limited, P.O. Box 309, Ugland House, Grand Cayman KY1-1104, Cayman Islands. Based on information set forth in a Schedule 13G/A field with the SEC on February 11, 2022.</w:t>
      </w:r>
    </w:p>
    <w:p>
      <w:pPr>
        <w:spacing w:after="0" w:line="2" w:lineRule="exact"/>
        <w:rPr>
          <w:rFonts w:ascii="Arial" w:cs="Arial" w:eastAsia="Arial" w:hAnsi="Arial"/>
          <w:sz w:val="16"/>
          <w:szCs w:val="16"/>
          <w:color w:val="auto"/>
        </w:rPr>
      </w:pPr>
    </w:p>
    <w:p>
      <w:pPr>
        <w:ind w:left="532" w:right="460" w:hanging="532"/>
        <w:spacing w:after="0" w:line="250" w:lineRule="auto"/>
        <w:tabs>
          <w:tab w:leader="none" w:pos="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6,253,209 shares held by BlackRock, Inc. (“BlackRock”), where BlackRock holds sole voting power of 6,079,293. The address of BlackRock is 55 East 52nd Street, New York, New York 10055. Based on information set forth in a Schedule 13G/A field with the SEC on February 4, 2022.</w:t>
      </w:r>
    </w:p>
    <w:p>
      <w:pPr>
        <w:spacing w:after="0" w:line="1" w:lineRule="exact"/>
        <w:rPr>
          <w:rFonts w:ascii="Arial" w:cs="Arial" w:eastAsia="Arial" w:hAnsi="Arial"/>
          <w:sz w:val="18"/>
          <w:szCs w:val="18"/>
          <w:color w:val="auto"/>
        </w:rPr>
      </w:pPr>
    </w:p>
    <w:p>
      <w:pPr>
        <w:ind w:left="532" w:right="160" w:hanging="532"/>
        <w:spacing w:after="0" w:line="265" w:lineRule="auto"/>
        <w:tabs>
          <w:tab w:leader="none" w:pos="532"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Consists of (a) 1,141,462 shares held by Mr. Ganot as an individual, (b) 60,631 shares held by Mr. Ganot and Ms. Ganot as joint tenants with right of survivorship, (c) 290,914 shares held by Mr. Adam Ganot and Ms. Ganot, as trustees for the Ilan Ganot 2017 Irrevocable Trust, (d) 441,500 shares of common stock underlying options held by Mr. Ganot that are exercisable as of February 16, 2022 or will become exercisable within 60 days after such date, (e) 2,518 shares held by Ms. Ganot and (f) 4,522 shares of common stock underlying options held by Ms. Ganot that are exercisable as of February 16, 2022 or will become exercisable within 60 days after such date.</w:t>
      </w:r>
    </w:p>
    <w:p>
      <w:pPr>
        <w:ind w:left="532" w:right="280" w:hanging="532"/>
        <w:spacing w:after="0" w:line="250" w:lineRule="auto"/>
        <w:tabs>
          <w:tab w:leader="none" w:pos="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81,125 shares of common stock underlying options held by Ms. Brennan that are exercisable as of February 16, 2022 or will become exercisable within 60 days after such date.</w:t>
      </w:r>
    </w:p>
    <w:p>
      <w:pPr>
        <w:ind w:left="532" w:right="60" w:hanging="532"/>
        <w:spacing w:after="0" w:line="250" w:lineRule="auto"/>
        <w:tabs>
          <w:tab w:leader="none" w:pos="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(a) 191,774 shares of common stock owned by Mr. Schneider, (b) 221,667 shares of common stock underlying options held by Mr. Schneider that are exercisable as of February 16, 2022 or will become exercisable within 60 days after such date, and (c) 75,000 shares of restricted stock units expected to vest within 60 days after February 16, 2022.</w:t>
      </w:r>
    </w:p>
    <w:p>
      <w:pPr>
        <w:spacing w:after="0" w:line="1" w:lineRule="exact"/>
        <w:rPr>
          <w:rFonts w:ascii="Arial" w:cs="Arial" w:eastAsia="Arial" w:hAnsi="Arial"/>
          <w:sz w:val="18"/>
          <w:szCs w:val="18"/>
          <w:color w:val="auto"/>
        </w:rPr>
      </w:pPr>
    </w:p>
    <w:p>
      <w:pPr>
        <w:ind w:left="532" w:hanging="532"/>
        <w:spacing w:after="0" w:line="250" w:lineRule="auto"/>
        <w:tabs>
          <w:tab w:leader="none" w:pos="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(a) 270,270 shares of common stock owned by Mr. Smith, (b) 675,664 shares of common stock underlying options held by Mr. Smith that are exercisable as of February 16, 2022 or will become exercisable within 60 days after such date, and (c) 24,312 shares of restricted stock units expected to vest within 60 days after February 16, 2022.</w:t>
      </w:r>
    </w:p>
    <w:p>
      <w:pPr>
        <w:spacing w:after="0" w:line="1" w:lineRule="exact"/>
        <w:rPr>
          <w:rFonts w:ascii="Arial" w:cs="Arial" w:eastAsia="Arial" w:hAnsi="Arial"/>
          <w:sz w:val="18"/>
          <w:szCs w:val="18"/>
          <w:color w:val="auto"/>
        </w:rPr>
      </w:pPr>
    </w:p>
    <w:p>
      <w:pPr>
        <w:ind w:left="532" w:right="240" w:hanging="532"/>
        <w:spacing w:after="0" w:line="250" w:lineRule="auto"/>
        <w:tabs>
          <w:tab w:leader="none" w:pos="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(a) 53,763 shares of common stock owned by Dr. Freed and (b) 70,000 shares of common stock underlying options held by Dr. Freed that are exercisable as of February 16, 2022 or will become exercisable within 60 days after such date.</w:t>
      </w:r>
    </w:p>
    <w:p>
      <w:pPr>
        <w:ind w:left="532" w:right="300" w:hanging="532"/>
        <w:spacing w:after="0" w:line="250" w:lineRule="auto"/>
        <w:tabs>
          <w:tab w:leader="none" w:pos="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50,000 shares of common stock underlying options held by Mr. Huffines that are exercisable as of February 16, 2022 or will become exercisable within 60 days after such date.</w:t>
      </w:r>
    </w:p>
    <w:p>
      <w:pPr>
        <w:ind w:left="532" w:right="500" w:hanging="532"/>
        <w:spacing w:after="0" w:line="250" w:lineRule="auto"/>
        <w:tabs>
          <w:tab w:leader="none" w:pos="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13,333 shares of common stock underlying options held by Ms. Kahn that are exercisable as of February 16, 2022 or will become exercisable within 60 days after such date.</w:t>
      </w:r>
    </w:p>
    <w:p>
      <w:pPr>
        <w:ind w:left="532" w:right="340" w:hanging="532"/>
        <w:spacing w:after="0" w:line="250" w:lineRule="auto"/>
        <w:tabs>
          <w:tab w:leader="none" w:pos="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13,333 shares of common stock underlying options held by Ms. Keresty that are exercisable as of February 16, 2022 or will become exercisable within 60 days after such date.</w:t>
      </w:r>
    </w:p>
    <w:p>
      <w:pPr>
        <w:ind w:left="532" w:right="140" w:hanging="532"/>
        <w:spacing w:after="0" w:line="250" w:lineRule="auto"/>
        <w:tabs>
          <w:tab w:leader="none" w:pos="532"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60,000 shares of common stock underlying options held by Dr. Koppel that are exercisable as of February 16, 2022 or will become exercisable within 60 days after such date. Does not include shares of common stock held by BCLS SB Investco, LP ("BCLS"). Dr. Koppel is a Managing Director of Bain Capital Life Sciences Investors, LLC. As a result, by virtue of the relationships described in footnote 4 above, Dr. Koppel may be deemed to share beneficial ownership of such securities held by BCLS. Dr. Koppel’s address is c/o Bain Capital Life Sciences, LP, 200 Clarendon Street, Boston, Massachusetts 02116.</w:t>
      </w:r>
    </w:p>
    <w:p>
      <w:pPr>
        <w:spacing w:after="0" w:line="1" w:lineRule="exact"/>
        <w:rPr>
          <w:rFonts w:ascii="Arial" w:cs="Arial" w:eastAsia="Arial" w:hAnsi="Arial"/>
          <w:sz w:val="18"/>
          <w:szCs w:val="18"/>
          <w:color w:val="auto"/>
        </w:rPr>
      </w:pPr>
    </w:p>
    <w:p>
      <w:pPr>
        <w:ind w:left="532" w:right="320" w:hanging="532"/>
        <w:spacing w:after="0" w:line="265" w:lineRule="auto"/>
        <w:tabs>
          <w:tab w:leader="none" w:pos="532"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Consists of (a) 34,258 shares of common stock owned by Dr. Nagendran and (b) 70,000 shares of common stock underlying options held by Dr. Nagendran that are exercisable as of February 16, 2022 or will become exercisable within 60 days after such date.</w:t>
      </w:r>
    </w:p>
    <w:p>
      <w:pPr>
        <w:ind w:left="532" w:right="80" w:hanging="532"/>
        <w:spacing w:after="0" w:line="292" w:lineRule="auto"/>
        <w:tabs>
          <w:tab w:leader="none" w:pos="532"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Consists of shares held by RA Capital Fund as described in Footnote (2) above. Mr. Shah disclaims beneficial ownership of all shares held by RA Capital Fund, except to the extent of his pecuniary interest therein. The address for each of RA Capital Fund and RA Capital is c/o 200 Berkeley Street, 18th Floor, Boston, MA 02116. Entities affiliated with RA Capital report that they hold shared voting power and shared dispositive power with respect to all shares held by them. In addition, the amount consists of 50,000 shares of common stock underlying options held by Mr. Shah for the benefit of RA Capital that are exercisable as of February 16, 2022 or will become exercisable within 60 days after such date.</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134" w:name="page135"/>
    <w:bookmarkEnd w:id="134"/>
    <w:p>
      <w:pPr>
        <w:ind w:left="540" w:right="60" w:hanging="532"/>
        <w:spacing w:after="0" w:line="287"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Mr. Stone is Chief Investment Officer of Perceptive Advisors LLC. Mr. Stone disclaims beneficial ownership of the shares held by Perceptive. The address of Mr. Stone is 51 Astor Place, 10th Floor, New York, NY 10003. In addition, the amount consists of 50,000 shares of common stock underlying options held by Mr. Stone that are exercisable as of February 16, 2022 or will become exercisable within 60 days after such date.</w:t>
      </w:r>
    </w:p>
    <w:p>
      <w:pPr>
        <w:spacing w:after="0" w:line="2" w:lineRule="exact"/>
        <w:rPr>
          <w:rFonts w:ascii="Arial" w:cs="Arial" w:eastAsia="Arial" w:hAnsi="Arial"/>
          <w:sz w:val="16"/>
          <w:szCs w:val="16"/>
          <w:color w:val="auto"/>
        </w:rPr>
      </w:pPr>
    </w:p>
    <w:p>
      <w:pPr>
        <w:ind w:left="540" w:right="260" w:hanging="532"/>
        <w:spacing w:after="0" w:line="250"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Consists of 50,000 shares of common stock underlying options held by Ms. Sullivan that are exercisable as of February 16, 2022 or will become exercisable within 60 days after such date.</w:t>
      </w:r>
    </w:p>
    <w:p>
      <w:pPr>
        <w:ind w:left="540" w:right="160" w:hanging="532"/>
        <w:spacing w:after="0" w:line="255"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(1) 2,167,387 shares of common stock underlying options that are exercisable as of February 16, 2022 or will become exercisable within 60 days after such date, (2) 30,000 warrant issued to purchase our common stock, and (4) 75,000 shares of restricted stock units expected to vest within 60 days after February 16, 2022.</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right="80" w:firstLine="546"/>
        <w:spacing w:after="0" w:line="263" w:lineRule="auto"/>
        <w:rPr>
          <w:sz w:val="20"/>
          <w:szCs w:val="20"/>
          <w:color w:val="auto"/>
        </w:rPr>
      </w:pPr>
      <w:r>
        <w:rPr>
          <w:rFonts w:ascii="Arial" w:cs="Arial" w:eastAsia="Arial" w:hAnsi="Arial"/>
          <w:sz w:val="18"/>
          <w:szCs w:val="18"/>
          <w:color w:val="auto"/>
        </w:rPr>
        <w:t>The following table provides information about our equity compensation plans as of December 31, 2021. As of December 31, 2021, we had three equity compensation plans, our 2018 Plan, our 2020 Plan and our ESPP, each of which was approved by our stockholders. We have also made inducement awards to certain new hires, which awards were not approved by our stockholders.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16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the exercise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 outstanding</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options,</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8"/>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warrants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71"/>
        </w:trPr>
        <w:tc>
          <w:tcPr>
            <w:tcW w:w="4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rights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and rights (2)</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09"/>
        </w:trPr>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w:t>
            </w: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holders</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5,605,330</w:t>
            </w: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8,557,152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40" w:type="dxa"/>
            <w:vAlign w:val="bottom"/>
          </w:tcPr>
          <w:p>
            <w:pPr>
              <w:spacing w:after="0"/>
              <w:rPr>
                <w:sz w:val="20"/>
                <w:szCs w:val="20"/>
                <w:color w:val="auto"/>
              </w:rPr>
            </w:pPr>
            <w:r>
              <w:rPr>
                <w:rFonts w:ascii="Arial" w:cs="Arial" w:eastAsia="Arial" w:hAnsi="Arial"/>
                <w:sz w:val="18"/>
                <w:szCs w:val="18"/>
                <w:color w:val="auto"/>
              </w:rPr>
              <w:t>Equity compensation plans not approved by</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security holders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917,000</w:t>
            </w:r>
          </w:p>
        </w:tc>
        <w:tc>
          <w:tcPr>
            <w:tcW w:w="28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6,522,330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2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8,557,152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054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155" w:lineRule="exact"/>
        <w:rPr>
          <w:sz w:val="20"/>
          <w:szCs w:val="20"/>
          <w:color w:val="auto"/>
        </w:rPr>
      </w:pPr>
    </w:p>
    <w:p>
      <w:pPr>
        <w:ind w:left="280" w:hanging="246"/>
        <w:spacing w:after="0"/>
        <w:tabs>
          <w:tab w:leader="none" w:pos="2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Reflects shares issuable upon exercise of options and settlement of RSUs.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weighted-average exercise price does not include RSUs, which have no exercise price.</w:t>
      </w:r>
    </w:p>
    <w:p>
      <w:pPr>
        <w:spacing w:after="0" w:line="9" w:lineRule="exact"/>
        <w:rPr>
          <w:rFonts w:ascii="Arial" w:cs="Arial" w:eastAsia="Arial" w:hAnsi="Arial"/>
          <w:sz w:val="18"/>
          <w:szCs w:val="18"/>
          <w:color w:val="auto"/>
        </w:rPr>
      </w:pPr>
    </w:p>
    <w:p>
      <w:pPr>
        <w:ind w:firstLine="8"/>
        <w:spacing w:after="0" w:line="255"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inducement stock option and restricted stock unit awards granted to employees in accordance with Nasdaq Listing Rule 5635(c)(4), with an exercise price equal to the closing price of our common stock on the date of grant, for inducement stock option awards, and each inducement award vesting over four years in equal annual installments from the applicable employee’s new hire date.</w:t>
      </w:r>
    </w:p>
    <w:p>
      <w:pPr>
        <w:spacing w:after="0" w:line="21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100" w:firstLine="546"/>
        <w:spacing w:after="0" w:line="275" w:lineRule="auto"/>
        <w:rPr>
          <w:sz w:val="20"/>
          <w:szCs w:val="20"/>
          <w:color w:val="auto"/>
        </w:rPr>
      </w:pPr>
      <w:r>
        <w:rPr>
          <w:rFonts w:ascii="Arial" w:cs="Arial" w:eastAsia="Arial" w:hAnsi="Arial"/>
          <w:sz w:val="17"/>
          <w:szCs w:val="17"/>
          <w:color w:val="auto"/>
        </w:rPr>
        <w:t>In addition to the executive officer and director compensation arrangements discussed above under “Compensation of our executive officers and directors,” we describe transactions since January 1, 2020 to which we have been or will be a participant, in which the amount involved in the transaction exceeds the lesser of $120,000 or 1% of our total assets at year-end for each of the last two completed fiscal years and in which any of our directors, executive officers or beneficial holders of more than 5% of any class of our capital stock, or 5% Security Holders, or any immediate family member of, or person sharing the household with, any of these individuals, had or will have a direct or indirect material interest.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We are party to an Amended and Restated Registration Rights Agreement, or the Registration Rights Agreement, dated March 29, 2017, with certain of our stockholders, or the Investors, which includes our 5% Security Holders and entities affiliated with certain of our directors. The Registration Rights Agreement provides the Investors the right, subject to certain conditions, to demand that we file a registration statement or to request that their shares be covered by a registration statement that we are otherwise filing.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Private placement</w:t>
      </w:r>
    </w:p>
    <w:p>
      <w:pPr>
        <w:spacing w:after="0" w:line="243"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On December 15, 2020, we entered into a definitive agreement with respect to the private placement of 24,324,320 shares of our common stock at a price per share of $3.70. We completed this private placement on December 15, 2020, resulting in approximately $90.0 million in gross proceeds to us, before deducting offering costs of $3.8 million. The number of shares that each of our directors, executive officers and holders of more than 5% of our voting securities purchased and the aggregate purchase price paid for such shares is set forth in the table below.</w:t>
      </w:r>
    </w:p>
    <w:tbl>
      <w:tblPr>
        <w:tblLayout w:type="fixed"/>
        <w:tblInd w:w="1140" w:type="dxa"/>
        <w:tblCellMar>
          <w:top w:w="0" w:type="dxa"/>
          <w:left w:w="0" w:type="dxa"/>
          <w:bottom w:w="0" w:type="dxa"/>
          <w:right w:w="0" w:type="dxa"/>
        </w:tblCellMar>
      </w:tblPr>
      <w:tr>
        <w:trPr>
          <w:trHeight w:val="141"/>
        </w:trPr>
        <w:tc>
          <w:tcPr>
            <w:tcW w:w="4020" w:type="dxa"/>
            <w:vAlign w:val="bottom"/>
          </w:tcPr>
          <w:p>
            <w:pPr>
              <w:spacing w:after="0"/>
              <w:rPr>
                <w:sz w:val="12"/>
                <w:szCs w:val="12"/>
                <w:color w:val="auto"/>
              </w:rPr>
            </w:pPr>
          </w:p>
        </w:tc>
        <w:tc>
          <w:tcPr>
            <w:tcW w:w="2780" w:type="dxa"/>
            <w:vAlign w:val="bottom"/>
          </w:tcPr>
          <w:p>
            <w:pPr>
              <w:jc w:val="center"/>
              <w:ind w:left="716"/>
              <w:spacing w:after="0" w:line="141"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780" w:type="dxa"/>
            <w:vAlign w:val="bottom"/>
          </w:tcPr>
          <w:p>
            <w:pPr>
              <w:jc w:val="center"/>
              <w:ind w:left="716"/>
              <w:spacing w:after="0" w:line="149" w:lineRule="exact"/>
              <w:rPr>
                <w:sz w:val="20"/>
                <w:szCs w:val="20"/>
                <w:color w:val="auto"/>
              </w:rPr>
            </w:pPr>
            <w:r>
              <w:rPr>
                <w:rFonts w:ascii="Arial" w:cs="Arial" w:eastAsia="Arial" w:hAnsi="Arial"/>
                <w:sz w:val="14"/>
                <w:szCs w:val="14"/>
                <w:b w:val="1"/>
                <w:bCs w:val="1"/>
                <w:color w:val="auto"/>
                <w:w w:val="90"/>
              </w:rPr>
              <w:t>Shares of</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780" w:type="dxa"/>
            <w:vAlign w:val="bottom"/>
          </w:tcPr>
          <w:p>
            <w:pPr>
              <w:jc w:val="center"/>
              <w:ind w:left="716"/>
              <w:spacing w:after="0" w:line="149" w:lineRule="exact"/>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Name (1)</w:t>
            </w:r>
          </w:p>
        </w:tc>
        <w:tc>
          <w:tcPr>
            <w:tcW w:w="2780" w:type="dxa"/>
            <w:vAlign w:val="bottom"/>
          </w:tcPr>
          <w:p>
            <w:pPr>
              <w:jc w:val="center"/>
              <w:ind w:left="716"/>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71"/>
        </w:trPr>
        <w:tc>
          <w:tcPr>
            <w:tcW w:w="4020" w:type="dxa"/>
            <w:vAlign w:val="bottom"/>
            <w:vMerge w:val="continue"/>
          </w:tcPr>
          <w:p>
            <w:pPr>
              <w:spacing w:after="0"/>
              <w:rPr>
                <w:sz w:val="14"/>
                <w:szCs w:val="14"/>
                <w:color w:val="auto"/>
              </w:rPr>
            </w:pPr>
          </w:p>
        </w:tc>
        <w:tc>
          <w:tcPr>
            <w:tcW w:w="2780" w:type="dxa"/>
            <w:vAlign w:val="bottom"/>
          </w:tcPr>
          <w:p>
            <w:pPr>
              <w:jc w:val="center"/>
              <w:ind w:left="696"/>
              <w:spacing w:after="0"/>
              <w:rPr>
                <w:sz w:val="20"/>
                <w:szCs w:val="20"/>
                <w:color w:val="auto"/>
              </w:rPr>
            </w:pPr>
            <w:r>
              <w:rPr>
                <w:rFonts w:ascii="Arial" w:cs="Arial" w:eastAsia="Arial" w:hAnsi="Arial"/>
                <w:sz w:val="14"/>
                <w:szCs w:val="14"/>
                <w:b w:val="1"/>
                <w:bCs w:val="1"/>
                <w:color w:val="auto"/>
                <w:w w:val="89"/>
              </w:rPr>
              <w:t>Purchased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RA Capital Healthcare Fund, L.P.</w:t>
            </w:r>
          </w:p>
        </w:tc>
        <w:tc>
          <w:tcPr>
            <w:tcW w:w="2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4,938,282</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18,271,643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20" w:type="dxa"/>
            <w:vAlign w:val="bottom"/>
          </w:tcPr>
          <w:p>
            <w:pPr>
              <w:ind w:left="120"/>
              <w:spacing w:after="0"/>
              <w:rPr>
                <w:sz w:val="20"/>
                <w:szCs w:val="20"/>
                <w:color w:val="auto"/>
              </w:rPr>
            </w:pPr>
            <w:r>
              <w:rPr>
                <w:rFonts w:ascii="Arial" w:cs="Arial" w:eastAsia="Arial" w:hAnsi="Arial"/>
                <w:sz w:val="18"/>
                <w:szCs w:val="18"/>
                <w:color w:val="auto"/>
              </w:rPr>
              <w:t>Blackwell Partners LLC -</w:t>
            </w:r>
          </w:p>
        </w:tc>
        <w:tc>
          <w:tcPr>
            <w:tcW w:w="2780" w:type="dxa"/>
            <w:vAlign w:val="bottom"/>
            <w:vMerge w:val="restart"/>
          </w:tcPr>
          <w:p>
            <w:pPr>
              <w:jc w:val="right"/>
              <w:spacing w:after="0"/>
              <w:rPr>
                <w:sz w:val="20"/>
                <w:szCs w:val="20"/>
                <w:color w:val="auto"/>
              </w:rPr>
            </w:pPr>
            <w:r>
              <w:rPr>
                <w:rFonts w:ascii="Arial" w:cs="Arial" w:eastAsia="Arial" w:hAnsi="Arial"/>
                <w:sz w:val="18"/>
                <w:szCs w:val="18"/>
                <w:color w:val="auto"/>
              </w:rPr>
              <w:t>467,123</w:t>
            </w:r>
          </w:p>
        </w:tc>
        <w:tc>
          <w:tcPr>
            <w:tcW w:w="46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1,728,355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20" w:type="dxa"/>
            <w:vAlign w:val="bottom"/>
            <w:vMerge w:val="restart"/>
          </w:tcPr>
          <w:p>
            <w:pPr>
              <w:ind w:left="120"/>
              <w:spacing w:after="0"/>
              <w:rPr>
                <w:sz w:val="20"/>
                <w:szCs w:val="20"/>
                <w:color w:val="auto"/>
              </w:rPr>
            </w:pPr>
            <w:r>
              <w:rPr>
                <w:rFonts w:ascii="Arial" w:cs="Arial" w:eastAsia="Arial" w:hAnsi="Arial"/>
                <w:sz w:val="18"/>
                <w:szCs w:val="18"/>
                <w:color w:val="auto"/>
              </w:rPr>
              <w:t>Series A</w:t>
            </w:r>
          </w:p>
        </w:tc>
        <w:tc>
          <w:tcPr>
            <w:tcW w:w="2780" w:type="dxa"/>
            <w:vAlign w:val="bottom"/>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2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Perceptive Life Sciences</w:t>
            </w:r>
          </w:p>
        </w:tc>
        <w:tc>
          <w:tcPr>
            <w:tcW w:w="2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4,054,054</w:t>
            </w:r>
          </w:p>
        </w:tc>
        <w:tc>
          <w:tcPr>
            <w:tcW w:w="46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15,000,000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2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Master Fund, Ltd</w:t>
            </w:r>
          </w:p>
        </w:tc>
        <w:tc>
          <w:tcPr>
            <w:tcW w:w="2780" w:type="dxa"/>
            <w:vAlign w:val="bottom"/>
            <w:vMerge w:val="continue"/>
            <w:shd w:val="clear" w:color="auto" w:fill="CFF0FC"/>
          </w:tcPr>
          <w:p>
            <w:pPr>
              <w:spacing w:after="0"/>
              <w:rPr>
                <w:sz w:val="10"/>
                <w:szCs w:val="10"/>
                <w:color w:val="auto"/>
              </w:rPr>
            </w:pPr>
          </w:p>
        </w:tc>
        <w:tc>
          <w:tcPr>
            <w:tcW w:w="460" w:type="dxa"/>
            <w:vAlign w:val="bottom"/>
            <w:gridSpan w:val="2"/>
            <w:vMerge w:val="continue"/>
            <w:shd w:val="clear" w:color="auto" w:fill="CFF0FC"/>
          </w:tcPr>
          <w:p>
            <w:pPr>
              <w:spacing w:after="0"/>
              <w:rPr>
                <w:sz w:val="10"/>
                <w:szCs w:val="10"/>
                <w:color w:val="auto"/>
              </w:rPr>
            </w:pPr>
          </w:p>
        </w:tc>
        <w:tc>
          <w:tcPr>
            <w:tcW w:w="164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20" w:type="dxa"/>
            <w:vAlign w:val="bottom"/>
            <w:vMerge w:val="continue"/>
            <w:shd w:val="clear" w:color="auto" w:fill="CFF0FC"/>
          </w:tcPr>
          <w:p>
            <w:pPr>
              <w:spacing w:after="0"/>
              <w:rPr>
                <w:sz w:val="9"/>
                <w:szCs w:val="9"/>
                <w:color w:val="auto"/>
              </w:rPr>
            </w:pPr>
          </w:p>
        </w:tc>
        <w:tc>
          <w:tcPr>
            <w:tcW w:w="27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120"/>
              <w:spacing w:after="0"/>
              <w:rPr>
                <w:sz w:val="20"/>
                <w:szCs w:val="20"/>
                <w:color w:val="auto"/>
              </w:rPr>
            </w:pPr>
            <w:r>
              <w:rPr>
                <w:rFonts w:ascii="Arial" w:cs="Arial" w:eastAsia="Arial" w:hAnsi="Arial"/>
                <w:sz w:val="18"/>
                <w:szCs w:val="18"/>
                <w:color w:val="auto"/>
              </w:rPr>
              <w:t>BCLS SB Investco, LP</w:t>
            </w:r>
          </w:p>
        </w:tc>
        <w:tc>
          <w:tcPr>
            <w:tcW w:w="2780" w:type="dxa"/>
            <w:vAlign w:val="bottom"/>
          </w:tcPr>
          <w:p>
            <w:pPr>
              <w:jc w:val="right"/>
              <w:spacing w:after="0"/>
              <w:rPr>
                <w:sz w:val="20"/>
                <w:szCs w:val="20"/>
                <w:color w:val="auto"/>
              </w:rPr>
            </w:pPr>
            <w:r>
              <w:rPr>
                <w:rFonts w:ascii="Arial" w:cs="Arial" w:eastAsia="Arial" w:hAnsi="Arial"/>
                <w:sz w:val="18"/>
                <w:szCs w:val="18"/>
                <w:color w:val="auto"/>
              </w:rPr>
              <w:t>3,189,189</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11,799,999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EcoR1 Capital Fund, L.P.</w:t>
            </w:r>
          </w:p>
        </w:tc>
        <w:tc>
          <w:tcPr>
            <w:tcW w:w="2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421,622</w:t>
            </w: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20" w:type="dxa"/>
            <w:vAlign w:val="bottom"/>
          </w:tcPr>
          <w:p>
            <w:pPr>
              <w:ind w:left="120"/>
              <w:spacing w:after="0"/>
              <w:rPr>
                <w:sz w:val="20"/>
                <w:szCs w:val="20"/>
                <w:color w:val="auto"/>
              </w:rPr>
            </w:pPr>
            <w:r>
              <w:rPr>
                <w:rFonts w:ascii="Arial" w:cs="Arial" w:eastAsia="Arial" w:hAnsi="Arial"/>
                <w:sz w:val="18"/>
                <w:szCs w:val="18"/>
                <w:color w:val="auto"/>
              </w:rPr>
              <w:t>EcoR1 Capital Fund</w:t>
            </w:r>
          </w:p>
        </w:tc>
        <w:tc>
          <w:tcPr>
            <w:tcW w:w="2780" w:type="dxa"/>
            <w:vAlign w:val="bottom"/>
            <w:vMerge w:val="restart"/>
          </w:tcPr>
          <w:p>
            <w:pPr>
              <w:jc w:val="right"/>
              <w:spacing w:after="0"/>
              <w:rPr>
                <w:sz w:val="20"/>
                <w:szCs w:val="20"/>
                <w:color w:val="auto"/>
              </w:rPr>
            </w:pPr>
            <w:r>
              <w:rPr>
                <w:rFonts w:ascii="Arial" w:cs="Arial" w:eastAsia="Arial" w:hAnsi="Arial"/>
                <w:sz w:val="18"/>
                <w:szCs w:val="18"/>
                <w:color w:val="auto"/>
              </w:rPr>
              <w:t>2,281,080</w:t>
            </w:r>
          </w:p>
        </w:tc>
        <w:tc>
          <w:tcPr>
            <w:tcW w:w="46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8,439,996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20" w:type="dxa"/>
            <w:vAlign w:val="bottom"/>
            <w:vMerge w:val="restart"/>
          </w:tcPr>
          <w:p>
            <w:pPr>
              <w:ind w:left="120"/>
              <w:spacing w:after="0"/>
              <w:rPr>
                <w:sz w:val="20"/>
                <w:szCs w:val="20"/>
                <w:color w:val="auto"/>
              </w:rPr>
            </w:pPr>
            <w:r>
              <w:rPr>
                <w:rFonts w:ascii="Arial" w:cs="Arial" w:eastAsia="Arial" w:hAnsi="Arial"/>
                <w:sz w:val="18"/>
                <w:szCs w:val="18"/>
                <w:color w:val="auto"/>
              </w:rPr>
              <w:t>Qualified, L.P.</w:t>
            </w:r>
          </w:p>
        </w:tc>
        <w:tc>
          <w:tcPr>
            <w:tcW w:w="2780" w:type="dxa"/>
            <w:vAlign w:val="bottom"/>
            <w:vMerge w:val="continue"/>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20" w:type="dxa"/>
            <w:vAlign w:val="bottom"/>
            <w:vMerge w:val="continue"/>
          </w:tcPr>
          <w:p>
            <w:pPr>
              <w:spacing w:after="0"/>
              <w:rPr>
                <w:sz w:val="9"/>
                <w:szCs w:val="9"/>
                <w:color w:val="auto"/>
              </w:rPr>
            </w:pPr>
          </w:p>
        </w:tc>
        <w:tc>
          <w:tcPr>
            <w:tcW w:w="2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Boxer Capital, LLC</w:t>
            </w:r>
          </w:p>
        </w:tc>
        <w:tc>
          <w:tcPr>
            <w:tcW w:w="2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2,702,702</w:t>
            </w: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9,999,997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20"/>
              <w:spacing w:after="0"/>
              <w:rPr>
                <w:sz w:val="20"/>
                <w:szCs w:val="20"/>
                <w:color w:val="auto"/>
              </w:rPr>
            </w:pPr>
            <w:r>
              <w:rPr>
                <w:rFonts w:ascii="Arial" w:cs="Arial" w:eastAsia="Arial" w:hAnsi="Arial"/>
                <w:sz w:val="18"/>
                <w:szCs w:val="18"/>
                <w:color w:val="auto"/>
              </w:rPr>
              <w:t>Matthew Arnold</w:t>
            </w:r>
          </w:p>
        </w:tc>
        <w:tc>
          <w:tcPr>
            <w:tcW w:w="2780" w:type="dxa"/>
            <w:vAlign w:val="bottom"/>
          </w:tcPr>
          <w:p>
            <w:pPr>
              <w:jc w:val="right"/>
              <w:spacing w:after="0"/>
              <w:rPr>
                <w:sz w:val="20"/>
                <w:szCs w:val="20"/>
                <w:color w:val="auto"/>
              </w:rPr>
            </w:pPr>
            <w:r>
              <w:rPr>
                <w:rFonts w:ascii="Arial" w:cs="Arial" w:eastAsia="Arial" w:hAnsi="Arial"/>
                <w:sz w:val="18"/>
                <w:szCs w:val="18"/>
                <w:color w:val="auto"/>
              </w:rPr>
              <w:t>432,432</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1,599,998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Ian Smith</w:t>
            </w:r>
          </w:p>
        </w:tc>
        <w:tc>
          <w:tcPr>
            <w:tcW w:w="2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270,270</w:t>
            </w: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999,999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20"/>
              <w:spacing w:after="0"/>
              <w:rPr>
                <w:sz w:val="20"/>
                <w:szCs w:val="20"/>
                <w:color w:val="auto"/>
              </w:rPr>
            </w:pPr>
            <w:r>
              <w:rPr>
                <w:rFonts w:ascii="Arial" w:cs="Arial" w:eastAsia="Arial" w:hAnsi="Arial"/>
                <w:sz w:val="18"/>
                <w:szCs w:val="18"/>
                <w:color w:val="auto"/>
              </w:rPr>
              <w:t>Ilan Ganot</w:t>
            </w:r>
          </w:p>
        </w:tc>
        <w:tc>
          <w:tcPr>
            <w:tcW w:w="2780" w:type="dxa"/>
            <w:vAlign w:val="bottom"/>
          </w:tcPr>
          <w:p>
            <w:pPr>
              <w:jc w:val="right"/>
              <w:spacing w:after="0"/>
              <w:rPr>
                <w:sz w:val="20"/>
                <w:szCs w:val="20"/>
                <w:color w:val="auto"/>
              </w:rPr>
            </w:pPr>
            <w:r>
              <w:rPr>
                <w:rFonts w:ascii="Arial" w:cs="Arial" w:eastAsia="Arial" w:hAnsi="Arial"/>
                <w:sz w:val="18"/>
                <w:szCs w:val="18"/>
                <w:color w:val="auto"/>
              </w:rPr>
              <w:t>27,027</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600" w:right="540" w:hanging="796"/>
        <w:spacing w:after="0" w:line="277" w:lineRule="auto"/>
        <w:tabs>
          <w:tab w:leader="none" w:pos="1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See “Item 12. Security Ownership of Certain Beneficial Owners and Management and Related Stockholder Matters” for more information about the shares held by the above identified entities and individuals.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w:t>
      </w:r>
    </w:p>
    <w:p>
      <w:pPr>
        <w:spacing w:after="0" w:line="121" w:lineRule="exact"/>
        <w:rPr>
          <w:sz w:val="20"/>
          <w:szCs w:val="20"/>
          <w:color w:val="auto"/>
        </w:rPr>
      </w:pPr>
    </w:p>
    <w:p>
      <w:pPr>
        <w:ind w:right="20" w:firstLine="546"/>
        <w:spacing w:after="0" w:line="313" w:lineRule="auto"/>
        <w:rPr>
          <w:sz w:val="20"/>
          <w:szCs w:val="20"/>
          <w:color w:val="auto"/>
        </w:rPr>
      </w:pPr>
      <w:r>
        <w:rPr>
          <w:rFonts w:ascii="Arial" w:cs="Arial" w:eastAsia="Arial" w:hAnsi="Arial"/>
          <w:sz w:val="16"/>
          <w:szCs w:val="16"/>
          <w:color w:val="auto"/>
        </w:rPr>
        <w:t>In March 2021, we issued and sold 25,000,000 shares of our common stock, including the full exercise by the underwriters of an option to purchase additional shares of common stock, at a price per share of $5.75 in a follow-on public offering. We received net proceeds of approximately $134.9 million, after deducting underwriter discounts and commissions and offering expenses. The number of shares that each of our directors, executive officers and holders of more than 5% of our voting securities purchased and the aggregate purchase price paid for such shares is set forth in the table below.</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12"/>
                <w:szCs w:val="12"/>
                <w:b w:val="1"/>
                <w:bCs w:val="1"/>
                <w:color w:val="auto"/>
              </w:rPr>
              <w:t>(1)</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of Common</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9"/>
              </w:rPr>
              <w:t>Stock Purchased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RA Capital Healthcare Fund, L.P.</w:t>
            </w:r>
          </w:p>
        </w:tc>
        <w:tc>
          <w:tcPr>
            <w:tcW w:w="440" w:type="dxa"/>
            <w:vAlign w:val="bottom"/>
            <w:tcBorders>
              <w:top w:val="single" w:sz="8" w:color="CFF0FC"/>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2,206,685</w:t>
            </w:r>
          </w:p>
        </w:tc>
        <w:tc>
          <w:tcPr>
            <w:tcW w:w="4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12,688,439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Blackwell Partners LLC - Series A</w:t>
            </w:r>
          </w:p>
        </w:tc>
        <w:tc>
          <w:tcPr>
            <w:tcW w:w="2140" w:type="dxa"/>
            <w:vAlign w:val="bottom"/>
          </w:tcPr>
          <w:p>
            <w:pPr>
              <w:jc w:val="right"/>
              <w:spacing w:after="0"/>
              <w:rPr>
                <w:sz w:val="20"/>
                <w:szCs w:val="20"/>
                <w:color w:val="auto"/>
              </w:rPr>
            </w:pPr>
            <w:r>
              <w:rPr>
                <w:rFonts w:ascii="Arial" w:cs="Arial" w:eastAsia="Arial" w:hAnsi="Arial"/>
                <w:sz w:val="18"/>
                <w:szCs w:val="18"/>
                <w:color w:val="auto"/>
              </w:rPr>
              <w:t>184,619</w:t>
            </w:r>
          </w:p>
        </w:tc>
        <w:tc>
          <w:tcPr>
            <w:tcW w:w="7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1,061,559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Perceptive Life Sciences</w:t>
            </w:r>
          </w:p>
        </w:tc>
        <w:tc>
          <w:tcPr>
            <w:tcW w:w="2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Master Fund, Ltd</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2,608,695</w:t>
            </w:r>
          </w:p>
        </w:tc>
        <w:tc>
          <w:tcPr>
            <w:tcW w:w="7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14,999,996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BCLS SB Investco, LP</w:t>
            </w:r>
          </w:p>
        </w:tc>
        <w:tc>
          <w:tcPr>
            <w:tcW w:w="2140" w:type="dxa"/>
            <w:vAlign w:val="bottom"/>
          </w:tcPr>
          <w:p>
            <w:pPr>
              <w:jc w:val="right"/>
              <w:spacing w:after="0"/>
              <w:rPr>
                <w:sz w:val="20"/>
                <w:szCs w:val="20"/>
                <w:color w:val="auto"/>
              </w:rPr>
            </w:pPr>
            <w:r>
              <w:rPr>
                <w:rFonts w:ascii="Arial" w:cs="Arial" w:eastAsia="Arial" w:hAnsi="Arial"/>
                <w:sz w:val="18"/>
                <w:szCs w:val="18"/>
                <w:color w:val="auto"/>
              </w:rPr>
              <w:t>869,565</w:t>
            </w:r>
          </w:p>
        </w:tc>
        <w:tc>
          <w:tcPr>
            <w:tcW w:w="7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4,999,999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60" w:firstLine="810"/>
        <w:spacing w:after="0" w:line="277" w:lineRule="auto"/>
        <w:tabs>
          <w:tab w:leader="none" w:pos="1659"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See “Item 12. Security Ownership of Certain Beneficial Owners and Management and Related Stockholder Matters” for more information about the shares held by the above identified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Ultragenyx collaboration agreement</w:t>
      </w:r>
    </w:p>
    <w:p>
      <w:pPr>
        <w:spacing w:after="0" w:line="229" w:lineRule="exact"/>
        <w:rPr>
          <w:sz w:val="20"/>
          <w:szCs w:val="20"/>
          <w:color w:val="auto"/>
        </w:rPr>
      </w:pPr>
    </w:p>
    <w:p>
      <w:pPr>
        <w:ind w:firstLine="602"/>
        <w:spacing w:after="0" w:line="273" w:lineRule="auto"/>
        <w:rPr>
          <w:sz w:val="20"/>
          <w:szCs w:val="20"/>
          <w:color w:val="auto"/>
        </w:rPr>
      </w:pPr>
      <w:r>
        <w:rPr>
          <w:rFonts w:ascii="Arial" w:cs="Arial" w:eastAsia="Arial" w:hAnsi="Arial"/>
          <w:sz w:val="17"/>
          <w:szCs w:val="17"/>
          <w:color w:val="auto"/>
        </w:rPr>
        <w:t>In October 2020, we entered into a collaboration and license agreement, or the Collaboration Agreement, with Ultragenyx Pharmaceutical Inc., or Ultragenyx, pursuant to which we granted Ultragenyx an exclusive worldwide license under certain intellectual property rights controlled by us. In connection with the execution of the Collaboration Agreement, we also entered into a stock purchase agreement with Ultragenyx, pursuant to which we issued and sold 7,825,797 shares of our common stock to Ultragenyx for an aggregate purchase price of approximately $40 million, resulting in Ultragenyx becoming a holder of more than 5% of our outstanding common stock. For a further description of the Collaboration Agreement with Ultragenyx, see “Business—Strategic partnerships and collaborations/licenses—Ultragenyx Collaboration Agreement.”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70" w:right="3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Other arrangements</w:t>
      </w:r>
    </w:p>
    <w:p>
      <w:pPr>
        <w:spacing w:after="0" w:line="121" w:lineRule="exact"/>
        <w:rPr>
          <w:sz w:val="20"/>
          <w:szCs w:val="20"/>
          <w:color w:val="auto"/>
        </w:rPr>
      </w:pPr>
    </w:p>
    <w:p>
      <w:pPr>
        <w:ind w:right="320" w:firstLine="546"/>
        <w:spacing w:after="0" w:line="308" w:lineRule="auto"/>
        <w:rPr>
          <w:sz w:val="20"/>
          <w:szCs w:val="20"/>
          <w:color w:val="auto"/>
        </w:rPr>
      </w:pPr>
      <w:r>
        <w:rPr>
          <w:rFonts w:ascii="Arial" w:cs="Arial" w:eastAsia="Arial" w:hAnsi="Arial"/>
          <w:sz w:val="17"/>
          <w:szCs w:val="17"/>
          <w:color w:val="auto"/>
        </w:rPr>
        <w:t>We employ Annie Ganot, one of our Co-Founders and the wife of Ilan Ganot, as Vice President, Patient Advocacy. Mr. Ganot is our CEO and a member of our Board of Directors. Ms. Ganot receives an annual salary and bonus payments of less than $251,000 in the aggregate.</w:t>
      </w:r>
    </w:p>
    <w:p>
      <w:pPr>
        <w:spacing w:after="0" w:line="38"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In respect of his services as a consultant to us for the year ending December 31, 2020, (i) on January 2, 2020, we granted Andrey Zarur, a former member of our board, an option to purchase 10,000 shares of our common stock, and (ii) we paid him $58,000.</w:t>
      </w:r>
    </w:p>
    <w:p>
      <w:pPr>
        <w:spacing w:after="0" w:line="62"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In connection with the termination of his employment, we entered into a consulting agreement with Jorge Quiroz, M.D., our former Chief Medical Officer, effective as of January 15, 2020, pursuant to which Dr. Quiroz assisted with the transition of his duties to our executive management team. Dr. Quiroz was compensated at a rate of $500 per hour for his services under the consulting agreement. The term of the consulting agreement continued until July 15, 2020.</w:t>
      </w:r>
    </w:p>
    <w:p>
      <w:pPr>
        <w:spacing w:after="0" w:line="79"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In connection with the termination of his employment, we entered into a consulting agreement with Alvaro Amorrortu, our former Chief Operating Officer, effective as of January 15, 2020, pursuant to which Mr. Amorrortu assisted with the transition of his duties to our executive management team. Mr. Amorrortu was compensated at a rate of $500 per hour for his services under the consulting agreement. The term of the consulting agreement continued until July 15, 2020.</w:t>
      </w:r>
    </w:p>
    <w:p>
      <w:pPr>
        <w:spacing w:after="0" w:line="187"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In respect of his services as a consultant to us for the year ended December 31, 2020, (i) on February 10, 2020, we granted Mr. Smith an option to purchase 60,000 shares of our common stock and (ii) on June 16, 2020, we granted Mr. Smith an option to purchase 200,000 shares of our common stock. In respect of his services as a consultant to us for the year ending December 31, 2021, on January 4, 2021, we granted Mr. Smith an option to purchase 389,000 shares of our common stock. In respect of his services as a consultant to us for the year ended December 31, 2021, on January 4, 2021, we granted Mr. Smith an option to purchase 389,000 shares of our common stock.</w:t>
      </w:r>
    </w:p>
    <w:p>
      <w:pPr>
        <w:spacing w:after="0" w:line="188"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In November 2020, we entered into a consulting agreement with Danforth Advisors, LLC, or Danforth, an affiliate of Stephen DiPalma, our interim chief financial officer. Pursuant to the consulting agreement, Danforth provides us with the chief financial officer services of Mr. DiPalma, and other services, including financial planning, offering support and accounting services, in exchange for fees payable to Danforth based on hourly rates. We have paid Danforth approximately $0.7 million during the year ended December 31, 2021 and have made no payments during the year December 31, 2020. In accordance with the consulting agreement, in November 2020, we issued to Danforth a warrant to purchase 30,000 shares of our common stock at an exercise price per share of $3.29. The consulting agreement may be terminated by either party without cause upon 60 days’ prior written notice to the other party and with cause upon 30 days’ prior written notice to the other party.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color w:val="auto"/>
        </w:rPr>
        <w:t>We have entered into agreements to indemnify our directors and executive officers. These agreements require us, among other things, to indemnify these individuals for certain expenses (including attorneys’ fees), judgments, fines and settlement amounts reasonably incurred by such persons in any action or proceeding, including any action by or in our right, on account of any services undertaken by any such person on behalf of our company or that person’s status as a member of our Board of Directors to the maximum extent allowed under Delaware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approval of related-person transactions</w:t>
      </w:r>
    </w:p>
    <w:p>
      <w:pPr>
        <w:spacing w:after="0" w:line="121"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We have adopted a written related-person transaction policy that sets forth our procedures for the identification, review, consideration and approval or ratification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87" w:lineRule="exact"/>
        <w:rPr>
          <w:sz w:val="20"/>
          <w:szCs w:val="20"/>
          <w:color w:val="auto"/>
        </w:rPr>
      </w:pPr>
    </w:p>
    <w:p>
      <w:pPr>
        <w:ind w:right="40" w:firstLine="546"/>
        <w:spacing w:after="0" w:line="296"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“related-person transaction,” the related person must report the proposed related-person transaction to our general counsel. The policy calls for the proposed related-person transaction to be reviewed by and if deemed appropriate approved by, the audit committee of our Board of Directors. Whenever practicable, the reporting, review and approval will occur prior to entry into the transaction. If advance review and approval is not practicable, the audit committee will review and, in its discretion, may ratify the related-person transaction. The policy also permits the chair of the audit committee to review, and if deemed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7" w:name="page138"/>
    <w:bookmarkEnd w:id="137"/>
    <w:p>
      <w:pPr>
        <w:ind w:right="100"/>
        <w:spacing w:after="0" w:line="277" w:lineRule="auto"/>
        <w:rPr>
          <w:sz w:val="20"/>
          <w:szCs w:val="20"/>
          <w:color w:val="auto"/>
        </w:rPr>
      </w:pPr>
      <w:r>
        <w:rPr>
          <w:rFonts w:ascii="Arial" w:cs="Arial" w:eastAsia="Arial" w:hAnsi="Arial"/>
          <w:sz w:val="18"/>
          <w:szCs w:val="18"/>
          <w:color w:val="auto"/>
        </w:rPr>
        <w:t>appropriate approve, proposed related-person transactions that arise between audit committee meetings, subject to ratification by the audit committee at its next meeting. Any related-person transactions that are ongoing in nature will be reviewed annually.</w:t>
      </w:r>
    </w:p>
    <w:p>
      <w:pPr>
        <w:spacing w:after="0" w:line="170" w:lineRule="exact"/>
        <w:rPr>
          <w:sz w:val="20"/>
          <w:szCs w:val="20"/>
          <w:color w:val="auto"/>
        </w:rPr>
      </w:pPr>
    </w:p>
    <w:p>
      <w:pPr>
        <w:ind w:right="260" w:firstLine="546"/>
        <w:spacing w:after="0" w:line="342" w:lineRule="auto"/>
        <w:rPr>
          <w:sz w:val="20"/>
          <w:szCs w:val="20"/>
          <w:color w:val="auto"/>
        </w:rPr>
      </w:pPr>
      <w:r>
        <w:rPr>
          <w:rFonts w:ascii="Arial" w:cs="Arial" w:eastAsia="Arial" w:hAnsi="Arial"/>
          <w:sz w:val="16"/>
          <w:szCs w:val="16"/>
          <w:color w:val="auto"/>
        </w:rPr>
        <w:t>A related-person transaction reviewed under the policy will be considered approved or ratified if it is authorized by the audit committee after full disclosure of the related person’s interest in the transaction. As appropriate for the circumstances, the committee will review and consider:</w:t>
      </w:r>
    </w:p>
    <w:p>
      <w:pPr>
        <w:spacing w:after="0" w:line="16" w:lineRule="exact"/>
        <w:rPr>
          <w:sz w:val="20"/>
          <w:szCs w:val="20"/>
          <w:color w:val="auto"/>
        </w:rPr>
      </w:pPr>
    </w:p>
    <w:p>
      <w:pPr>
        <w:ind w:left="960" w:hanging="41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related person’s interest in the related-person transaction;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approximate dollar amount involved in the related-person transaction;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approximate dollar amount of the related person’s interest in the transaction without regard to the amount of any profit or loss;</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whether the terms of the transaction are no less favorable to us than terms that could have been reached with an unrelated third party;</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related-person transaction; and</w:t>
      </w:r>
    </w:p>
    <w:p>
      <w:pPr>
        <w:spacing w:after="0" w:line="144" w:lineRule="exact"/>
        <w:rPr>
          <w:rFonts w:ascii="Arial" w:cs="Arial" w:eastAsia="Arial" w:hAnsi="Arial"/>
          <w:sz w:val="18"/>
          <w:szCs w:val="18"/>
          <w:color w:val="auto"/>
        </w:rPr>
      </w:pPr>
    </w:p>
    <w:p>
      <w:pPr>
        <w:ind w:left="960" w:right="240" w:hanging="412"/>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information regarding the related-person transaction or the related person in the context of the proposed transaction that would be material to investors in light of the circumstances of the particular transaction.</w:t>
      </w:r>
    </w:p>
    <w:p>
      <w:pPr>
        <w:spacing w:after="0" w:line="170" w:lineRule="exact"/>
        <w:rPr>
          <w:sz w:val="20"/>
          <w:szCs w:val="20"/>
          <w:color w:val="auto"/>
        </w:rPr>
      </w:pPr>
    </w:p>
    <w:p>
      <w:pPr>
        <w:ind w:right="500" w:firstLine="546"/>
        <w:spacing w:after="0" w:line="263" w:lineRule="auto"/>
        <w:rPr>
          <w:sz w:val="20"/>
          <w:szCs w:val="20"/>
          <w:color w:val="auto"/>
        </w:rPr>
      </w:pPr>
      <w:r>
        <w:rPr>
          <w:rFonts w:ascii="Arial" w:cs="Arial" w:eastAsia="Arial" w:hAnsi="Arial"/>
          <w:sz w:val="18"/>
          <w:szCs w:val="18"/>
          <w:color w:val="auto"/>
        </w:rPr>
        <w:t>The audit committee may approve or ratify the transaction only if the audit committee determines that, under all of the circumstances, the transaction is not inconsistent with our best interests. The audit committee may impose any conditions on the related-person transaction that it deems appropriate.</w:t>
      </w:r>
    </w:p>
    <w:p>
      <w:pPr>
        <w:spacing w:after="0" w:line="184"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The policy provides that transactions involving compensation of executive officers will be reviewed and approved by the compensation committee of our Board of Directors in the manner specified in its charter.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60" w:firstLine="546"/>
        <w:spacing w:after="0" w:line="285" w:lineRule="auto"/>
        <w:rPr>
          <w:sz w:val="20"/>
          <w:szCs w:val="20"/>
          <w:color w:val="auto"/>
        </w:rPr>
      </w:pPr>
      <w:r>
        <w:rPr>
          <w:rFonts w:ascii="Arial" w:cs="Arial" w:eastAsia="Arial" w:hAnsi="Arial"/>
          <w:sz w:val="16"/>
          <w:szCs w:val="16"/>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Audit committee members must also satisfy independence criteria set forth in Rule 10A-3 under the Exchange Act and compensation committee members must also satisfy the independence criteria set forth in Rule 10C-1 under the Exchange Act. 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76" w:lineRule="exact"/>
        <w:rPr>
          <w:sz w:val="20"/>
          <w:szCs w:val="20"/>
          <w:color w:val="auto"/>
        </w:rPr>
      </w:pPr>
    </w:p>
    <w:p>
      <w:pPr>
        <w:ind w:firstLine="546"/>
        <w:spacing w:after="0" w:line="260" w:lineRule="auto"/>
        <w:rPr>
          <w:sz w:val="20"/>
          <w:szCs w:val="20"/>
          <w:color w:val="auto"/>
        </w:rPr>
      </w:pPr>
      <w:r>
        <w:rPr>
          <w:rFonts w:ascii="Arial" w:cs="Arial" w:eastAsia="Arial" w:hAnsi="Arial"/>
          <w:sz w:val="18"/>
          <w:szCs w:val="18"/>
          <w:color w:val="auto"/>
        </w:rPr>
        <w:t>Our Board of Directors has determined that all members of the Board of Directors, except Ilan Ganot and Ian Smith, are independent directors, as defined under applicable Nasdaq rules.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common stock by each non-employee director. Our Board of Directors previously made a similar determination with respect to Mr. Arnold, who served as an independent member of our Board of Directors until June 2021. Mr. Ganot is not an independent director under applicable rules because he is our president and chief executive officer. Mr. Smith is not an independent director under applicable rules because of his former consulting relationship with our Company.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8" w:name="page139"/>
    <w:bookmarkEnd w:id="138"/>
    <w:p>
      <w:pPr>
        <w:ind w:firstLine="546"/>
        <w:spacing w:after="0" w:line="277" w:lineRule="auto"/>
        <w:rPr>
          <w:sz w:val="20"/>
          <w:szCs w:val="20"/>
          <w:color w:val="auto"/>
        </w:rPr>
      </w:pPr>
      <w:r>
        <w:rPr>
          <w:rFonts w:ascii="Arial" w:cs="Arial" w:eastAsia="Arial" w:hAnsi="Arial"/>
          <w:sz w:val="18"/>
          <w:szCs w:val="18"/>
          <w:color w:val="auto"/>
        </w:rPr>
        <w:t>Our Board of Directors has determined that the composition of our committees currently complies with all applicable independence requirements of Nasdaq and the rules and regulations of the SEC.</w:t>
      </w: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The following table represents aggregate fees billed to us by PricewaterhouseCoopers LLP, or PwC, for the fiscal years ended December 31, 2021 and 2020:</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3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740,000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690,000</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51,095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36,290</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793,851</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729,046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services rendered by PwC in connection with the fees presented above were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ind w:right="620" w:firstLine="546"/>
        <w:spacing w:after="0" w:line="308" w:lineRule="auto"/>
        <w:rPr>
          <w:sz w:val="20"/>
          <w:szCs w:val="20"/>
          <w:color w:val="auto"/>
        </w:rPr>
      </w:pPr>
      <w:r>
        <w:rPr>
          <w:rFonts w:ascii="Arial" w:cs="Arial" w:eastAsia="Arial" w:hAnsi="Arial"/>
          <w:sz w:val="17"/>
          <w:szCs w:val="17"/>
          <w:color w:val="auto"/>
        </w:rPr>
        <w:t>Audit fees consist of fees billed for professional services for the audit of our annual consolidated financial statements, the review of interim consolidated financial statements, and related services that are normally provided in connection with registration statements.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117"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Audit-related fees consist of fees billed for assurance and related services that are reasonably related to the performance of the audit or review of our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 fees consist of fees for professional services related to tax compliance and consultations.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other fees include license fees for web-based accounting research tools.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w:t>
      </w:r>
    </w:p>
    <w:p>
      <w:pPr>
        <w:spacing w:after="0" w:line="121" w:lineRule="exact"/>
        <w:rPr>
          <w:sz w:val="20"/>
          <w:szCs w:val="20"/>
          <w:color w:val="auto"/>
        </w:rPr>
      </w:pPr>
    </w:p>
    <w:p>
      <w:pPr>
        <w:jc w:val="both"/>
        <w:ind w:right="380" w:firstLine="546"/>
        <w:spacing w:after="0" w:line="286" w:lineRule="auto"/>
        <w:rPr>
          <w:sz w:val="20"/>
          <w:szCs w:val="20"/>
          <w:color w:val="auto"/>
        </w:rPr>
      </w:pPr>
      <w:r>
        <w:rPr>
          <w:rFonts w:ascii="Arial" w:cs="Arial" w:eastAsia="Arial" w:hAnsi="Arial"/>
          <w:sz w:val="17"/>
          <w:szCs w:val="17"/>
          <w:color w:val="auto"/>
        </w:rPr>
        <w:t>The audit committee has not adopted policies and procedures for the pre-approval of audit and non-audit services rendered by our independent registered public accounting firm and, consequently, all audit and non-audit services are pre-approved by the whole audit committee or the chair of the audit committee. All fees for the fiscal years ended December 31, 2021 and 2020 were so pre-approved.</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4"/>
          </w:tcPr>
          <w:p>
            <w:pPr>
              <w:ind w:left="820"/>
              <w:spacing w:after="0"/>
              <w:rPr>
                <w:sz w:val="20"/>
                <w:szCs w:val="20"/>
                <w:color w:val="auto"/>
              </w:rPr>
            </w:pPr>
            <w:r>
              <w:rPr>
                <w:rFonts w:ascii="Arial" w:cs="Arial" w:eastAsia="Arial" w:hAnsi="Arial"/>
                <w:sz w:val="18"/>
                <w:szCs w:val="18"/>
                <w:b w:val="1"/>
                <w:bCs w:val="1"/>
                <w:color w:val="auto"/>
              </w:rPr>
              <w:t>PART IV</w:t>
            </w:r>
          </w:p>
        </w:tc>
        <w:tc>
          <w:tcPr>
            <w:tcW w:w="2040" w:type="dxa"/>
            <w:vAlign w:val="bottom"/>
          </w:tcPr>
          <w:p>
            <w:pPr>
              <w:spacing w:after="0"/>
              <w:rPr>
                <w:sz w:val="20"/>
                <w:szCs w:val="20"/>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8340" w:type="dxa"/>
            <w:vAlign w:val="bottom"/>
            <w:gridSpan w:val="7"/>
          </w:tcPr>
          <w:p>
            <w:pPr>
              <w:ind w:left="220"/>
              <w:spacing w:after="0"/>
              <w:rPr>
                <w:sz w:val="20"/>
                <w:szCs w:val="20"/>
                <w:color w:val="auto"/>
              </w:rPr>
            </w:pPr>
            <w:r>
              <w:rPr>
                <w:rFonts w:ascii="Arial" w:cs="Arial" w:eastAsia="Arial" w:hAnsi="Arial"/>
                <w:sz w:val="18"/>
                <w:szCs w:val="18"/>
                <w:b w:val="1"/>
                <w:bCs w:val="1"/>
                <w:color w:val="auto"/>
              </w:rPr>
              <w:t>Exhibits, Financial Statement Schedules.</w:t>
            </w:r>
          </w:p>
        </w:tc>
        <w:tc>
          <w:tcPr>
            <w:tcW w:w="2040" w:type="dxa"/>
            <w:vAlign w:val="bottom"/>
          </w:tcPr>
          <w:p>
            <w:pPr>
              <w:spacing w:after="0"/>
              <w:rPr>
                <w:sz w:val="24"/>
                <w:szCs w:val="24"/>
                <w:color w:val="auto"/>
              </w:rPr>
            </w:pPr>
          </w:p>
        </w:tc>
      </w:tr>
      <w:tr>
        <w:trPr>
          <w:trHeight w:val="324"/>
        </w:trPr>
        <w:tc>
          <w:tcPr>
            <w:tcW w:w="9200" w:type="dxa"/>
            <w:vAlign w:val="bottom"/>
            <w:gridSpan w:val="8"/>
          </w:tcPr>
          <w:p>
            <w:pPr>
              <w:ind w:left="560"/>
              <w:spacing w:after="0"/>
              <w:rPr>
                <w:sz w:val="20"/>
                <w:szCs w:val="20"/>
                <w:color w:val="auto"/>
              </w:rPr>
            </w:pPr>
            <w:r>
              <w:rPr>
                <w:rFonts w:ascii="Arial" w:cs="Arial" w:eastAsia="Arial" w:hAnsi="Arial"/>
                <w:sz w:val="18"/>
                <w:szCs w:val="18"/>
                <w:color w:val="auto"/>
              </w:rPr>
              <w:t>(1) Financial Statements:</w:t>
            </w:r>
          </w:p>
        </w:tc>
        <w:tc>
          <w:tcPr>
            <w:tcW w:w="2040" w:type="dxa"/>
            <w:vAlign w:val="bottom"/>
          </w:tcPr>
          <w:p>
            <w:pPr>
              <w:spacing w:after="0"/>
              <w:rPr>
                <w:sz w:val="24"/>
                <w:szCs w:val="24"/>
                <w:color w:val="auto"/>
              </w:rPr>
            </w:pPr>
          </w:p>
        </w:tc>
      </w:tr>
      <w:tr>
        <w:trPr>
          <w:trHeight w:val="350"/>
        </w:trPr>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40" w:type="dxa"/>
            <w:vAlign w:val="bottom"/>
          </w:tcPr>
          <w:p>
            <w:pPr>
              <w:ind w:left="1560"/>
              <w:spacing w:after="0"/>
              <w:rPr>
                <w:sz w:val="20"/>
                <w:szCs w:val="20"/>
                <w:color w:val="auto"/>
              </w:rPr>
            </w:pPr>
            <w:r>
              <w:rPr>
                <w:rFonts w:ascii="Arial" w:cs="Arial" w:eastAsia="Arial" w:hAnsi="Arial"/>
                <w:sz w:val="14"/>
                <w:szCs w:val="14"/>
                <w:b w:val="1"/>
                <w:bCs w:val="1"/>
                <w:color w:val="auto"/>
              </w:rPr>
              <w:t>Page</w:t>
            </w:r>
          </w:p>
        </w:tc>
      </w:tr>
      <w:tr>
        <w:trPr>
          <w:trHeight w:val="190"/>
        </w:trPr>
        <w:tc>
          <w:tcPr>
            <w:tcW w:w="9200" w:type="dxa"/>
            <w:vAlign w:val="bottom"/>
            <w:gridSpan w:val="8"/>
          </w:tcPr>
          <w:p>
            <w:pPr>
              <w:spacing w:after="0" w:line="190" w:lineRule="exact"/>
              <w:rPr>
                <w:rFonts w:ascii="Arial" w:cs="Arial" w:eastAsia="Arial" w:hAnsi="Arial"/>
                <w:sz w:val="18"/>
                <w:szCs w:val="18"/>
                <w:color w:val="0000EE"/>
              </w:rPr>
            </w:pPr>
            <w:hyperlink w:anchor="page145">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238)</w:t>
            </w:r>
          </w:p>
        </w:tc>
        <w:tc>
          <w:tcPr>
            <w:tcW w:w="2040" w:type="dxa"/>
            <w:vAlign w:val="bottom"/>
          </w:tcPr>
          <w:p>
            <w:pPr>
              <w:ind w:left="1800"/>
              <w:spacing w:after="0" w:line="190" w:lineRule="exact"/>
              <w:rPr>
                <w:sz w:val="20"/>
                <w:szCs w:val="20"/>
                <w:color w:val="auto"/>
              </w:rPr>
            </w:pPr>
            <w:r>
              <w:rPr>
                <w:rFonts w:ascii="Arial" w:cs="Arial" w:eastAsia="Arial" w:hAnsi="Arial"/>
                <w:sz w:val="18"/>
                <w:szCs w:val="18"/>
                <w:color w:val="auto"/>
                <w:w w:val="81"/>
              </w:rPr>
              <w:t>F-1</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09"/>
        </w:trPr>
        <w:tc>
          <w:tcPr>
            <w:tcW w:w="9200" w:type="dxa"/>
            <w:vAlign w:val="bottom"/>
            <w:gridSpan w:val="8"/>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Consolidated Balance Sheets at December 31, 2021 and 2020</w:t>
              </w:r>
            </w:hyperlink>
          </w:p>
        </w:tc>
        <w:tc>
          <w:tcPr>
            <w:tcW w:w="2040" w:type="dxa"/>
            <w:vAlign w:val="bottom"/>
          </w:tcPr>
          <w:p>
            <w:pPr>
              <w:ind w:left="1800"/>
              <w:spacing w:after="0"/>
              <w:rPr>
                <w:sz w:val="20"/>
                <w:szCs w:val="20"/>
                <w:color w:val="auto"/>
              </w:rPr>
            </w:pPr>
            <w:r>
              <w:rPr>
                <w:rFonts w:ascii="Arial" w:cs="Arial" w:eastAsia="Arial" w:hAnsi="Arial"/>
                <w:sz w:val="18"/>
                <w:szCs w:val="18"/>
                <w:color w:val="auto"/>
                <w:w w:val="81"/>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0"/>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47">
              <w:r>
                <w:rPr>
                  <w:rFonts w:ascii="Arial" w:cs="Arial" w:eastAsia="Arial" w:hAnsi="Arial"/>
                  <w:sz w:val="18"/>
                  <w:szCs w:val="18"/>
                  <w:color w:val="0000EE"/>
                  <w:w w:val="89"/>
                </w:rPr>
                <w:t>Consolidated Statements of Operations for the Years Ended December 31, 2021, 2020 and 2019</w:t>
              </w:r>
            </w:hyperlink>
          </w:p>
        </w:tc>
        <w:tc>
          <w:tcPr>
            <w:tcW w:w="2280" w:type="dxa"/>
            <w:vAlign w:val="bottom"/>
            <w:gridSpan w:val="3"/>
          </w:tcPr>
          <w:p>
            <w:pPr>
              <w:spacing w:after="0"/>
              <w:rPr>
                <w:sz w:val="18"/>
                <w:szCs w:val="18"/>
                <w:color w:val="auto"/>
              </w:rPr>
            </w:pPr>
          </w:p>
        </w:tc>
        <w:tc>
          <w:tcPr>
            <w:tcW w:w="2040" w:type="dxa"/>
            <w:vAlign w:val="bottom"/>
          </w:tcPr>
          <w:p>
            <w:pPr>
              <w:ind w:left="1800"/>
              <w:spacing w:after="0"/>
              <w:rPr>
                <w:sz w:val="20"/>
                <w:szCs w:val="20"/>
                <w:color w:val="auto"/>
              </w:rPr>
            </w:pPr>
            <w:r>
              <w:rPr>
                <w:rFonts w:ascii="Arial" w:cs="Arial" w:eastAsia="Arial" w:hAnsi="Arial"/>
                <w:sz w:val="18"/>
                <w:szCs w:val="18"/>
                <w:color w:val="auto"/>
                <w:w w:val="81"/>
              </w:rPr>
              <w:t>F-3</w:t>
            </w:r>
          </w:p>
        </w:tc>
      </w:tr>
      <w:tr>
        <w:trPr>
          <w:trHeight w:val="209"/>
        </w:trPr>
        <w:tc>
          <w:tcPr>
            <w:tcW w:w="76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48">
              <w:r>
                <w:rPr>
                  <w:rFonts w:ascii="Arial" w:cs="Arial" w:eastAsia="Arial" w:hAnsi="Arial"/>
                  <w:sz w:val="18"/>
                  <w:szCs w:val="18"/>
                  <w:color w:val="0000EE"/>
                  <w:w w:val="89"/>
                </w:rPr>
                <w:t>Consolidated Statements of Comprehensive Loss for the Years Ended December 31, 2021, 2020 and 2019</w:t>
              </w:r>
            </w:hyperlink>
          </w:p>
        </w:tc>
        <w:tc>
          <w:tcPr>
            <w:tcW w:w="1560" w:type="dxa"/>
            <w:vAlign w:val="bottom"/>
          </w:tcPr>
          <w:p>
            <w:pPr>
              <w:spacing w:after="0"/>
              <w:rPr>
                <w:sz w:val="18"/>
                <w:szCs w:val="18"/>
                <w:color w:val="auto"/>
              </w:rPr>
            </w:pPr>
          </w:p>
        </w:tc>
        <w:tc>
          <w:tcPr>
            <w:tcW w:w="2040" w:type="dxa"/>
            <w:vAlign w:val="bottom"/>
          </w:tcPr>
          <w:p>
            <w:pPr>
              <w:ind w:left="1800"/>
              <w:spacing w:after="0"/>
              <w:rPr>
                <w:sz w:val="20"/>
                <w:szCs w:val="20"/>
                <w:color w:val="auto"/>
              </w:rPr>
            </w:pPr>
            <w:r>
              <w:rPr>
                <w:rFonts w:ascii="Arial" w:cs="Arial" w:eastAsia="Arial" w:hAnsi="Arial"/>
                <w:sz w:val="18"/>
                <w:szCs w:val="18"/>
                <w:color w:val="auto"/>
                <w:w w:val="81"/>
              </w:rPr>
              <w:t>F-4</w:t>
            </w:r>
          </w:p>
        </w:tc>
      </w:tr>
      <w:tr>
        <w:trPr>
          <w:trHeight w:val="210"/>
        </w:trPr>
        <w:tc>
          <w:tcPr>
            <w:tcW w:w="9200" w:type="dxa"/>
            <w:vAlign w:val="bottom"/>
            <w:gridSpan w:val="8"/>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Consolidated Statements of Stockholders’ Equity for the Years Ended December 31, 2021, 2020 and 2019</w:t>
              </w:r>
            </w:hyperlink>
          </w:p>
        </w:tc>
        <w:tc>
          <w:tcPr>
            <w:tcW w:w="2040" w:type="dxa"/>
            <w:vAlign w:val="bottom"/>
          </w:tcPr>
          <w:p>
            <w:pPr>
              <w:ind w:left="1800"/>
              <w:spacing w:after="0"/>
              <w:rPr>
                <w:sz w:val="20"/>
                <w:szCs w:val="20"/>
                <w:color w:val="auto"/>
              </w:rPr>
            </w:pPr>
            <w:r>
              <w:rPr>
                <w:rFonts w:ascii="Arial" w:cs="Arial" w:eastAsia="Arial" w:hAnsi="Arial"/>
                <w:sz w:val="18"/>
                <w:szCs w:val="18"/>
                <w:color w:val="auto"/>
                <w:w w:val="81"/>
              </w:rPr>
              <w:t>F-5</w:t>
            </w:r>
          </w:p>
        </w:tc>
      </w:tr>
      <w:tr>
        <w:trPr>
          <w:trHeight w:val="209"/>
        </w:trPr>
        <w:tc>
          <w:tcPr>
            <w:tcW w:w="7640" w:type="dxa"/>
            <w:vAlign w:val="bottom"/>
            <w:tcBorders>
              <w:top w:val="single" w:sz="8" w:color="0000EE"/>
            </w:tcBorders>
            <w:gridSpan w:val="7"/>
          </w:tcPr>
          <w:p>
            <w:pPr>
              <w:spacing w:after="0"/>
              <w:rPr>
                <w:rFonts w:ascii="Arial" w:cs="Arial" w:eastAsia="Arial" w:hAnsi="Arial"/>
                <w:sz w:val="18"/>
                <w:szCs w:val="18"/>
                <w:color w:val="0000EE"/>
                <w:w w:val="97"/>
              </w:rPr>
            </w:pPr>
            <w:hyperlink w:anchor="page150">
              <w:r>
                <w:rPr>
                  <w:rFonts w:ascii="Arial" w:cs="Arial" w:eastAsia="Arial" w:hAnsi="Arial"/>
                  <w:sz w:val="18"/>
                  <w:szCs w:val="18"/>
                  <w:color w:val="0000EE"/>
                  <w:w w:val="97"/>
                </w:rPr>
                <w:t>Consolidated Statements of Cash Flows for the Years Ended December 31, 2021, 2020 and 2019</w:t>
              </w:r>
            </w:hyperlink>
          </w:p>
        </w:tc>
        <w:tc>
          <w:tcPr>
            <w:tcW w:w="1560" w:type="dxa"/>
            <w:vAlign w:val="bottom"/>
          </w:tcPr>
          <w:p>
            <w:pPr>
              <w:spacing w:after="0"/>
              <w:rPr>
                <w:sz w:val="18"/>
                <w:szCs w:val="18"/>
                <w:color w:val="auto"/>
              </w:rPr>
            </w:pPr>
          </w:p>
        </w:tc>
        <w:tc>
          <w:tcPr>
            <w:tcW w:w="2040" w:type="dxa"/>
            <w:vAlign w:val="bottom"/>
          </w:tcPr>
          <w:p>
            <w:pPr>
              <w:ind w:left="1800"/>
              <w:spacing w:after="0"/>
              <w:rPr>
                <w:sz w:val="20"/>
                <w:szCs w:val="20"/>
                <w:color w:val="auto"/>
              </w:rPr>
            </w:pPr>
            <w:r>
              <w:rPr>
                <w:rFonts w:ascii="Arial" w:cs="Arial" w:eastAsia="Arial" w:hAnsi="Arial"/>
                <w:sz w:val="18"/>
                <w:szCs w:val="18"/>
                <w:color w:val="auto"/>
                <w:w w:val="81"/>
              </w:rPr>
              <w:t>F-6</w:t>
            </w:r>
          </w:p>
        </w:tc>
      </w:tr>
      <w:tr>
        <w:trPr>
          <w:trHeight w:val="209"/>
        </w:trPr>
        <w:tc>
          <w:tcPr>
            <w:tcW w:w="31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51">
              <w:r>
                <w:rPr>
                  <w:rFonts w:ascii="Arial" w:cs="Arial" w:eastAsia="Arial" w:hAnsi="Arial"/>
                  <w:sz w:val="18"/>
                  <w:szCs w:val="18"/>
                  <w:color w:val="0000EE"/>
                  <w:w w:val="89"/>
                </w:rPr>
                <w:t>Notes to Consolidated Financial Statements</w:t>
              </w:r>
            </w:hyperlink>
          </w:p>
        </w:tc>
        <w:tc>
          <w:tcPr>
            <w:tcW w:w="3800" w:type="dxa"/>
            <w:vAlign w:val="bottom"/>
            <w:tcBorders>
              <w:top w:val="single" w:sz="8" w:color="0000EE"/>
            </w:tcBorders>
            <w:gridSpan w:val="4"/>
          </w:tcPr>
          <w:p>
            <w:pPr>
              <w:spacing w:after="0"/>
              <w:rPr>
                <w:sz w:val="18"/>
                <w:szCs w:val="18"/>
                <w:color w:val="auto"/>
              </w:rPr>
            </w:pPr>
          </w:p>
        </w:tc>
        <w:tc>
          <w:tcPr>
            <w:tcW w:w="2240" w:type="dxa"/>
            <w:vAlign w:val="bottom"/>
            <w:gridSpan w:val="2"/>
          </w:tcPr>
          <w:p>
            <w:pPr>
              <w:spacing w:after="0"/>
              <w:rPr>
                <w:sz w:val="18"/>
                <w:szCs w:val="18"/>
                <w:color w:val="auto"/>
              </w:rPr>
            </w:pPr>
          </w:p>
        </w:tc>
        <w:tc>
          <w:tcPr>
            <w:tcW w:w="2040" w:type="dxa"/>
            <w:vAlign w:val="bottom"/>
          </w:tcPr>
          <w:p>
            <w:pPr>
              <w:ind w:left="1800"/>
              <w:spacing w:after="0"/>
              <w:rPr>
                <w:sz w:val="20"/>
                <w:szCs w:val="20"/>
                <w:color w:val="auto"/>
              </w:rPr>
            </w:pPr>
            <w:r>
              <w:rPr>
                <w:rFonts w:ascii="Arial" w:cs="Arial" w:eastAsia="Arial" w:hAnsi="Arial"/>
                <w:sz w:val="18"/>
                <w:szCs w:val="18"/>
                <w:color w:val="auto"/>
                <w:w w:val="81"/>
              </w:rPr>
              <w:t>F-7</w:t>
            </w: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right="560" w:firstLine="546"/>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left="5480" w:right="3720" w:hanging="4926"/>
        <w:spacing w:after="0" w:line="527" w:lineRule="auto"/>
        <w:tabs>
          <w:tab w:leader="none" w:pos="799"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Exhibits. The following is a list of exhibits filed as part of this Annual Report on Form 10-K.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60" w:type="dxa"/>
            <w:vAlign w:val="bottom"/>
            <w:gridSpan w:val="22"/>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6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2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20" w:type="dxa"/>
            <w:vAlign w:val="bottom"/>
            <w:tcBorders>
              <w:top w:val="single" w:sz="8" w:color="auto"/>
              <w:bottom w:val="single" w:sz="8" w:color="0000EE"/>
            </w:tcBorders>
            <w:gridSpan w:val="25"/>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Certificate of Incorporation of Solid Biosciences Inc. (incorporated by reference to Exhibit 4.1 to the Registration Statement on Form</w:t>
              </w:r>
            </w:hyperlink>
          </w:p>
        </w:tc>
        <w:tc>
          <w:tcPr>
            <w:tcW w:w="140" w:type="dxa"/>
            <w:vAlign w:val="bottom"/>
            <w:tcBorders>
              <w:top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S-8 filed on January 29, 2018).</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2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Borders>
              <w:bottom w:val="single" w:sz="8" w:color="0000EE"/>
            </w:tcBorders>
            <w:gridSpan w:val="27"/>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Bylaws of Solid Biosciences Inc. (incorporated by reference to Exhibit 4.2 to the Registration Statement on Form S-8 filed on January</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29, 2018).</w:t>
              </w:r>
            </w:hyperlink>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2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80" w:type="dxa"/>
            <w:vAlign w:val="bottom"/>
            <w:tcBorders>
              <w:bottom w:val="single" w:sz="8" w:color="0000EE"/>
            </w:tcBorders>
            <w:gridSpan w:val="23"/>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Specimen Common Stock Certificate (incorporated by reference to Exhibit 4.1 to the Registration Statement on Form S-1 filed on</w:t>
              </w:r>
            </w:hyperlink>
          </w:p>
        </w:tc>
        <w:tc>
          <w:tcPr>
            <w:tcW w:w="3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December 29, 2017).</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2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00" w:type="dxa"/>
            <w:vAlign w:val="bottom"/>
            <w:tcBorders>
              <w:bottom w:val="single" w:sz="8" w:color="0000EE"/>
            </w:tcBorders>
            <w:gridSpan w:val="28"/>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Description of the Company’s Securities Registered under Section 12 of the Exchange Act (incorporated by reference to Exhibit 4.2 to</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the Annual Report on Form 10-K filed on March 12, 2020).</w:t>
              </w:r>
            </w:hyperlink>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760" w:type="dxa"/>
            <w:vAlign w:val="bottom"/>
            <w:gridSpan w:val="30"/>
          </w:tcPr>
          <w:p>
            <w:pPr>
              <w:spacing w:after="0"/>
              <w:rPr>
                <w:rFonts w:ascii="Arial" w:cs="Arial" w:eastAsia="Arial" w:hAnsi="Arial"/>
                <w:sz w:val="18"/>
                <w:szCs w:val="18"/>
                <w:color w:val="0000EE"/>
                <w:w w:val="95"/>
              </w:rPr>
            </w:pPr>
            <w:hyperlink r:id="rId163">
              <w:r>
                <w:rPr>
                  <w:rFonts w:ascii="Arial" w:cs="Arial" w:eastAsia="Arial" w:hAnsi="Arial"/>
                  <w:sz w:val="18"/>
                  <w:szCs w:val="18"/>
                  <w:color w:val="0000EE"/>
                  <w:w w:val="95"/>
                </w:rPr>
                <w:t>Amended and Restated Registration Rights Agreement dated March 29, 2017 by and among Solid Biosciences, LLC and certain</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investors (incorporated by reference to Exhibit 10.17 to the Registration Statement on Form S-1 filed on December 29, 2017).</w:t>
              </w:r>
            </w:hyperlink>
          </w:p>
        </w:tc>
        <w:tc>
          <w:tcPr>
            <w:tcW w:w="140" w:type="dxa"/>
            <w:vAlign w:val="bottom"/>
            <w:tcBorders>
              <w:top w:val="single" w:sz="8" w:color="0000EE"/>
            </w:tcBorders>
            <w:gridSpan w:val="2"/>
          </w:tcPr>
          <w:p>
            <w:pPr>
              <w:spacing w:after="0"/>
              <w:rPr>
                <w:sz w:val="17"/>
                <w:szCs w:val="17"/>
                <w:color w:val="auto"/>
              </w:rPr>
            </w:pPr>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200" w:type="dxa"/>
            <w:vAlign w:val="bottom"/>
            <w:tcBorders>
              <w:bottom w:val="single" w:sz="8" w:color="0000EE"/>
            </w:tcBorders>
            <w:gridSpan w:val="17"/>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Employment Agreement, dated as of January 25, 2019, by and between Solid Biosciences Inc. and Ilan Ganot. (incorporated by</w:t>
              </w:r>
            </w:hyperlink>
          </w:p>
        </w:tc>
        <w:tc>
          <w:tcPr>
            <w:tcW w:w="5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reference to Exhibit 10.2 to the Annual Report on Form 10-K filed on March 13, 2019).</w:t>
              </w:r>
            </w:hyperlink>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82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75">
              <w:r>
                <w:rPr>
                  <w:rFonts w:ascii="Arial" w:cs="Arial" w:eastAsia="Arial" w:hAnsi="Arial"/>
                  <w:sz w:val="18"/>
                  <w:szCs w:val="18"/>
                  <w:color w:val="0000EE"/>
                  <w:w w:val="89"/>
                </w:rPr>
                <w:t>Employment Agreement, dated as of January 25, 2019, by and between Solid Biosciences Inc. and Joel Schneider.</w:t>
              </w:r>
            </w:hyperlink>
          </w:p>
        </w:tc>
        <w:tc>
          <w:tcPr>
            <w:tcW w:w="15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760" w:type="dxa"/>
            <w:vAlign w:val="bottom"/>
            <w:gridSpan w:val="30"/>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Employment Agreement, dated as of March 1, 2021, by and between Solid Biosciences Inc. and Erin Powers Brennan</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760" w:type="dxa"/>
            <w:vAlign w:val="bottom"/>
            <w:gridSpan w:val="30"/>
          </w:tcPr>
          <w:p>
            <w:pPr>
              <w:spacing w:after="0"/>
              <w:rPr>
                <w:rFonts w:ascii="Arial" w:cs="Arial" w:eastAsia="Arial" w:hAnsi="Arial"/>
                <w:sz w:val="18"/>
                <w:szCs w:val="18"/>
                <w:color w:val="0000EE"/>
                <w:w w:val="98"/>
              </w:rPr>
            </w:pPr>
            <w:hyperlink r:id="rId165">
              <w:r>
                <w:rPr>
                  <w:rFonts w:ascii="Arial" w:cs="Arial" w:eastAsia="Arial" w:hAnsi="Arial"/>
                  <w:sz w:val="18"/>
                  <w:szCs w:val="18"/>
                  <w:color w:val="0000EE"/>
                  <w:w w:val="98"/>
                </w:rPr>
                <w:t>Solid Biosciences, LLC Amended and Restated Equity Incentive Plan and form of unit restriction agreement (incorporated by</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reference to Exhibit 10.7 to the Annual Report on Form 10-K filed on March 29, 2018).</w:t>
              </w:r>
            </w:hyperlink>
          </w:p>
        </w:tc>
        <w:tc>
          <w:tcPr>
            <w:tcW w:w="7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680" w:type="dxa"/>
            <w:vAlign w:val="bottom"/>
            <w:tcBorders>
              <w:bottom w:val="single" w:sz="8" w:color="0000EE"/>
            </w:tcBorders>
            <w:gridSpan w:val="27"/>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Solid Biosciences Inc. 2018 Omnibus Incentive Plan (incorporated by reference to Exhibit 99.1 to the Registration Statement on Form</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S-8 filed on January 29, 2018).</w:t>
              </w:r>
            </w:hyperlink>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9760" w:type="dxa"/>
            <w:vAlign w:val="bottom"/>
            <w:gridSpan w:val="30"/>
          </w:tcPr>
          <w:p>
            <w:pPr>
              <w:spacing w:after="0"/>
              <w:rPr>
                <w:rFonts w:ascii="Arial" w:cs="Arial" w:eastAsia="Arial" w:hAnsi="Arial"/>
                <w:sz w:val="18"/>
                <w:szCs w:val="18"/>
                <w:color w:val="0000EE"/>
                <w:w w:val="95"/>
              </w:rPr>
            </w:pPr>
            <w:hyperlink r:id="rId167">
              <w:r>
                <w:rPr>
                  <w:rFonts w:ascii="Arial" w:cs="Arial" w:eastAsia="Arial" w:hAnsi="Arial"/>
                  <w:sz w:val="18"/>
                  <w:szCs w:val="18"/>
                  <w:color w:val="0000EE"/>
                  <w:w w:val="95"/>
                </w:rPr>
                <w:t>Form of Incentive Stock Option Agreement under 2018 Omnibus Incentive Plan. (incorporated by reference to Exhibit 10.7 to the</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r:id="rId167">
              <w:r>
                <w:rPr>
                  <w:rFonts w:ascii="Arial" w:cs="Arial" w:eastAsia="Arial" w:hAnsi="Arial"/>
                  <w:sz w:val="18"/>
                  <w:szCs w:val="18"/>
                  <w:color w:val="0000EE"/>
                  <w:w w:val="94"/>
                </w:rPr>
                <w:t>Annual Report on Form 10-K filed on March 13, 2019).</w:t>
              </w:r>
            </w:hyperlink>
          </w:p>
        </w:tc>
        <w:tc>
          <w:tcPr>
            <w:tcW w:w="5220" w:type="dxa"/>
            <w:vAlign w:val="bottom"/>
            <w:tcBorders>
              <w:top w:val="single" w:sz="8" w:color="0000EE"/>
            </w:tcBorders>
            <w:gridSpan w:val="15"/>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9760" w:type="dxa"/>
            <w:vAlign w:val="bottom"/>
            <w:gridSpan w:val="30"/>
          </w:tcPr>
          <w:p>
            <w:pPr>
              <w:spacing w:after="0"/>
              <w:rPr>
                <w:rFonts w:ascii="Arial" w:cs="Arial" w:eastAsia="Arial" w:hAnsi="Arial"/>
                <w:sz w:val="18"/>
                <w:szCs w:val="18"/>
                <w:color w:val="0000EE"/>
                <w:w w:val="92"/>
              </w:rPr>
            </w:pPr>
            <w:hyperlink r:id="rId168">
              <w:r>
                <w:rPr>
                  <w:rFonts w:ascii="Arial" w:cs="Arial" w:eastAsia="Arial" w:hAnsi="Arial"/>
                  <w:sz w:val="18"/>
                  <w:szCs w:val="18"/>
                  <w:color w:val="0000EE"/>
                  <w:w w:val="92"/>
                </w:rPr>
                <w:t>Form of Nonqualified Stock Option Agreement under 2018 Omnibus Incentive Plan. (incorporated by reference to Exhibit 10.8 to the</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r:id="rId168">
              <w:r>
                <w:rPr>
                  <w:rFonts w:ascii="Arial" w:cs="Arial" w:eastAsia="Arial" w:hAnsi="Arial"/>
                  <w:sz w:val="18"/>
                  <w:szCs w:val="18"/>
                  <w:color w:val="0000EE"/>
                  <w:w w:val="94"/>
                </w:rPr>
                <w:t>Annual Report on Form 10-K filed on March 13, 2019).</w:t>
              </w:r>
            </w:hyperlink>
          </w:p>
        </w:tc>
        <w:tc>
          <w:tcPr>
            <w:tcW w:w="5500" w:type="dxa"/>
            <w:vAlign w:val="bottom"/>
            <w:tcBorders>
              <w:top w:val="single" w:sz="8" w:color="0000EE"/>
            </w:tcBorders>
            <w:gridSpan w:val="19"/>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9760" w:type="dxa"/>
            <w:vAlign w:val="bottom"/>
            <w:tcBorders>
              <w:bottom w:val="single" w:sz="8" w:color="0000EE"/>
            </w:tcBorders>
            <w:gridSpan w:val="30"/>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Form of Restricted Stock Agreement under 2018 Omnibus Incentive Plan (incorporated by reference to Exhibit 10.9 to the Registration</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Statement on Form S-1 filed on December 29, 2017).</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30"/>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Exclusive Patent License Agreement, dated as of October 16, 2015, by and between Solid GT, LLC and the University of Washington</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(incorporated by reference to Exhibit 10.10 to the Registration Statement on Form S-1 filed on December 29, 2017).</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600" w:type="dxa"/>
            <w:vAlign w:val="bottom"/>
            <w:gridSpan w:val="6"/>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30"/>
          </w:tcPr>
          <w:p>
            <w:pPr>
              <w:spacing w:after="0"/>
              <w:rPr>
                <w:rFonts w:ascii="Arial" w:cs="Arial" w:eastAsia="Arial" w:hAnsi="Arial"/>
                <w:sz w:val="18"/>
                <w:szCs w:val="18"/>
                <w:color w:val="0000EE"/>
                <w:w w:val="95"/>
              </w:rPr>
            </w:pPr>
            <w:hyperlink r:id="rId171">
              <w:r>
                <w:rPr>
                  <w:rFonts w:ascii="Arial" w:cs="Arial" w:eastAsia="Arial" w:hAnsi="Arial"/>
                  <w:sz w:val="18"/>
                  <w:szCs w:val="18"/>
                  <w:color w:val="0000EE"/>
                  <w:w w:val="95"/>
                </w:rPr>
                <w:t>License Agreement, dated as of October 15, 2015, by and between Solid GT, LLC and The Curators of the University of Missouri</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(incorporated by reference to Exhibit 10.12 to Amendment No. 1 to the Registration Statement on Form S-1 filed on January 16,</w:t>
              </w:r>
            </w:hyperlink>
          </w:p>
        </w:tc>
        <w:tc>
          <w:tcPr>
            <w:tcW w:w="100" w:type="dxa"/>
            <w:vAlign w:val="bottom"/>
            <w:tcBorders>
              <w:top w:val="single" w:sz="8" w:color="0000EE"/>
            </w:tcBorders>
            <w:gridSpan w:val="3"/>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2018)</w:t>
              </w:r>
              <w:r>
                <w:rPr>
                  <w:rFonts w:ascii="Arial" w:cs="Arial" w:eastAsia="Arial" w:hAnsi="Arial"/>
                  <w:sz w:val="18"/>
                  <w:szCs w:val="18"/>
                  <w:color w:val="000000"/>
                </w:rPr>
                <w:t>.</w:t>
              </w:r>
            </w:hyperlink>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30"/>
          </w:tcPr>
          <w:p>
            <w:pPr>
              <w:spacing w:after="0"/>
              <w:rPr>
                <w:rFonts w:ascii="Arial" w:cs="Arial" w:eastAsia="Arial" w:hAnsi="Arial"/>
                <w:sz w:val="18"/>
                <w:szCs w:val="18"/>
                <w:color w:val="0000EE"/>
                <w:w w:val="97"/>
              </w:rPr>
            </w:pPr>
            <w:hyperlink r:id="rId172">
              <w:r>
                <w:rPr>
                  <w:rFonts w:ascii="Arial" w:cs="Arial" w:eastAsia="Arial" w:hAnsi="Arial"/>
                  <w:sz w:val="18"/>
                  <w:szCs w:val="18"/>
                  <w:color w:val="0000EE"/>
                  <w:w w:val="97"/>
                </w:rPr>
                <w:t>Cell Line License Agreement, dated as of November 20, 2016, by and between Solid Biosciences, LLC and Life Technologies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600" w:type="dxa"/>
            <w:vAlign w:val="bottom"/>
            <w:gridSpan w:val="6"/>
            <w:shd w:val="clear" w:color="auto" w:fill="0000EE"/>
          </w:tcPr>
          <w:p>
            <w:pPr>
              <w:spacing w:after="0" w:line="20" w:lineRule="exact"/>
              <w:rPr>
                <w:sz w:val="1"/>
                <w:szCs w:val="1"/>
                <w:color w:val="auto"/>
              </w:rPr>
            </w:pPr>
          </w:p>
        </w:tc>
        <w:tc>
          <w:tcPr>
            <w:tcW w:w="404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Corporation (incorporated by reference to Exhibit 10.13 to Amendment No. 1 to the Registration Statement on Form S-1 filed on</w:t>
              </w:r>
            </w:hyperlink>
          </w:p>
        </w:tc>
        <w:tc>
          <w:tcPr>
            <w:tcW w:w="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January 16, 2018).</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20" w:type="dxa"/>
            <w:vAlign w:val="bottom"/>
            <w:tcBorders>
              <w:bottom w:val="single" w:sz="8" w:color="0000EE"/>
            </w:tcBorders>
            <w:gridSpan w:val="21"/>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License Agreement, dated as of June 23, 2016, by and between Solid GT, LLC and the President and Fellows of Harvard College</w:t>
              </w:r>
            </w:hyperlink>
          </w:p>
        </w:tc>
        <w:tc>
          <w:tcPr>
            <w:tcW w:w="4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(incorporated by reference to Exhibit 10.14 to the Registration Statement on Form S-1 filed on December 29, 2017).</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40" w:type="dxa"/>
            <w:vAlign w:val="bottom"/>
            <w:gridSpan w:val="9"/>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30"/>
          </w:tcPr>
          <w:p>
            <w:pPr>
              <w:spacing w:after="0"/>
              <w:rPr>
                <w:rFonts w:ascii="Arial" w:cs="Arial" w:eastAsia="Arial" w:hAnsi="Arial"/>
                <w:sz w:val="18"/>
                <w:szCs w:val="18"/>
                <w:color w:val="0000EE"/>
                <w:w w:val="93"/>
              </w:rPr>
            </w:pPr>
            <w:hyperlink r:id="rId174">
              <w:r>
                <w:rPr>
                  <w:rFonts w:ascii="Arial" w:cs="Arial" w:eastAsia="Arial" w:hAnsi="Arial"/>
                  <w:sz w:val="18"/>
                  <w:szCs w:val="18"/>
                  <w:color w:val="0000EE"/>
                  <w:w w:val="93"/>
                </w:rPr>
                <w:t>License Agreement, dated as of August 3, 2017, by and between Solid Biosciences, LLC and the President and Fellows of Harvard</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40" w:type="dxa"/>
            <w:vAlign w:val="bottom"/>
            <w:tcBorders>
              <w:top w:val="single" w:sz="8" w:color="0000EE"/>
            </w:tcBorders>
            <w:gridSpan w:val="24"/>
          </w:tcPr>
          <w:p>
            <w:pPr>
              <w:spacing w:after="0" w:line="196" w:lineRule="exact"/>
              <w:rPr>
                <w:rFonts w:ascii="Arial" w:cs="Arial" w:eastAsia="Arial" w:hAnsi="Arial"/>
                <w:sz w:val="18"/>
                <w:szCs w:val="18"/>
                <w:color w:val="0000EE"/>
                <w:w w:val="95"/>
              </w:rPr>
            </w:pPr>
            <w:hyperlink r:id="rId174">
              <w:r>
                <w:rPr>
                  <w:rFonts w:ascii="Arial" w:cs="Arial" w:eastAsia="Arial" w:hAnsi="Arial"/>
                  <w:sz w:val="18"/>
                  <w:szCs w:val="18"/>
                  <w:color w:val="0000EE"/>
                  <w:w w:val="95"/>
                </w:rPr>
                <w:t>College (incorporated by reference to Exhibit 10.15 to the Registration Statement on Form S-1 filed on December 29, 2017).</w:t>
              </w:r>
            </w:hyperlink>
          </w:p>
        </w:tc>
        <w:tc>
          <w:tcPr>
            <w:tcW w:w="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40" w:type="dxa"/>
            <w:vAlign w:val="bottom"/>
            <w:gridSpan w:val="9"/>
            <w:shd w:val="clear" w:color="auto" w:fill="0000EE"/>
          </w:tcPr>
          <w:p>
            <w:pPr>
              <w:spacing w:after="0" w:line="20" w:lineRule="exact"/>
              <w:rPr>
                <w:sz w:val="1"/>
                <w:szCs w:val="1"/>
                <w:color w:val="auto"/>
              </w:rPr>
            </w:pPr>
          </w:p>
        </w:tc>
        <w:tc>
          <w:tcPr>
            <w:tcW w:w="404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gridSpan w:val="2"/>
          </w:tcPr>
          <w:p>
            <w:pPr>
              <w:ind w:left="1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9100" w:type="dxa"/>
            <w:vAlign w:val="bottom"/>
            <w:tcBorders>
              <w:bottom w:val="single" w:sz="8" w:color="0000EE"/>
            </w:tcBorders>
            <w:gridSpan w:val="16"/>
          </w:tcPr>
          <w:p>
            <w:pPr>
              <w:spacing w:after="0"/>
              <w:rPr>
                <w:rFonts w:ascii="Arial" w:cs="Arial" w:eastAsia="Arial" w:hAnsi="Arial"/>
                <w:sz w:val="18"/>
                <w:szCs w:val="18"/>
                <w:color w:val="0000EE"/>
                <w:w w:val="92"/>
              </w:rPr>
            </w:pPr>
            <w:hyperlink r:id="rId175">
              <w:r>
                <w:rPr>
                  <w:rFonts w:ascii="Arial" w:cs="Arial" w:eastAsia="Arial" w:hAnsi="Arial"/>
                  <w:sz w:val="18"/>
                  <w:szCs w:val="18"/>
                  <w:color w:val="0000EE"/>
                  <w:w w:val="92"/>
                </w:rPr>
                <w:t>Form of Indemnification Agreement for Directors and Officers (incorporated by reference to Exhibit 10.16 to the Registration</w:t>
              </w:r>
            </w:hyperlink>
          </w:p>
        </w:tc>
        <w:tc>
          <w:tcPr>
            <w:tcW w:w="6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Statement on Form S-1 filed on December 29, 2017).</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6"/>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780" w:type="dxa"/>
            <w:vAlign w:val="bottom"/>
            <w:gridSpan w:val="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20" w:type="dxa"/>
            <w:vAlign w:val="bottom"/>
            <w:tcBorders>
              <w:bottom w:val="single" w:sz="8" w:color="0000EE"/>
            </w:tcBorders>
            <w:gridSpan w:val="29"/>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Sublease, dated as of January 30, 2018, by and between Solid Biosciences, LLC and Twitter, Inc. (incorporated by reference to Exhibit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76">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20</w:t>
              </w:r>
              <w:r>
                <w:rPr>
                  <w:rFonts w:ascii="Arial" w:cs="Arial" w:eastAsia="Arial" w:hAnsi="Arial"/>
                  <w:sz w:val="18"/>
                  <w:szCs w:val="18"/>
                  <w:color w:val="0000EE"/>
                  <w:w w:val="92"/>
                </w:rPr>
                <w:t xml:space="preserve"> to the Annual Report on Form 10-K filed on March 29, 2018).</w:t>
              </w:r>
            </w:hyperlink>
          </w:p>
        </w:tc>
        <w:tc>
          <w:tcPr>
            <w:tcW w:w="48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20" w:type="dxa"/>
            <w:vAlign w:val="bottom"/>
            <w:gridSpan w:val="9"/>
          </w:tcPr>
          <w:p>
            <w:pPr>
              <w:jc w:val="right"/>
              <w:ind w:right="20"/>
              <w:spacing w:after="0"/>
              <w:rPr>
                <w:sz w:val="20"/>
                <w:szCs w:val="20"/>
                <w:color w:val="auto"/>
              </w:rPr>
            </w:pPr>
            <w:r>
              <w:rPr>
                <w:rFonts w:ascii="Arial" w:cs="Arial" w:eastAsia="Arial" w:hAnsi="Arial"/>
                <w:sz w:val="18"/>
                <w:szCs w:val="18"/>
                <w:color w:val="auto"/>
              </w:rPr>
              <w:t>136</w:t>
            </w: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1480" w:type="dxa"/>
            <w:vAlign w:val="bottom"/>
          </w:tcPr>
          <w:p>
            <w:pPr>
              <w:ind w:left="140"/>
              <w:spacing w:after="0"/>
              <w:rPr>
                <w:sz w:val="20"/>
                <w:szCs w:val="20"/>
                <w:color w:val="auto"/>
              </w:rPr>
            </w:pPr>
            <w:r>
              <w:rPr>
                <w:rFonts w:ascii="Arial" w:cs="Arial" w:eastAsia="Arial" w:hAnsi="Arial"/>
                <w:sz w:val="18"/>
                <w:szCs w:val="18"/>
                <w:color w:val="auto"/>
              </w:rPr>
              <w:t>10.17</w:t>
            </w:r>
          </w:p>
        </w:tc>
        <w:tc>
          <w:tcPr>
            <w:tcW w:w="9200" w:type="dxa"/>
            <w:vAlign w:val="bottom"/>
            <w:tcBorders>
              <w:bottom w:val="single" w:sz="8" w:color="0000EE"/>
            </w:tcBorders>
            <w:gridSpan w:val="20"/>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Lease Agreement, dated as of December 22, 2017, by and between Solid Biosciences, LLC and ARE-MA Region No. 59, LLC</w:t>
              </w:r>
            </w:hyperlink>
          </w:p>
        </w:tc>
        <w:tc>
          <w:tcPr>
            <w:tcW w:w="560" w:type="dxa"/>
            <w:vAlign w:val="bottom"/>
            <w:gridSpan w:val="11"/>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76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(incorporated by reference to Exhibit 10.21 to the Annual Report on Form 10-K filed on March 29, 2018).</w:t>
              </w:r>
            </w:hyperlink>
          </w:p>
        </w:tc>
        <w:tc>
          <w:tcPr>
            <w:tcW w:w="2100" w:type="dxa"/>
            <w:vAlign w:val="bottom"/>
            <w:gridSpan w:val="21"/>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10.18*†</w:t>
            </w:r>
          </w:p>
        </w:tc>
        <w:tc>
          <w:tcPr>
            <w:tcW w:w="9760" w:type="dxa"/>
            <w:vAlign w:val="bottom"/>
            <w:gridSpan w:val="31"/>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Summary of Non-Employee Director Compensation Program.</w:t>
              </w:r>
            </w:hyperlink>
          </w:p>
        </w:tc>
      </w:tr>
      <w:tr>
        <w:trPr>
          <w:trHeight w:val="20"/>
        </w:trPr>
        <w:tc>
          <w:tcPr>
            <w:tcW w:w="148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10.19</w:t>
            </w:r>
          </w:p>
        </w:tc>
        <w:tc>
          <w:tcPr>
            <w:tcW w:w="9180" w:type="dxa"/>
            <w:vAlign w:val="bottom"/>
            <w:tcBorders>
              <w:bottom w:val="single" w:sz="8" w:color="0000EE"/>
            </w:tcBorders>
            <w:gridSpan w:val="19"/>
          </w:tcPr>
          <w:p>
            <w:pPr>
              <w:spacing w:after="0"/>
              <w:rPr>
                <w:rFonts w:ascii="Arial" w:cs="Arial" w:eastAsia="Arial" w:hAnsi="Arial"/>
                <w:sz w:val="18"/>
                <w:szCs w:val="18"/>
                <w:color w:val="0000EE"/>
                <w:w w:val="89"/>
              </w:rPr>
            </w:pPr>
            <w:hyperlink r:id="rId180">
              <w:r>
                <w:rPr>
                  <w:rFonts w:ascii="Arial" w:cs="Arial" w:eastAsia="Arial" w:hAnsi="Arial"/>
                  <w:sz w:val="18"/>
                  <w:szCs w:val="18"/>
                  <w:color w:val="0000EE"/>
                  <w:w w:val="89"/>
                </w:rPr>
                <w:t>Securities Purchase Agreement, dated July 25, 2019, by and among the Company and the other parties thereto (incorporated by</w:t>
              </w:r>
            </w:hyperlink>
          </w:p>
        </w:tc>
        <w:tc>
          <w:tcPr>
            <w:tcW w:w="580" w:type="dxa"/>
            <w:vAlign w:val="bottom"/>
            <w:gridSpan w:val="1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1"/>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reference to Exhibit 10.1 to the Current Report on Form 8-K filed on July 26, 2019).</w:t>
              </w:r>
            </w:hyperlink>
          </w:p>
        </w:tc>
      </w:tr>
      <w:tr>
        <w:trPr>
          <w:trHeight w:val="20"/>
        </w:trPr>
        <w:tc>
          <w:tcPr>
            <w:tcW w:w="148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10.20</w:t>
            </w:r>
          </w:p>
        </w:tc>
        <w:tc>
          <w:tcPr>
            <w:tcW w:w="9760" w:type="dxa"/>
            <w:vAlign w:val="bottom"/>
            <w:gridSpan w:val="31"/>
          </w:tcPr>
          <w:p>
            <w:pP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Form of Pre-Funded Warrant to Purchase Common Stock to be issued pursuant to the Securities Purchase Agreement (incorporated by</w:t>
              </w:r>
            </w:hyperlink>
          </w:p>
        </w:tc>
      </w:tr>
      <w:tr>
        <w:trPr>
          <w:trHeight w:val="196"/>
        </w:trPr>
        <w:tc>
          <w:tcPr>
            <w:tcW w:w="1480" w:type="dxa"/>
            <w:vAlign w:val="bottom"/>
          </w:tcPr>
          <w:p>
            <w:pPr>
              <w:spacing w:after="0"/>
              <w:rPr>
                <w:sz w:val="17"/>
                <w:szCs w:val="17"/>
                <w:color w:val="auto"/>
              </w:rPr>
            </w:pPr>
          </w:p>
        </w:tc>
        <w:tc>
          <w:tcPr>
            <w:tcW w:w="96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reference to Exhibit 10.2 to the Current Report on Form 8-K filed on July 26, 2019).</w:t>
              </w:r>
            </w:hyperlink>
          </w:p>
        </w:tc>
        <w:tc>
          <w:tcPr>
            <w:tcW w:w="80" w:type="dxa"/>
            <w:vAlign w:val="bottom"/>
            <w:gridSpan w:val="2"/>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10.21</w:t>
            </w:r>
          </w:p>
        </w:tc>
        <w:tc>
          <w:tcPr>
            <w:tcW w:w="9160" w:type="dxa"/>
            <w:vAlign w:val="bottom"/>
            <w:tcBorders>
              <w:bottom w:val="single" w:sz="8" w:color="0000EE"/>
            </w:tcBorders>
            <w:gridSpan w:val="18"/>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Registration Rights Agreement, dated July 25, 2019, by and among the Company and the other parties thereto (incorporated by</w:t>
              </w:r>
            </w:hyperlink>
          </w:p>
        </w:tc>
        <w:tc>
          <w:tcPr>
            <w:tcW w:w="600" w:type="dxa"/>
            <w:vAlign w:val="bottom"/>
            <w:gridSpan w:val="1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1"/>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reference to Exhibit 10.3 to the Current Report on Form 8-K filed on July 26, 2019)</w:t>
              </w:r>
              <w:r>
                <w:rPr>
                  <w:rFonts w:ascii="Arial" w:cs="Arial" w:eastAsia="Arial" w:hAnsi="Arial"/>
                  <w:sz w:val="18"/>
                  <w:szCs w:val="18"/>
                  <w:color w:val="000000"/>
                </w:rPr>
                <w:t>.</w:t>
              </w:r>
            </w:hyperlink>
          </w:p>
        </w:tc>
      </w:tr>
      <w:tr>
        <w:trPr>
          <w:trHeight w:val="20"/>
        </w:trPr>
        <w:tc>
          <w:tcPr>
            <w:tcW w:w="148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10.22†</w:t>
            </w:r>
          </w:p>
        </w:tc>
        <w:tc>
          <w:tcPr>
            <w:tcW w:w="9760" w:type="dxa"/>
            <w:vAlign w:val="bottom"/>
            <w:gridSpan w:val="31"/>
          </w:tcPr>
          <w:p>
            <w:pPr>
              <w:spacing w:after="0"/>
              <w:rPr>
                <w:rFonts w:ascii="Arial" w:cs="Arial" w:eastAsia="Arial" w:hAnsi="Arial"/>
                <w:sz w:val="18"/>
                <w:szCs w:val="18"/>
                <w:color w:val="0000EE"/>
                <w:w w:val="98"/>
              </w:rPr>
            </w:pPr>
            <w:hyperlink r:id="rId183">
              <w:r>
                <w:rPr>
                  <w:rFonts w:ascii="Arial" w:cs="Arial" w:eastAsia="Arial" w:hAnsi="Arial"/>
                  <w:sz w:val="18"/>
                  <w:szCs w:val="18"/>
                  <w:color w:val="0000EE"/>
                  <w:w w:val="98"/>
                </w:rPr>
                <w:t>Consulting Agreement, dated as of November 19, 2020, by and between Solid Biosciences Inc. and Danforth Advisors, LLC.</w:t>
              </w:r>
            </w:hyperlink>
          </w:p>
        </w:tc>
      </w:tr>
      <w:tr>
        <w:trPr>
          <w:trHeight w:val="196"/>
        </w:trPr>
        <w:tc>
          <w:tcPr>
            <w:tcW w:w="148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(incorporated by reference to Exhibit 10.24 to the Annual Report on Form 10-K filed on March 15, 2021).</w:t>
              </w:r>
            </w:hyperlink>
          </w:p>
        </w:tc>
        <w:tc>
          <w:tcPr>
            <w:tcW w:w="1360" w:type="dxa"/>
            <w:vAlign w:val="bottom"/>
            <w:tcBorders>
              <w:top w:val="single" w:sz="8" w:color="0000EE"/>
            </w:tcBorders>
            <w:gridSpan w:val="6"/>
          </w:tcPr>
          <w:p>
            <w:pPr>
              <w:spacing w:after="0"/>
              <w:rPr>
                <w:sz w:val="17"/>
                <w:szCs w:val="17"/>
                <w:color w:val="auto"/>
              </w:rPr>
            </w:pPr>
          </w:p>
        </w:tc>
        <w:tc>
          <w:tcPr>
            <w:tcW w:w="740" w:type="dxa"/>
            <w:vAlign w:val="bottom"/>
            <w:gridSpan w:val="15"/>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10.23†</w:t>
            </w:r>
          </w:p>
        </w:tc>
        <w:tc>
          <w:tcPr>
            <w:tcW w:w="9760" w:type="dxa"/>
            <w:vAlign w:val="bottom"/>
            <w:gridSpan w:val="31"/>
          </w:tcPr>
          <w:p>
            <w:pPr>
              <w:spacing w:after="0"/>
              <w:rPr>
                <w:rFonts w:ascii="Arial" w:cs="Arial" w:eastAsia="Arial" w:hAnsi="Arial"/>
                <w:sz w:val="18"/>
                <w:szCs w:val="18"/>
                <w:color w:val="0000EE"/>
                <w:w w:val="96"/>
              </w:rPr>
            </w:pPr>
            <w:hyperlink r:id="rId184">
              <w:r>
                <w:rPr>
                  <w:rFonts w:ascii="Arial" w:cs="Arial" w:eastAsia="Arial" w:hAnsi="Arial"/>
                  <w:sz w:val="18"/>
                  <w:szCs w:val="18"/>
                  <w:color w:val="0000EE"/>
                  <w:w w:val="96"/>
                </w:rPr>
                <w:t>Consulting Agreement, dated as of February 1, 2020, by and between Solid Biosciences Inc. and Ian F. Smith (incorporated by</w:t>
              </w:r>
            </w:hyperlink>
          </w:p>
        </w:tc>
      </w:tr>
      <w:tr>
        <w:trPr>
          <w:trHeight w:val="196"/>
        </w:trPr>
        <w:tc>
          <w:tcPr>
            <w:tcW w:w="1480" w:type="dxa"/>
            <w:vAlign w:val="bottom"/>
          </w:tcPr>
          <w:p>
            <w:pPr>
              <w:spacing w:after="0"/>
              <w:rPr>
                <w:sz w:val="17"/>
                <w:szCs w:val="17"/>
                <w:color w:val="auto"/>
              </w:rPr>
            </w:pPr>
          </w:p>
        </w:tc>
        <w:tc>
          <w:tcPr>
            <w:tcW w:w="6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reference to Exhibit 10.2 to the Quarterly Report on Form 10-Q filed on May 7, 2020).</w:t>
              </w:r>
            </w:hyperlink>
          </w:p>
        </w:tc>
        <w:tc>
          <w:tcPr>
            <w:tcW w:w="2860" w:type="dxa"/>
            <w:vAlign w:val="bottom"/>
            <w:tcBorders>
              <w:top w:val="single" w:sz="8" w:color="0000EE"/>
            </w:tcBorders>
            <w:gridSpan w:val="10"/>
          </w:tcPr>
          <w:p>
            <w:pPr>
              <w:spacing w:after="0"/>
              <w:rPr>
                <w:sz w:val="17"/>
                <w:szCs w:val="17"/>
                <w:color w:val="auto"/>
              </w:rPr>
            </w:pPr>
          </w:p>
        </w:tc>
        <w:tc>
          <w:tcPr>
            <w:tcW w:w="640" w:type="dxa"/>
            <w:vAlign w:val="bottom"/>
            <w:gridSpan w:val="14"/>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10.24†</w:t>
            </w:r>
          </w:p>
        </w:tc>
        <w:tc>
          <w:tcPr>
            <w:tcW w:w="9760" w:type="dxa"/>
            <w:vAlign w:val="bottom"/>
            <w:tcBorders>
              <w:bottom w:val="single" w:sz="8" w:color="0000EE"/>
            </w:tcBorders>
            <w:gridSpan w:val="31"/>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Consulting Agreement, dated as of January 4, 2021, by and between Solid Biosciences Inc. and Ian F. Smith (incorporated by reference</w:t>
              </w:r>
            </w:hyperlink>
          </w:p>
        </w:tc>
      </w:tr>
      <w:tr>
        <w:trPr>
          <w:trHeight w:val="196"/>
        </w:trPr>
        <w:tc>
          <w:tcPr>
            <w:tcW w:w="1480" w:type="dxa"/>
            <w:vAlign w:val="bottom"/>
          </w:tcPr>
          <w:p>
            <w:pPr>
              <w:spacing w:after="0"/>
              <w:rPr>
                <w:sz w:val="17"/>
                <w:szCs w:val="17"/>
                <w:color w:val="auto"/>
              </w:rPr>
            </w:pPr>
          </w:p>
        </w:tc>
        <w:tc>
          <w:tcPr>
            <w:tcW w:w="9760" w:type="dxa"/>
            <w:vAlign w:val="bottom"/>
            <w:gridSpan w:val="31"/>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to Exhibit 10.1 to the Quarterly Report on Form 10-Q filed on May 14, 2021).</w:t>
              </w:r>
            </w:hyperlink>
          </w:p>
        </w:tc>
      </w:tr>
      <w:tr>
        <w:trPr>
          <w:trHeight w:val="20"/>
        </w:trPr>
        <w:tc>
          <w:tcPr>
            <w:tcW w:w="148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10.25*†</w:t>
            </w:r>
          </w:p>
        </w:tc>
        <w:tc>
          <w:tcPr>
            <w:tcW w:w="9760" w:type="dxa"/>
            <w:vAlign w:val="bottom"/>
            <w:gridSpan w:val="31"/>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Executive Chair Agreement, effective January 1, 2022, by and between Solid Biosciences Inc. and Ian F. Smith.</w:t>
              </w:r>
            </w:hyperlink>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10.26*†</w:t>
            </w:r>
          </w:p>
        </w:tc>
        <w:tc>
          <w:tcPr>
            <w:tcW w:w="66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200">
              <w:r>
                <w:rPr>
                  <w:rFonts w:ascii="Arial" w:cs="Arial" w:eastAsia="Arial" w:hAnsi="Arial"/>
                  <w:sz w:val="18"/>
                  <w:szCs w:val="18"/>
                  <w:color w:val="0000EE"/>
                  <w:w w:val="90"/>
                </w:rPr>
                <w:t>2020 Equity Incentive Plan, as amended by Amendment No. 1 to 2020 Stock Incentive Plan.</w:t>
              </w:r>
            </w:hyperlink>
          </w:p>
        </w:tc>
        <w:tc>
          <w:tcPr>
            <w:tcW w:w="1380" w:type="dxa"/>
            <w:vAlign w:val="bottom"/>
            <w:tcBorders>
              <w:top w:val="single" w:sz="8" w:color="0000EE"/>
            </w:tcBorders>
            <w:gridSpan w:val="3"/>
          </w:tcPr>
          <w:p>
            <w:pPr>
              <w:spacing w:after="0"/>
              <w:rPr>
                <w:sz w:val="24"/>
                <w:szCs w:val="24"/>
                <w:color w:val="auto"/>
              </w:rPr>
            </w:pPr>
          </w:p>
        </w:tc>
        <w:tc>
          <w:tcPr>
            <w:tcW w:w="1700" w:type="dxa"/>
            <w:vAlign w:val="bottom"/>
            <w:gridSpan w:val="19"/>
          </w:tcPr>
          <w:p>
            <w:pPr>
              <w:spacing w:after="0"/>
              <w:rPr>
                <w:sz w:val="24"/>
                <w:szCs w:val="24"/>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10.27†</w:t>
            </w:r>
          </w:p>
        </w:tc>
        <w:tc>
          <w:tcPr>
            <w:tcW w:w="9760" w:type="dxa"/>
            <w:vAlign w:val="bottom"/>
            <w:gridSpan w:val="31"/>
          </w:tcPr>
          <w:p>
            <w:pPr>
              <w:spacing w:after="0"/>
              <w:rPr>
                <w:rFonts w:ascii="Arial" w:cs="Arial" w:eastAsia="Arial" w:hAnsi="Arial"/>
                <w:sz w:val="18"/>
                <w:szCs w:val="18"/>
                <w:color w:val="0000EE"/>
                <w:w w:val="94"/>
              </w:rPr>
            </w:pPr>
            <w:hyperlink r:id="rId186">
              <w:r>
                <w:rPr>
                  <w:rFonts w:ascii="Arial" w:cs="Arial" w:eastAsia="Arial" w:hAnsi="Arial"/>
                  <w:sz w:val="18"/>
                  <w:szCs w:val="18"/>
                  <w:color w:val="0000EE"/>
                  <w:w w:val="94"/>
                </w:rPr>
                <w:t>Form of Stock Option Agreement under the 2020 Equity Incentive Plan (incorporated by reference to Exhibit 10.4 to the Quarterly</w:t>
              </w:r>
            </w:hyperlink>
          </w:p>
        </w:tc>
      </w:tr>
      <w:tr>
        <w:trPr>
          <w:trHeight w:val="196"/>
        </w:trPr>
        <w:tc>
          <w:tcPr>
            <w:tcW w:w="1480" w:type="dxa"/>
            <w:vAlign w:val="bottom"/>
          </w:tcPr>
          <w:p>
            <w:pPr>
              <w:spacing w:after="0"/>
              <w:rPr>
                <w:sz w:val="17"/>
                <w:szCs w:val="17"/>
                <w:color w:val="auto"/>
              </w:rPr>
            </w:pPr>
          </w:p>
        </w:tc>
        <w:tc>
          <w:tcPr>
            <w:tcW w:w="94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Report on Form 10-Q filed on August 6, 2020).</w:t>
              </w:r>
            </w:hyperlink>
          </w:p>
        </w:tc>
        <w:tc>
          <w:tcPr>
            <w:tcW w:w="340" w:type="dxa"/>
            <w:vAlign w:val="bottom"/>
            <w:gridSpan w:val="8"/>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10.28*†</w:t>
            </w:r>
          </w:p>
        </w:tc>
        <w:tc>
          <w:tcPr>
            <w:tcW w:w="9760" w:type="dxa"/>
            <w:vAlign w:val="bottom"/>
            <w:gridSpan w:val="31"/>
          </w:tcPr>
          <w:p>
            <w:pPr>
              <w:spacing w:after="0"/>
              <w:rPr>
                <w:rFonts w:ascii="Arial" w:cs="Arial" w:eastAsia="Arial" w:hAnsi="Arial"/>
                <w:sz w:val="18"/>
                <w:szCs w:val="18"/>
                <w:color w:val="0000EE"/>
              </w:rPr>
            </w:pPr>
            <w:hyperlink w:anchor="page218">
              <w:r>
                <w:rPr>
                  <w:rFonts w:ascii="Arial" w:cs="Arial" w:eastAsia="Arial" w:hAnsi="Arial"/>
                  <w:sz w:val="18"/>
                  <w:szCs w:val="18"/>
                  <w:color w:val="0000EE"/>
                </w:rPr>
                <w:t>Form of Restricted Stock Unit Agreement under the 2020 Equity Incentive Plan.</w:t>
              </w:r>
            </w:hyperlink>
          </w:p>
        </w:tc>
      </w:tr>
      <w:tr>
        <w:trPr>
          <w:trHeight w:val="20"/>
        </w:trPr>
        <w:tc>
          <w:tcPr>
            <w:tcW w:w="1480" w:type="dxa"/>
            <w:vAlign w:val="bottom"/>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10.29#</w:t>
            </w:r>
          </w:p>
        </w:tc>
        <w:tc>
          <w:tcPr>
            <w:tcW w:w="9480" w:type="dxa"/>
            <w:vAlign w:val="bottom"/>
            <w:tcBorders>
              <w:bottom w:val="single" w:sz="8" w:color="0000EE"/>
            </w:tcBorders>
            <w:gridSpan w:val="25"/>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Collaboration and License Agreement, dated as of October 22, 2020, by and between the Company and Ultragenyx Pharmaceutical</w:t>
              </w:r>
            </w:hyperlink>
          </w:p>
        </w:tc>
        <w:tc>
          <w:tcPr>
            <w:tcW w:w="28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1"/>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Inc. (incorporated by reference to Exhibit 10.1 to the Quarterly Report on Form 10-Q filed on November 5, 2020).</w:t>
              </w:r>
            </w:hyperlink>
          </w:p>
        </w:tc>
      </w:tr>
      <w:tr>
        <w:trPr>
          <w:trHeight w:val="20"/>
        </w:trPr>
        <w:tc>
          <w:tcPr>
            <w:tcW w:w="1480" w:type="dxa"/>
            <w:vAlign w:val="bottom"/>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10.30</w:t>
            </w:r>
          </w:p>
        </w:tc>
        <w:tc>
          <w:tcPr>
            <w:tcW w:w="9760" w:type="dxa"/>
            <w:vAlign w:val="bottom"/>
            <w:gridSpan w:val="31"/>
          </w:tcPr>
          <w:p>
            <w:pPr>
              <w:spacing w:after="0"/>
              <w:rPr>
                <w:rFonts w:ascii="Arial" w:cs="Arial" w:eastAsia="Arial" w:hAnsi="Arial"/>
                <w:sz w:val="18"/>
                <w:szCs w:val="18"/>
                <w:color w:val="0000EE"/>
                <w:w w:val="97"/>
              </w:rPr>
            </w:pPr>
            <w:hyperlink r:id="rId188">
              <w:r>
                <w:rPr>
                  <w:rFonts w:ascii="Arial" w:cs="Arial" w:eastAsia="Arial" w:hAnsi="Arial"/>
                  <w:sz w:val="18"/>
                  <w:szCs w:val="18"/>
                  <w:color w:val="0000EE"/>
                  <w:w w:val="97"/>
                </w:rPr>
                <w:t>Stock Purchase Agreement, dated as of October 22, 2020, by and between the Company and Ultragenyx Pharmaceutical Inc.</w:t>
              </w:r>
            </w:hyperlink>
          </w:p>
        </w:tc>
      </w:tr>
      <w:tr>
        <w:trPr>
          <w:trHeight w:val="196"/>
        </w:trPr>
        <w:tc>
          <w:tcPr>
            <w:tcW w:w="1480" w:type="dxa"/>
            <w:vAlign w:val="bottom"/>
          </w:tcPr>
          <w:p>
            <w:pPr>
              <w:spacing w:after="0"/>
              <w:rPr>
                <w:sz w:val="17"/>
                <w:szCs w:val="17"/>
                <w:color w:val="auto"/>
              </w:rPr>
            </w:pPr>
          </w:p>
        </w:tc>
        <w:tc>
          <w:tcPr>
            <w:tcW w:w="89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(incorporated by reference to Exhibit 10.2 to the Quarterly Report on Form 10-Q filed on November 5, 2020).</w:t>
              </w:r>
            </w:hyperlink>
          </w:p>
        </w:tc>
        <w:tc>
          <w:tcPr>
            <w:tcW w:w="780" w:type="dxa"/>
            <w:vAlign w:val="bottom"/>
            <w:gridSpan w:val="16"/>
          </w:tcPr>
          <w:p>
            <w:pPr>
              <w:spacing w:after="0"/>
              <w:rPr>
                <w:sz w:val="17"/>
                <w:szCs w:val="17"/>
                <w:color w:val="auto"/>
              </w:rPr>
            </w:pPr>
          </w:p>
        </w:tc>
      </w:tr>
      <w:tr>
        <w:trPr>
          <w:trHeight w:val="20"/>
        </w:trPr>
        <w:tc>
          <w:tcPr>
            <w:tcW w:w="1480" w:type="dxa"/>
            <w:vAlign w:val="bottom"/>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10.31#</w:t>
            </w:r>
          </w:p>
        </w:tc>
        <w:tc>
          <w:tcPr>
            <w:tcW w:w="9720" w:type="dxa"/>
            <w:vAlign w:val="bottom"/>
            <w:tcBorders>
              <w:bottom w:val="single" w:sz="8" w:color="0000EE"/>
            </w:tcBorders>
            <w:gridSpan w:val="30"/>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Investor Agreement, dated as of October 22, 2020, by and between the Company and Ultragenyx Pharmaceutical Inc. (incorporated by</w:t>
              </w:r>
            </w:hyperlink>
          </w:p>
        </w:tc>
        <w:tc>
          <w:tcPr>
            <w:tcW w:w="4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1"/>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reference to Exhibit 10.3 to the Quarterly Report on Form 10-Q filed on November 5, 2020).</w:t>
              </w:r>
            </w:hyperlink>
          </w:p>
        </w:tc>
      </w:tr>
      <w:tr>
        <w:trPr>
          <w:trHeight w:val="20"/>
        </w:trPr>
        <w:tc>
          <w:tcPr>
            <w:tcW w:w="1480" w:type="dxa"/>
            <w:vAlign w:val="bottom"/>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10.32#</w:t>
            </w:r>
          </w:p>
        </w:tc>
        <w:tc>
          <w:tcPr>
            <w:tcW w:w="9460" w:type="dxa"/>
            <w:vAlign w:val="bottom"/>
            <w:tcBorders>
              <w:bottom w:val="single" w:sz="8" w:color="0000EE"/>
            </w:tcBorders>
            <w:gridSpan w:val="24"/>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First Amendment, dated as of October 9, 2020, to the Exclusive Patent License by and between the Company and the University of</w:t>
              </w:r>
            </w:hyperlink>
          </w:p>
        </w:tc>
        <w:tc>
          <w:tcPr>
            <w:tcW w:w="30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1"/>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Washington (incorporated by reference to Exhibit 10.4 to the Quarterly Report on Form 10-Q filed on November 5, 2020).</w:t>
              </w:r>
            </w:hyperlink>
          </w:p>
        </w:tc>
      </w:tr>
      <w:tr>
        <w:trPr>
          <w:trHeight w:val="20"/>
        </w:trPr>
        <w:tc>
          <w:tcPr>
            <w:tcW w:w="1480" w:type="dxa"/>
            <w:vAlign w:val="bottom"/>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10.33</w:t>
            </w:r>
          </w:p>
        </w:tc>
        <w:tc>
          <w:tcPr>
            <w:tcW w:w="9620" w:type="dxa"/>
            <w:vAlign w:val="bottom"/>
            <w:tcBorders>
              <w:bottom w:val="single" w:sz="8" w:color="0000EE"/>
            </w:tcBorders>
            <w:gridSpan w:val="27"/>
          </w:tcPr>
          <w:p>
            <w:pPr>
              <w:spacing w:after="0"/>
              <w:rPr>
                <w:rFonts w:ascii="Arial" w:cs="Arial" w:eastAsia="Arial" w:hAnsi="Arial"/>
                <w:sz w:val="18"/>
                <w:szCs w:val="18"/>
                <w:color w:val="0000EE"/>
                <w:w w:val="89"/>
              </w:rPr>
            </w:pPr>
            <w:hyperlink r:id="rId191">
              <w:r>
                <w:rPr>
                  <w:rFonts w:ascii="Arial" w:cs="Arial" w:eastAsia="Arial" w:hAnsi="Arial"/>
                  <w:sz w:val="18"/>
                  <w:szCs w:val="18"/>
                  <w:color w:val="0000EE"/>
                  <w:w w:val="89"/>
                </w:rPr>
                <w:t>Securities Purchase Agreement, dated December 10, 2020, by and among the Company and the other parties thereto (incorporated by</w:t>
              </w:r>
            </w:hyperlink>
          </w:p>
        </w:tc>
        <w:tc>
          <w:tcPr>
            <w:tcW w:w="14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65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reference to Exhibit 10.1 to the Current Report on Form 8-K filed on December 11, 2020).</w:t>
              </w:r>
            </w:hyperlink>
          </w:p>
        </w:tc>
        <w:tc>
          <w:tcPr>
            <w:tcW w:w="3240" w:type="dxa"/>
            <w:vAlign w:val="bottom"/>
            <w:gridSpan w:val="23"/>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10.34</w:t>
            </w:r>
          </w:p>
        </w:tc>
        <w:tc>
          <w:tcPr>
            <w:tcW w:w="9600" w:type="dxa"/>
            <w:vAlign w:val="bottom"/>
            <w:tcBorders>
              <w:bottom w:val="single" w:sz="8" w:color="0000EE"/>
            </w:tcBorders>
            <w:gridSpan w:val="26"/>
          </w:tcPr>
          <w:p>
            <w:pPr>
              <w:spacing w:after="0"/>
              <w:rPr>
                <w:rFonts w:ascii="Arial" w:cs="Arial" w:eastAsia="Arial" w:hAnsi="Arial"/>
                <w:sz w:val="18"/>
                <w:szCs w:val="18"/>
                <w:color w:val="0000EE"/>
                <w:w w:val="89"/>
              </w:rPr>
            </w:pPr>
            <w:hyperlink r:id="rId192">
              <w:r>
                <w:rPr>
                  <w:rFonts w:ascii="Arial" w:cs="Arial" w:eastAsia="Arial" w:hAnsi="Arial"/>
                  <w:sz w:val="18"/>
                  <w:szCs w:val="18"/>
                  <w:color w:val="0000EE"/>
                  <w:w w:val="89"/>
                </w:rPr>
                <w:t>Registration Rights Agreement, dated December 10, 2020, by and among the Company and the other parties thereto (incorporated by</w:t>
              </w:r>
            </w:hyperlink>
          </w:p>
        </w:tc>
        <w:tc>
          <w:tcPr>
            <w:tcW w:w="16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65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reference to Exhibit 10.2 to the Current Report on Form 8-K filed on December 11, 2020).</w:t>
              </w:r>
            </w:hyperlink>
          </w:p>
        </w:tc>
        <w:tc>
          <w:tcPr>
            <w:tcW w:w="3240" w:type="dxa"/>
            <w:vAlign w:val="bottom"/>
            <w:gridSpan w:val="23"/>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10.35#</w:t>
            </w:r>
          </w:p>
        </w:tc>
        <w:tc>
          <w:tcPr>
            <w:tcW w:w="9760" w:type="dxa"/>
            <w:vAlign w:val="bottom"/>
            <w:gridSpan w:val="31"/>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First Amendment, dated as of January 27, 2021, to the Exclusive Patent License by and between the Company and the Curators of the</w:t>
              </w:r>
            </w:hyperlink>
          </w:p>
        </w:tc>
      </w:tr>
      <w:tr>
        <w:trPr>
          <w:trHeight w:val="196"/>
        </w:trPr>
        <w:tc>
          <w:tcPr>
            <w:tcW w:w="1480" w:type="dxa"/>
            <w:vAlign w:val="bottom"/>
          </w:tcPr>
          <w:p>
            <w:pPr>
              <w:spacing w:after="0"/>
              <w:rPr>
                <w:sz w:val="17"/>
                <w:szCs w:val="17"/>
                <w:color w:val="auto"/>
              </w:rPr>
            </w:pPr>
          </w:p>
        </w:tc>
        <w:tc>
          <w:tcPr>
            <w:tcW w:w="934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r:id="rId193">
              <w:r>
                <w:rPr>
                  <w:rFonts w:ascii="Arial" w:cs="Arial" w:eastAsia="Arial" w:hAnsi="Arial"/>
                  <w:sz w:val="18"/>
                  <w:szCs w:val="18"/>
                  <w:color w:val="0000EE"/>
                  <w:w w:val="92"/>
                </w:rPr>
                <w:t>University of Missouri (incorporated by reference to Exhibit 10.36 to the Annual Report on Form 10-K filed on March 14, 2021).</w:t>
              </w:r>
            </w:hyperlink>
          </w:p>
        </w:tc>
        <w:tc>
          <w:tcPr>
            <w:tcW w:w="300" w:type="dxa"/>
            <w:vAlign w:val="bottom"/>
            <w:tcBorders>
              <w:top w:val="single" w:sz="8" w:color="0000EE"/>
            </w:tcBorders>
            <w:gridSpan w:val="6"/>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Arial" w:cs="Arial" w:eastAsia="Arial" w:hAnsi="Arial"/>
                <w:sz w:val="18"/>
                <w:szCs w:val="18"/>
                <w:color w:val="auto"/>
              </w:rPr>
              <w:t>10.36</w:t>
            </w:r>
          </w:p>
        </w:tc>
        <w:tc>
          <w:tcPr>
            <w:tcW w:w="9760" w:type="dxa"/>
            <w:vAlign w:val="bottom"/>
            <w:gridSpan w:val="31"/>
          </w:tcPr>
          <w:p>
            <w:pPr>
              <w:spacing w:after="0"/>
              <w:rPr>
                <w:rFonts w:ascii="Arial" w:cs="Arial" w:eastAsia="Arial" w:hAnsi="Arial"/>
                <w:sz w:val="18"/>
                <w:szCs w:val="18"/>
                <w:color w:val="0000EE"/>
                <w:w w:val="94"/>
              </w:rPr>
            </w:pPr>
            <w:hyperlink r:id="rId194">
              <w:r>
                <w:rPr>
                  <w:rFonts w:ascii="Arial" w:cs="Arial" w:eastAsia="Arial" w:hAnsi="Arial"/>
                  <w:sz w:val="18"/>
                  <w:szCs w:val="18"/>
                  <w:color w:val="0000EE"/>
                  <w:w w:val="94"/>
                </w:rPr>
                <w:t>Lease, dated June 15, 2021, between Solid Biosciences Inc. and Hood Park LLC (incorporated by reference to Exhibit 10.1 to the</w:t>
              </w:r>
            </w:hyperlink>
          </w:p>
        </w:tc>
      </w:tr>
      <w:tr>
        <w:trPr>
          <w:trHeight w:val="196"/>
        </w:trPr>
        <w:tc>
          <w:tcPr>
            <w:tcW w:w="148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94">
              <w:r>
                <w:rPr>
                  <w:rFonts w:ascii="Arial" w:cs="Arial" w:eastAsia="Arial" w:hAnsi="Arial"/>
                  <w:sz w:val="18"/>
                  <w:szCs w:val="18"/>
                  <w:color w:val="0000EE"/>
                  <w:w w:val="92"/>
                </w:rPr>
                <w:t>Quarterly Report on Form 10-Q filed on August 16, 2021).</w:t>
              </w:r>
            </w:hyperlink>
          </w:p>
        </w:tc>
        <w:tc>
          <w:tcPr>
            <w:tcW w:w="5060" w:type="dxa"/>
            <w:vAlign w:val="bottom"/>
            <w:tcBorders>
              <w:top w:val="single" w:sz="8" w:color="0000EE"/>
            </w:tcBorders>
            <w:gridSpan w:val="19"/>
          </w:tcPr>
          <w:p>
            <w:pPr>
              <w:spacing w:after="0"/>
              <w:rPr>
                <w:sz w:val="17"/>
                <w:szCs w:val="17"/>
                <w:color w:val="auto"/>
              </w:rPr>
            </w:pPr>
          </w:p>
        </w:tc>
        <w:tc>
          <w:tcPr>
            <w:tcW w:w="440" w:type="dxa"/>
            <w:vAlign w:val="bottom"/>
            <w:gridSpan w:val="10"/>
          </w:tcPr>
          <w:p>
            <w:pPr>
              <w:spacing w:after="0"/>
              <w:rPr>
                <w:sz w:val="17"/>
                <w:szCs w:val="17"/>
                <w:color w:val="auto"/>
              </w:rPr>
            </w:pPr>
          </w:p>
        </w:tc>
      </w:tr>
      <w:tr>
        <w:trPr>
          <w:trHeight w:val="534"/>
        </w:trPr>
        <w:tc>
          <w:tcPr>
            <w:tcW w:w="1480" w:type="dxa"/>
            <w:vAlign w:val="bottom"/>
          </w:tcPr>
          <w:p>
            <w:pPr>
              <w:spacing w:after="0"/>
              <w:rPr>
                <w:sz w:val="24"/>
                <w:szCs w:val="24"/>
                <w:color w:val="auto"/>
              </w:rPr>
            </w:pPr>
          </w:p>
        </w:tc>
        <w:tc>
          <w:tcPr>
            <w:tcW w:w="4480" w:type="dxa"/>
            <w:vAlign w:val="bottom"/>
            <w:gridSpan w:val="3"/>
          </w:tcPr>
          <w:p>
            <w:pPr>
              <w:ind w:left="4000"/>
              <w:spacing w:after="0"/>
              <w:rPr>
                <w:sz w:val="20"/>
                <w:szCs w:val="20"/>
                <w:color w:val="auto"/>
              </w:rPr>
            </w:pPr>
            <w:r>
              <w:rPr>
                <w:rFonts w:ascii="Arial" w:cs="Arial" w:eastAsia="Arial" w:hAnsi="Arial"/>
                <w:sz w:val="18"/>
                <w:szCs w:val="18"/>
                <w:color w:val="auto"/>
              </w:rPr>
              <w:t>137</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2" w:name="page143"/>
    <w:bookmarkEnd w:id="142"/>
    <w:tbl>
      <w:tblPr>
        <w:tblLayout w:type="fixed"/>
        <w:tblInd w:w="14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10.37*</w:t>
            </w:r>
          </w:p>
        </w:tc>
        <w:tc>
          <w:tcPr>
            <w:tcW w:w="86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21">
              <w:r>
                <w:rPr>
                  <w:rFonts w:ascii="Arial" w:cs="Arial" w:eastAsia="Arial" w:hAnsi="Arial"/>
                  <w:sz w:val="18"/>
                  <w:szCs w:val="18"/>
                  <w:color w:val="0000EE"/>
                  <w:w w:val="90"/>
                </w:rPr>
                <w:t>Amendment No. 1 to Sublease, dated as of December 3, 2021, by and between Solid Biosciences, LLC and Twitter, Inc.</w:t>
              </w:r>
            </w:hyperlink>
          </w:p>
        </w:tc>
        <w:tc>
          <w:tcPr>
            <w:tcW w:w="1080" w:type="dxa"/>
            <w:vAlign w:val="bottom"/>
            <w:gridSpan w:val="6"/>
          </w:tcPr>
          <w:p>
            <w:pPr>
              <w:spacing w:after="0"/>
              <w:rPr>
                <w:sz w:val="17"/>
                <w:szCs w:val="17"/>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8"/>
                <w:szCs w:val="18"/>
                <w:color w:val="auto"/>
              </w:rPr>
              <w:t>10.38†</w:t>
            </w:r>
          </w:p>
        </w:tc>
        <w:tc>
          <w:tcPr>
            <w:tcW w:w="9740" w:type="dxa"/>
            <w:vAlign w:val="bottom"/>
            <w:gridSpan w:val="16"/>
          </w:tcPr>
          <w:p>
            <w:pPr>
              <w:spacing w:after="0"/>
              <w:rPr>
                <w:rFonts w:ascii="Arial" w:cs="Arial" w:eastAsia="Arial" w:hAnsi="Arial"/>
                <w:sz w:val="18"/>
                <w:szCs w:val="18"/>
                <w:color w:val="0000EE"/>
                <w:w w:val="97"/>
              </w:rPr>
            </w:pPr>
            <w:hyperlink r:id="rId197">
              <w:r>
                <w:rPr>
                  <w:rFonts w:ascii="Arial" w:cs="Arial" w:eastAsia="Arial" w:hAnsi="Arial"/>
                  <w:sz w:val="18"/>
                  <w:szCs w:val="18"/>
                  <w:color w:val="0000EE"/>
                  <w:w w:val="97"/>
                </w:rPr>
                <w:t>2021 Employee Stock Purchase Plan (incorporated by reference to Exhibit 10.1 to the Quarterly Report on Form 10-Q filed on</w:t>
              </w:r>
            </w:hyperlink>
          </w:p>
        </w:tc>
      </w:tr>
      <w:tr>
        <w:trPr>
          <w:trHeight w:val="196"/>
        </w:trPr>
        <w:tc>
          <w:tcPr>
            <w:tcW w:w="1340" w:type="dxa"/>
            <w:vAlign w:val="bottom"/>
          </w:tcPr>
          <w:p>
            <w:pPr>
              <w:spacing w:after="0"/>
              <w:rPr>
                <w:sz w:val="17"/>
                <w:szCs w:val="17"/>
                <w:color w:val="auto"/>
              </w:rPr>
            </w:pPr>
          </w:p>
        </w:tc>
        <w:tc>
          <w:tcPr>
            <w:tcW w:w="1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November 3, 2021).</w:t>
              </w:r>
            </w:hyperlink>
          </w:p>
        </w:tc>
        <w:tc>
          <w:tcPr>
            <w:tcW w:w="7660" w:type="dxa"/>
            <w:vAlign w:val="bottom"/>
            <w:tcBorders>
              <w:top w:val="single" w:sz="8" w:color="0000EE"/>
            </w:tcBorders>
            <w:gridSpan w:val="10"/>
          </w:tcPr>
          <w:p>
            <w:pPr>
              <w:spacing w:after="0"/>
              <w:rPr>
                <w:sz w:val="17"/>
                <w:szCs w:val="17"/>
                <w:color w:val="auto"/>
              </w:rPr>
            </w:pPr>
          </w:p>
        </w:tc>
        <w:tc>
          <w:tcPr>
            <w:tcW w:w="620" w:type="dxa"/>
            <w:vAlign w:val="bottom"/>
            <w:gridSpan w:val="5"/>
          </w:tcPr>
          <w:p>
            <w:pPr>
              <w:spacing w:after="0"/>
              <w:rPr>
                <w:sz w:val="17"/>
                <w:szCs w:val="17"/>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8"/>
                <w:szCs w:val="18"/>
                <w:color w:val="auto"/>
              </w:rPr>
              <w:t>10.39†</w:t>
            </w:r>
          </w:p>
        </w:tc>
        <w:tc>
          <w:tcPr>
            <w:tcW w:w="9340" w:type="dxa"/>
            <w:vAlign w:val="bottom"/>
            <w:tcBorders>
              <w:bottom w:val="single" w:sz="8" w:color="0000EE"/>
            </w:tcBorders>
            <w:gridSpan w:val="12"/>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Form of Nonstatutory Inducement Stock Option Agreement (incorporated by reference to Exhibit 10.4 to the Quarterly Report on</w:t>
              </w:r>
            </w:hyperlink>
          </w:p>
        </w:tc>
        <w:tc>
          <w:tcPr>
            <w:tcW w:w="400" w:type="dxa"/>
            <w:vAlign w:val="bottom"/>
            <w:gridSpan w:val="4"/>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7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98">
              <w:r>
                <w:rPr>
                  <w:rFonts w:ascii="Arial" w:cs="Arial" w:eastAsia="Arial" w:hAnsi="Arial"/>
                  <w:sz w:val="18"/>
                  <w:szCs w:val="18"/>
                  <w:color w:val="0000EE"/>
                  <w:w w:val="92"/>
                </w:rPr>
                <w:t>Form 10-Q filed on August 16, 2021).</w:t>
              </w:r>
            </w:hyperlink>
          </w:p>
        </w:tc>
        <w:tc>
          <w:tcPr>
            <w:tcW w:w="6980" w:type="dxa"/>
            <w:vAlign w:val="bottom"/>
            <w:gridSpan w:val="11"/>
          </w:tcPr>
          <w:p>
            <w:pPr>
              <w:spacing w:after="0"/>
              <w:rPr>
                <w:sz w:val="17"/>
                <w:szCs w:val="17"/>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8"/>
                <w:szCs w:val="18"/>
                <w:color w:val="auto"/>
              </w:rPr>
              <w:t>10.40</w:t>
            </w:r>
          </w:p>
        </w:tc>
        <w:tc>
          <w:tcPr>
            <w:tcW w:w="9460" w:type="dxa"/>
            <w:vAlign w:val="bottom"/>
            <w:tcBorders>
              <w:bottom w:val="single" w:sz="8" w:color="0000EE"/>
            </w:tcBorders>
            <w:gridSpan w:val="13"/>
          </w:tcPr>
          <w:p>
            <w:pPr>
              <w:spacing w:after="0"/>
              <w:rPr>
                <w:rFonts w:ascii="Arial" w:cs="Arial" w:eastAsia="Arial" w:hAnsi="Arial"/>
                <w:sz w:val="18"/>
                <w:szCs w:val="18"/>
                <w:color w:val="0000EE"/>
                <w:w w:val="89"/>
              </w:rPr>
            </w:pPr>
            <w:hyperlink r:id="rId199">
              <w:r>
                <w:rPr>
                  <w:rFonts w:ascii="Arial" w:cs="Arial" w:eastAsia="Arial" w:hAnsi="Arial"/>
                  <w:sz w:val="18"/>
                  <w:szCs w:val="18"/>
                  <w:color w:val="0000EE"/>
                  <w:w w:val="89"/>
                </w:rPr>
                <w:t>Sales Agreement, dated March 13, 2019, by and between the Company and Jefferies LLC, as amended by Amendment No. 1 to the</w:t>
              </w:r>
            </w:hyperlink>
          </w:p>
        </w:tc>
        <w:tc>
          <w:tcPr>
            <w:tcW w:w="280" w:type="dxa"/>
            <w:vAlign w:val="bottom"/>
            <w:gridSpan w:val="3"/>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6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Sales Agreement, dated August 16, 2021, by and between the Company and Jefferies LLC (incorporated by reference to Exhibit 10.2</w:t>
              </w:r>
            </w:hyperlink>
          </w:p>
        </w:tc>
        <w:tc>
          <w:tcPr>
            <w:tcW w:w="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to the Quarterly Report on Form 10-Q filed on November 3, 2021)</w:t>
              </w:r>
              <w:r>
                <w:rPr>
                  <w:rFonts w:ascii="Arial" w:cs="Arial" w:eastAsia="Arial" w:hAnsi="Arial"/>
                  <w:sz w:val="18"/>
                  <w:szCs w:val="18"/>
                  <w:color w:val="000000"/>
                </w:rPr>
                <w:t>.</w:t>
              </w:r>
            </w:hyperlink>
          </w:p>
        </w:tc>
      </w:tr>
      <w:tr>
        <w:trPr>
          <w:trHeight w:val="277"/>
        </w:trPr>
        <w:tc>
          <w:tcPr>
            <w:tcW w:w="1340" w:type="dxa"/>
            <w:vAlign w:val="bottom"/>
          </w:tcPr>
          <w:p>
            <w:pPr>
              <w:spacing w:after="0"/>
              <w:rPr>
                <w:sz w:val="20"/>
                <w:szCs w:val="20"/>
                <w:color w:val="auto"/>
              </w:rPr>
            </w:pPr>
            <w:r>
              <w:rPr>
                <w:rFonts w:ascii="Arial" w:cs="Arial" w:eastAsia="Arial" w:hAnsi="Arial"/>
                <w:sz w:val="18"/>
                <w:szCs w:val="18"/>
                <w:color w:val="auto"/>
              </w:rPr>
              <w:t>21.1*</w:t>
            </w:r>
          </w:p>
        </w:tc>
        <w:tc>
          <w:tcPr>
            <w:tcW w:w="27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224">
              <w:r>
                <w:rPr>
                  <w:rFonts w:ascii="Arial" w:cs="Arial" w:eastAsia="Arial" w:hAnsi="Arial"/>
                  <w:sz w:val="18"/>
                  <w:szCs w:val="18"/>
                  <w:color w:val="0000EE"/>
                  <w:w w:val="91"/>
                </w:rPr>
                <w:t>Subsidiaries of Solid Biosciences Inc.</w:t>
              </w:r>
            </w:hyperlink>
          </w:p>
        </w:tc>
        <w:tc>
          <w:tcPr>
            <w:tcW w:w="2060" w:type="dxa"/>
            <w:vAlign w:val="bottom"/>
            <w:tcBorders>
              <w:top w:val="single" w:sz="8" w:color="0000EE"/>
            </w:tcBorders>
            <w:gridSpan w:val="2"/>
          </w:tcPr>
          <w:p>
            <w:pPr>
              <w:spacing w:after="0"/>
              <w:rPr>
                <w:sz w:val="24"/>
                <w:szCs w:val="24"/>
                <w:color w:val="auto"/>
              </w:rPr>
            </w:pPr>
          </w:p>
        </w:tc>
        <w:tc>
          <w:tcPr>
            <w:tcW w:w="4940" w:type="dxa"/>
            <w:vAlign w:val="bottom"/>
            <w:gridSpan w:val="10"/>
          </w:tcPr>
          <w:p>
            <w:pPr>
              <w:spacing w:after="0"/>
              <w:rPr>
                <w:sz w:val="24"/>
                <w:szCs w:val="24"/>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8"/>
                <w:szCs w:val="18"/>
                <w:color w:val="auto"/>
              </w:rPr>
              <w:t>23.1*</w:t>
            </w:r>
          </w:p>
        </w:tc>
        <w:tc>
          <w:tcPr>
            <w:tcW w:w="66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25">
              <w:r>
                <w:rPr>
                  <w:rFonts w:ascii="Arial" w:cs="Arial" w:eastAsia="Arial" w:hAnsi="Arial"/>
                  <w:sz w:val="18"/>
                  <w:szCs w:val="18"/>
                  <w:color w:val="0000EE"/>
                  <w:w w:val="90"/>
                </w:rPr>
                <w:t>Consent of PricewaterhouseCoopers LLP, Independent Registered Public Accounting Firm.</w:t>
              </w:r>
            </w:hyperlink>
          </w:p>
        </w:tc>
        <w:tc>
          <w:tcPr>
            <w:tcW w:w="3140" w:type="dxa"/>
            <w:vAlign w:val="bottom"/>
            <w:gridSpan w:val="9"/>
          </w:tcPr>
          <w:p>
            <w:pPr>
              <w:spacing w:after="0"/>
              <w:rPr>
                <w:sz w:val="24"/>
                <w:szCs w:val="24"/>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740" w:type="dxa"/>
            <w:vAlign w:val="bottom"/>
            <w:gridSpan w:val="16"/>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Certification of Chief Executive Officer of the Registrant Pursuant to Section 302 of the Sarbanes-Oxley Act of 2002.</w:t>
              </w:r>
            </w:hyperlink>
          </w:p>
        </w:tc>
      </w:tr>
      <w:tr>
        <w:trPr>
          <w:trHeight w:val="277"/>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84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27">
              <w:r>
                <w:rPr>
                  <w:rFonts w:ascii="Arial" w:cs="Arial" w:eastAsia="Arial" w:hAnsi="Arial"/>
                  <w:sz w:val="18"/>
                  <w:szCs w:val="18"/>
                  <w:color w:val="0000EE"/>
                  <w:w w:val="91"/>
                </w:rPr>
                <w:t>Certification of Chief Financial Officer of the Registrant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1260" w:type="dxa"/>
            <w:vAlign w:val="bottom"/>
            <w:gridSpan w:val="7"/>
          </w:tcPr>
          <w:p>
            <w:pPr>
              <w:spacing w:after="0"/>
              <w:rPr>
                <w:sz w:val="24"/>
                <w:szCs w:val="24"/>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740" w:type="dxa"/>
            <w:vAlign w:val="bottom"/>
            <w:gridSpan w:val="16"/>
          </w:tcPr>
          <w:p>
            <w:pPr>
              <w:spacing w:after="0"/>
              <w:rPr>
                <w:rFonts w:ascii="Arial" w:cs="Arial" w:eastAsia="Arial" w:hAnsi="Arial"/>
                <w:sz w:val="18"/>
                <w:szCs w:val="18"/>
                <w:color w:val="0000EE"/>
                <w:w w:val="93"/>
              </w:rPr>
            </w:pPr>
            <w:hyperlink w:anchor="page228">
              <w:r>
                <w:rPr>
                  <w:rFonts w:ascii="Arial" w:cs="Arial" w:eastAsia="Arial" w:hAnsi="Arial"/>
                  <w:sz w:val="18"/>
                  <w:szCs w:val="18"/>
                  <w:color w:val="0000EE"/>
                  <w:w w:val="93"/>
                </w:rPr>
                <w:t>Certification of Chief Executive Officer of the Registrant Pursuant to 18 U.S.C. Section 1350, as adopted pursuant to Section 906 of</w:t>
              </w:r>
            </w:hyperlink>
          </w:p>
        </w:tc>
      </w:tr>
      <w:tr>
        <w:trPr>
          <w:trHeight w:val="196"/>
        </w:trPr>
        <w:tc>
          <w:tcPr>
            <w:tcW w:w="13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228">
              <w:r>
                <w:rPr>
                  <w:rFonts w:ascii="Arial" w:cs="Arial" w:eastAsia="Arial" w:hAnsi="Arial"/>
                  <w:sz w:val="18"/>
                  <w:szCs w:val="18"/>
                  <w:color w:val="0000EE"/>
                  <w:w w:val="90"/>
                </w:rPr>
                <w:t>the Sarbanes-Oxley Act of 2002.</w:t>
              </w:r>
            </w:hyperlink>
          </w:p>
        </w:tc>
        <w:tc>
          <w:tcPr>
            <w:tcW w:w="7140" w:type="dxa"/>
            <w:vAlign w:val="bottom"/>
            <w:tcBorders>
              <w:top w:val="single" w:sz="8" w:color="0000EE"/>
            </w:tcBorders>
            <w:gridSpan w:val="11"/>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8"/>
                <w:szCs w:val="18"/>
                <w:color w:val="auto"/>
              </w:rPr>
              <w:t>32.2**</w:t>
            </w:r>
          </w:p>
        </w:tc>
        <w:tc>
          <w:tcPr>
            <w:tcW w:w="97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29">
              <w:r>
                <w:rPr>
                  <w:rFonts w:ascii="Arial" w:cs="Arial" w:eastAsia="Arial" w:hAnsi="Arial"/>
                  <w:sz w:val="18"/>
                  <w:szCs w:val="18"/>
                  <w:color w:val="0000EE"/>
                  <w:w w:val="90"/>
                </w:rPr>
                <w:t>Certification of Chief Financial Officer of the Registrant Pursuant to 18 U.S.C. Section 1350, as adopted pursuant to Section 906 of the</w:t>
              </w:r>
            </w:hyperlink>
          </w:p>
        </w:tc>
      </w:tr>
      <w:tr>
        <w:trPr>
          <w:trHeight w:val="196"/>
        </w:trPr>
        <w:tc>
          <w:tcPr>
            <w:tcW w:w="1340" w:type="dxa"/>
            <w:vAlign w:val="bottom"/>
          </w:tcPr>
          <w:p>
            <w:pPr>
              <w:spacing w:after="0"/>
              <w:rPr>
                <w:sz w:val="17"/>
                <w:szCs w:val="17"/>
                <w:color w:val="auto"/>
              </w:rPr>
            </w:pPr>
          </w:p>
        </w:tc>
        <w:tc>
          <w:tcPr>
            <w:tcW w:w="9740" w:type="dxa"/>
            <w:vAlign w:val="bottom"/>
            <w:gridSpan w:val="16"/>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Sarbanes-Oxley Act of 2002.</w:t>
              </w:r>
            </w:hyperlink>
          </w:p>
        </w:tc>
      </w:tr>
      <w:tr>
        <w:trPr>
          <w:trHeight w:val="20"/>
        </w:trPr>
        <w:tc>
          <w:tcPr>
            <w:tcW w:w="13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7640" w:type="dxa"/>
            <w:vAlign w:val="bottom"/>
            <w:gridSpan w:val="14"/>
          </w:tcPr>
          <w:p>
            <w:pPr>
              <w:spacing w:after="0" w:line="20" w:lineRule="exact"/>
              <w:rPr>
                <w:sz w:val="1"/>
                <w:szCs w:val="1"/>
                <w:color w:val="auto"/>
              </w:rPr>
            </w:pPr>
          </w:p>
        </w:tc>
      </w:tr>
      <w:tr>
        <w:trPr>
          <w:trHeight w:val="318"/>
        </w:trPr>
        <w:tc>
          <w:tcPr>
            <w:tcW w:w="1340" w:type="dxa"/>
            <w:vAlign w:val="bottom"/>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r>
      <w:tr>
        <w:trPr>
          <w:trHeight w:val="297"/>
        </w:trPr>
        <w:tc>
          <w:tcPr>
            <w:tcW w:w="1340" w:type="dxa"/>
            <w:vAlign w:val="bottom"/>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97"/>
        </w:trPr>
        <w:tc>
          <w:tcPr>
            <w:tcW w:w="1340" w:type="dxa"/>
            <w:vAlign w:val="bottom"/>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97"/>
        </w:trPr>
        <w:tc>
          <w:tcPr>
            <w:tcW w:w="1340" w:type="dxa"/>
            <w:vAlign w:val="bottom"/>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97"/>
        </w:trPr>
        <w:tc>
          <w:tcPr>
            <w:tcW w:w="1340" w:type="dxa"/>
            <w:vAlign w:val="bottom"/>
          </w:tcPr>
          <w:p>
            <w:pPr>
              <w:spacing w:after="0"/>
              <w:rPr>
                <w:sz w:val="20"/>
                <w:szCs w:val="20"/>
                <w:color w:val="auto"/>
              </w:rPr>
            </w:pPr>
            <w:r>
              <w:rPr>
                <w:rFonts w:ascii="Arial" w:cs="Arial" w:eastAsia="Arial" w:hAnsi="Arial"/>
                <w:sz w:val="18"/>
                <w:szCs w:val="18"/>
                <w:color w:val="auto"/>
              </w:rPr>
              <w:t>1010.LAB</w:t>
            </w:r>
          </w:p>
        </w:tc>
        <w:tc>
          <w:tcPr>
            <w:tcW w:w="974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97"/>
        </w:trPr>
        <w:tc>
          <w:tcPr>
            <w:tcW w:w="1340" w:type="dxa"/>
            <w:vAlign w:val="bottom"/>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67" w:lineRule="exact"/>
        <w:rPr>
          <w:sz w:val="20"/>
          <w:szCs w:val="20"/>
          <w:color w:val="auto"/>
        </w:rPr>
      </w:pPr>
    </w:p>
    <w:p>
      <w:pPr>
        <w:ind w:left="1480" w:hanging="1342"/>
        <w:spacing w:after="0"/>
        <w:tabs>
          <w:tab w:leader="none" w:pos="14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8"/>
          <w:szCs w:val="18"/>
          <w:color w:val="auto"/>
        </w:rPr>
      </w:pPr>
    </w:p>
    <w:p>
      <w:pPr>
        <w:ind w:left="540" w:hanging="532"/>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5054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ind w:left="540" w:hanging="532"/>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540" w:hanging="532"/>
        <w:spacing w:after="0" w:line="260"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they are not material and contain information that the Registrant customarily and actually treats as private or confidential.</w:t>
      </w:r>
    </w:p>
    <w:p>
      <w:pPr>
        <w:spacing w:after="0" w:line="28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7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SOLID BIOSCIENCES INC.</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March 14, 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-975360</wp:posOffset>
            </wp:positionH>
            <wp:positionV relativeFrom="paragraph">
              <wp:posOffset>29210</wp:posOffset>
            </wp:positionV>
            <wp:extent cx="25628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3">
            <w:col w:w="5980" w:space="720"/>
            <w:col w:w="1320" w:space="720"/>
            <w:col w:w="2500"/>
          </w:cols>
          <w:pgMar w:left="320" w:top="337" w:right="339" w:bottom="1440" w:gutter="0" w:footer="0" w:header="0"/>
          <w:type w:val="continuous"/>
        </w:sectPr>
      </w:pPr>
    </w:p>
    <w:p>
      <w:pPr>
        <w:jc w:val="center"/>
        <w:ind w:left="7180"/>
        <w:spacing w:after="0"/>
        <w:rPr>
          <w:sz w:val="20"/>
          <w:szCs w:val="20"/>
          <w:color w:val="auto"/>
        </w:rPr>
      </w:pPr>
      <w:r>
        <w:rPr>
          <w:rFonts w:ascii="Arial" w:cs="Arial" w:eastAsia="Arial" w:hAnsi="Arial"/>
          <w:sz w:val="18"/>
          <w:szCs w:val="18"/>
          <w:b w:val="1"/>
          <w:bCs w:val="1"/>
          <w:color w:val="auto"/>
        </w:rPr>
        <w:t>Ilan Ganot</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9"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Ilan Ganot</w:t>
            </w:r>
          </w:p>
        </w:tc>
        <w:tc>
          <w:tcPr>
            <w:tcW w:w="462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3100" w:type="dxa"/>
            <w:vAlign w:val="bottom"/>
          </w:tcPr>
          <w:p>
            <w:pPr>
              <w:ind w:left="1040"/>
              <w:spacing w:after="0"/>
              <w:rPr>
                <w:sz w:val="20"/>
                <w:szCs w:val="20"/>
                <w:color w:val="auto"/>
              </w:rPr>
            </w:pPr>
            <w:r>
              <w:rPr>
                <w:rFonts w:ascii="Arial" w:cs="Arial" w:eastAsia="Arial" w:hAnsi="Arial"/>
                <w:sz w:val="18"/>
                <w:szCs w:val="18"/>
                <w:color w:val="auto"/>
              </w:rPr>
              <w:t>March 14, 2022</w:t>
            </w: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Ilan Ganot</w:t>
            </w:r>
          </w:p>
        </w:tc>
        <w:tc>
          <w:tcPr>
            <w:tcW w:w="462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3100" w:type="dxa"/>
            <w:vAlign w:val="bottom"/>
          </w:tcPr>
          <w:p>
            <w:pPr>
              <w:spacing w:after="0"/>
              <w:rPr>
                <w:sz w:val="21"/>
                <w:szCs w:val="21"/>
                <w:color w:val="auto"/>
              </w:rPr>
            </w:pPr>
          </w:p>
        </w:tc>
      </w:tr>
      <w:tr>
        <w:trPr>
          <w:trHeight w:val="351"/>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DiPalma</w:t>
            </w:r>
          </w:p>
        </w:tc>
        <w:tc>
          <w:tcPr>
            <w:tcW w:w="4620" w:type="dxa"/>
            <w:vAlign w:val="bottom"/>
          </w:tcPr>
          <w:p>
            <w:pPr>
              <w:ind w:left="120"/>
              <w:spacing w:after="0"/>
              <w:rPr>
                <w:sz w:val="20"/>
                <w:szCs w:val="20"/>
                <w:color w:val="auto"/>
              </w:rPr>
            </w:pPr>
            <w:r>
              <w:rPr>
                <w:rFonts w:ascii="Arial" w:cs="Arial" w:eastAsia="Arial" w:hAnsi="Arial"/>
                <w:sz w:val="18"/>
                <w:szCs w:val="18"/>
                <w:color w:val="auto"/>
              </w:rPr>
              <w:t>Interim Chief Financial Officer</w:t>
            </w:r>
          </w:p>
        </w:tc>
        <w:tc>
          <w:tcPr>
            <w:tcW w:w="3100" w:type="dxa"/>
            <w:vAlign w:val="bottom"/>
          </w:tcPr>
          <w:p>
            <w:pPr>
              <w:ind w:left="1040"/>
              <w:spacing w:after="0"/>
              <w:rPr>
                <w:sz w:val="20"/>
                <w:szCs w:val="20"/>
                <w:color w:val="auto"/>
              </w:rPr>
            </w:pPr>
            <w:r>
              <w:rPr>
                <w:rFonts w:ascii="Arial" w:cs="Arial" w:eastAsia="Arial" w:hAnsi="Arial"/>
                <w:sz w:val="18"/>
                <w:szCs w:val="18"/>
                <w:color w:val="auto"/>
              </w:rPr>
              <w:t>March 14, 2022</w:t>
            </w: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Stephen DiPalma</w:t>
            </w:r>
          </w:p>
        </w:tc>
        <w:tc>
          <w:tcPr>
            <w:tcW w:w="462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3100" w:type="dxa"/>
            <w:vAlign w:val="bottom"/>
          </w:tcPr>
          <w:p>
            <w:pPr>
              <w:spacing w:after="0"/>
              <w:rPr>
                <w:sz w:val="21"/>
                <w:szCs w:val="21"/>
                <w:color w:val="auto"/>
              </w:rPr>
            </w:pPr>
          </w:p>
        </w:tc>
      </w:tr>
      <w:tr>
        <w:trPr>
          <w:trHeight w:val="581"/>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F. Smith</w:t>
            </w:r>
          </w:p>
        </w:tc>
        <w:tc>
          <w:tcPr>
            <w:tcW w:w="4620" w:type="dxa"/>
            <w:vAlign w:val="bottom"/>
          </w:tcPr>
          <w:p>
            <w:pPr>
              <w:ind w:left="120"/>
              <w:spacing w:after="0"/>
              <w:rPr>
                <w:sz w:val="20"/>
                <w:szCs w:val="20"/>
                <w:color w:val="auto"/>
              </w:rPr>
            </w:pPr>
            <w:r>
              <w:rPr>
                <w:rFonts w:ascii="Arial" w:cs="Arial" w:eastAsia="Arial" w:hAnsi="Arial"/>
                <w:sz w:val="18"/>
                <w:szCs w:val="18"/>
                <w:color w:val="auto"/>
              </w:rPr>
              <w:t>Chairman of the Board</w:t>
            </w:r>
          </w:p>
        </w:tc>
        <w:tc>
          <w:tcPr>
            <w:tcW w:w="3100" w:type="dxa"/>
            <w:vAlign w:val="bottom"/>
          </w:tcPr>
          <w:p>
            <w:pPr>
              <w:ind w:left="1040"/>
              <w:spacing w:after="0"/>
              <w:rPr>
                <w:sz w:val="20"/>
                <w:szCs w:val="20"/>
                <w:color w:val="auto"/>
              </w:rPr>
            </w:pPr>
            <w:r>
              <w:rPr>
                <w:rFonts w:ascii="Arial" w:cs="Arial" w:eastAsia="Arial" w:hAnsi="Arial"/>
                <w:sz w:val="18"/>
                <w:szCs w:val="18"/>
                <w:color w:val="auto"/>
              </w:rPr>
              <w:t>March 14, 2022</w:t>
            </w: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Ian F. Smith</w:t>
            </w:r>
          </w:p>
        </w:tc>
        <w:tc>
          <w:tcPr>
            <w:tcW w:w="462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580"/>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Freed</w:t>
            </w:r>
          </w:p>
        </w:tc>
        <w:tc>
          <w:tcPr>
            <w:tcW w:w="46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040"/>
              <w:spacing w:after="0"/>
              <w:rPr>
                <w:sz w:val="20"/>
                <w:szCs w:val="20"/>
                <w:color w:val="auto"/>
              </w:rPr>
            </w:pPr>
            <w:r>
              <w:rPr>
                <w:rFonts w:ascii="Arial" w:cs="Arial" w:eastAsia="Arial" w:hAnsi="Arial"/>
                <w:sz w:val="18"/>
                <w:szCs w:val="18"/>
                <w:color w:val="auto"/>
              </w:rPr>
              <w:t>March 14, 2022</w:t>
            </w: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Martin Freed</w:t>
            </w:r>
          </w:p>
        </w:tc>
        <w:tc>
          <w:tcPr>
            <w:tcW w:w="462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338"/>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Huffines</w:t>
            </w:r>
          </w:p>
        </w:tc>
        <w:tc>
          <w:tcPr>
            <w:tcW w:w="46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040"/>
              <w:spacing w:after="0"/>
              <w:rPr>
                <w:sz w:val="20"/>
                <w:szCs w:val="20"/>
                <w:color w:val="auto"/>
              </w:rPr>
            </w:pPr>
            <w:r>
              <w:rPr>
                <w:rFonts w:ascii="Arial" w:cs="Arial" w:eastAsia="Arial" w:hAnsi="Arial"/>
                <w:sz w:val="18"/>
                <w:szCs w:val="18"/>
                <w:color w:val="auto"/>
              </w:rPr>
              <w:t>March 14, 2022</w:t>
            </w: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Robert Huffines</w:t>
            </w:r>
          </w:p>
        </w:tc>
        <w:tc>
          <w:tcPr>
            <w:tcW w:w="462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580"/>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Clare Kahn</w:t>
            </w:r>
          </w:p>
        </w:tc>
        <w:tc>
          <w:tcPr>
            <w:tcW w:w="46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040"/>
              <w:spacing w:after="0"/>
              <w:rPr>
                <w:sz w:val="20"/>
                <w:szCs w:val="20"/>
                <w:color w:val="auto"/>
              </w:rPr>
            </w:pPr>
            <w:r>
              <w:rPr>
                <w:rFonts w:ascii="Arial" w:cs="Arial" w:eastAsia="Arial" w:hAnsi="Arial"/>
                <w:sz w:val="18"/>
                <w:szCs w:val="18"/>
                <w:color w:val="auto"/>
              </w:rPr>
              <w:t>March 14, 2022</w:t>
            </w:r>
          </w:p>
        </w:tc>
      </w:tr>
      <w:tr>
        <w:trPr>
          <w:trHeight w:val="195"/>
        </w:trPr>
        <w:tc>
          <w:tcPr>
            <w:tcW w:w="3520" w:type="dxa"/>
            <w:vAlign w:val="bottom"/>
          </w:tcPr>
          <w:p>
            <w:pPr>
              <w:spacing w:after="0" w:line="195" w:lineRule="exact"/>
              <w:rPr>
                <w:sz w:val="20"/>
                <w:szCs w:val="20"/>
                <w:color w:val="auto"/>
              </w:rPr>
            </w:pPr>
            <w:r>
              <w:rPr>
                <w:rFonts w:ascii="Arial" w:cs="Arial" w:eastAsia="Arial" w:hAnsi="Arial"/>
                <w:sz w:val="18"/>
                <w:szCs w:val="18"/>
                <w:color w:val="auto"/>
              </w:rPr>
              <w:t>Clare Kahn</w:t>
            </w:r>
          </w:p>
        </w:tc>
        <w:tc>
          <w:tcPr>
            <w:tcW w:w="462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30"/>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Georgia Keresty</w:t>
            </w:r>
          </w:p>
        </w:tc>
        <w:tc>
          <w:tcPr>
            <w:tcW w:w="46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040"/>
              <w:spacing w:after="0"/>
              <w:rPr>
                <w:sz w:val="20"/>
                <w:szCs w:val="20"/>
                <w:color w:val="auto"/>
              </w:rPr>
            </w:pPr>
            <w:r>
              <w:rPr>
                <w:rFonts w:ascii="Arial" w:cs="Arial" w:eastAsia="Arial" w:hAnsi="Arial"/>
                <w:sz w:val="18"/>
                <w:szCs w:val="18"/>
                <w:color w:val="auto"/>
              </w:rPr>
              <w:t>March 14, 2022</w:t>
            </w:r>
          </w:p>
        </w:tc>
      </w:tr>
      <w:tr>
        <w:trPr>
          <w:trHeight w:val="195"/>
        </w:trPr>
        <w:tc>
          <w:tcPr>
            <w:tcW w:w="3520" w:type="dxa"/>
            <w:vAlign w:val="bottom"/>
          </w:tcPr>
          <w:p>
            <w:pPr>
              <w:spacing w:after="0" w:line="195" w:lineRule="exact"/>
              <w:rPr>
                <w:sz w:val="20"/>
                <w:szCs w:val="20"/>
                <w:color w:val="auto"/>
              </w:rPr>
            </w:pPr>
            <w:r>
              <w:rPr>
                <w:rFonts w:ascii="Arial" w:cs="Arial" w:eastAsia="Arial" w:hAnsi="Arial"/>
                <w:sz w:val="18"/>
                <w:szCs w:val="18"/>
                <w:color w:val="auto"/>
              </w:rPr>
              <w:t>Georgia Keresty</w:t>
            </w:r>
          </w:p>
        </w:tc>
        <w:tc>
          <w:tcPr>
            <w:tcW w:w="462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230"/>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Koppel</w:t>
            </w:r>
          </w:p>
        </w:tc>
        <w:tc>
          <w:tcPr>
            <w:tcW w:w="46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040"/>
              <w:spacing w:after="0"/>
              <w:rPr>
                <w:sz w:val="20"/>
                <w:szCs w:val="20"/>
                <w:color w:val="auto"/>
              </w:rPr>
            </w:pPr>
            <w:r>
              <w:rPr>
                <w:rFonts w:ascii="Arial" w:cs="Arial" w:eastAsia="Arial" w:hAnsi="Arial"/>
                <w:sz w:val="18"/>
                <w:szCs w:val="18"/>
                <w:color w:val="auto"/>
              </w:rPr>
              <w:t>March 14, 2022</w:t>
            </w:r>
          </w:p>
        </w:tc>
      </w:tr>
      <w:tr>
        <w:trPr>
          <w:trHeight w:val="249"/>
        </w:trPr>
        <w:tc>
          <w:tcPr>
            <w:tcW w:w="3520" w:type="dxa"/>
            <w:vAlign w:val="bottom"/>
          </w:tcPr>
          <w:p>
            <w:pPr>
              <w:spacing w:after="0"/>
              <w:rPr>
                <w:sz w:val="20"/>
                <w:szCs w:val="20"/>
                <w:color w:val="auto"/>
              </w:rPr>
            </w:pPr>
            <w:r>
              <w:rPr>
                <w:rFonts w:ascii="Arial" w:cs="Arial" w:eastAsia="Arial" w:hAnsi="Arial"/>
                <w:sz w:val="18"/>
                <w:szCs w:val="18"/>
                <w:color w:val="auto"/>
              </w:rPr>
              <w:t>Adam Koppel</w:t>
            </w:r>
          </w:p>
        </w:tc>
        <w:tc>
          <w:tcPr>
            <w:tcW w:w="462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30"/>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Sukumar Nagendran</w:t>
            </w:r>
          </w:p>
        </w:tc>
        <w:tc>
          <w:tcPr>
            <w:tcW w:w="46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040"/>
              <w:spacing w:after="0"/>
              <w:rPr>
                <w:sz w:val="20"/>
                <w:szCs w:val="20"/>
                <w:color w:val="auto"/>
              </w:rPr>
            </w:pPr>
            <w:r>
              <w:rPr>
                <w:rFonts w:ascii="Arial" w:cs="Arial" w:eastAsia="Arial" w:hAnsi="Arial"/>
                <w:sz w:val="18"/>
                <w:szCs w:val="18"/>
                <w:color w:val="auto"/>
              </w:rPr>
              <w:t>March 14, 2022</w:t>
            </w: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Sukumar Nagendran</w:t>
            </w:r>
          </w:p>
        </w:tc>
        <w:tc>
          <w:tcPr>
            <w:tcW w:w="462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337"/>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Rajeev Shah</w:t>
            </w:r>
          </w:p>
        </w:tc>
        <w:tc>
          <w:tcPr>
            <w:tcW w:w="46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040"/>
              <w:spacing w:after="0"/>
              <w:rPr>
                <w:sz w:val="20"/>
                <w:szCs w:val="20"/>
                <w:color w:val="auto"/>
              </w:rPr>
            </w:pPr>
            <w:r>
              <w:rPr>
                <w:rFonts w:ascii="Arial" w:cs="Arial" w:eastAsia="Arial" w:hAnsi="Arial"/>
                <w:sz w:val="18"/>
                <w:szCs w:val="18"/>
                <w:color w:val="auto"/>
              </w:rPr>
              <w:t>March 14, 2022</w:t>
            </w: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Rajeev Shah</w:t>
            </w:r>
          </w:p>
        </w:tc>
        <w:tc>
          <w:tcPr>
            <w:tcW w:w="462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580"/>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Stone</w:t>
            </w:r>
          </w:p>
        </w:tc>
        <w:tc>
          <w:tcPr>
            <w:tcW w:w="46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040"/>
              <w:spacing w:after="0"/>
              <w:rPr>
                <w:sz w:val="20"/>
                <w:szCs w:val="20"/>
                <w:color w:val="auto"/>
              </w:rPr>
            </w:pPr>
            <w:r>
              <w:rPr>
                <w:rFonts w:ascii="Arial" w:cs="Arial" w:eastAsia="Arial" w:hAnsi="Arial"/>
                <w:sz w:val="18"/>
                <w:szCs w:val="18"/>
                <w:color w:val="auto"/>
              </w:rPr>
              <w:t>March 14, 2022</w:t>
            </w: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Adam Stone</w:t>
            </w:r>
          </w:p>
        </w:tc>
        <w:tc>
          <w:tcPr>
            <w:tcW w:w="462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580"/>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Lynne Sullivan</w:t>
            </w:r>
          </w:p>
        </w:tc>
        <w:tc>
          <w:tcPr>
            <w:tcW w:w="46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040"/>
              <w:spacing w:after="0"/>
              <w:rPr>
                <w:sz w:val="20"/>
                <w:szCs w:val="20"/>
                <w:color w:val="auto"/>
              </w:rPr>
            </w:pPr>
            <w:r>
              <w:rPr>
                <w:rFonts w:ascii="Arial" w:cs="Arial" w:eastAsia="Arial" w:hAnsi="Arial"/>
                <w:sz w:val="18"/>
                <w:szCs w:val="18"/>
                <w:color w:val="auto"/>
              </w:rPr>
              <w:t>March 14, 2022</w:t>
            </w:r>
          </w:p>
        </w:tc>
      </w:tr>
      <w:tr>
        <w:trPr>
          <w:trHeight w:val="250"/>
        </w:trPr>
        <w:tc>
          <w:tcPr>
            <w:tcW w:w="3520" w:type="dxa"/>
            <w:vAlign w:val="bottom"/>
          </w:tcPr>
          <w:p>
            <w:pPr>
              <w:spacing w:after="0"/>
              <w:rPr>
                <w:sz w:val="20"/>
                <w:szCs w:val="20"/>
                <w:color w:val="auto"/>
              </w:rPr>
            </w:pPr>
            <w:r>
              <w:rPr>
                <w:rFonts w:ascii="Arial" w:cs="Arial" w:eastAsia="Arial" w:hAnsi="Arial"/>
                <w:sz w:val="18"/>
                <w:szCs w:val="18"/>
                <w:color w:val="auto"/>
              </w:rPr>
              <w:t>Lynne Sullivan</w:t>
            </w:r>
          </w:p>
        </w:tc>
        <w:tc>
          <w:tcPr>
            <w:tcW w:w="462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904"/>
        </w:trPr>
        <w:tc>
          <w:tcPr>
            <w:tcW w:w="3520" w:type="dxa"/>
            <w:vAlign w:val="bottom"/>
          </w:tcPr>
          <w:p>
            <w:pPr>
              <w:spacing w:after="0"/>
              <w:rPr>
                <w:sz w:val="24"/>
                <w:szCs w:val="24"/>
                <w:color w:val="auto"/>
              </w:rPr>
            </w:pPr>
          </w:p>
        </w:tc>
        <w:tc>
          <w:tcPr>
            <w:tcW w:w="4620" w:type="dxa"/>
            <w:vAlign w:val="bottom"/>
          </w:tcPr>
          <w:p>
            <w:pPr>
              <w:ind w:left="1960"/>
              <w:spacing w:after="0"/>
              <w:rPr>
                <w:sz w:val="20"/>
                <w:szCs w:val="20"/>
                <w:color w:val="auto"/>
              </w:rPr>
            </w:pPr>
            <w:r>
              <w:rPr>
                <w:rFonts w:ascii="Arial" w:cs="Arial" w:eastAsia="Arial" w:hAnsi="Arial"/>
                <w:sz w:val="18"/>
                <w:szCs w:val="18"/>
                <w:color w:val="auto"/>
              </w:rPr>
              <w:t>139</w:t>
            </w:r>
          </w:p>
        </w:tc>
        <w:tc>
          <w:tcPr>
            <w:tcW w:w="3100" w:type="dxa"/>
            <w:vAlign w:val="bottom"/>
          </w:tcPr>
          <w:p>
            <w:pPr>
              <w:spacing w:after="0"/>
              <w:rPr>
                <w:sz w:val="24"/>
                <w:szCs w:val="24"/>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44" w:name="page145"/>
    <w:bookmarkEnd w:id="144"/>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Solid Biosciences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9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have audited the accompanying consolidated balance sheets of Solid Biosciences Inc. and its subsidiaries (the “Company”) as of December 31, 2021 and 2020, and the related consolidated statements of operations, of comprehensive loss, of stockholders’ equity and of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SOLID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9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Current assets: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119,136</w:t>
            </w: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154,744</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Available-for-sale securities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88,643</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14,723</w:t>
            </w: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4,157</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Accounts receivable - related party</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2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4"/>
                <w:szCs w:val="14"/>
                <w:color w:val="auto"/>
              </w:rPr>
            </w:pPr>
          </w:p>
        </w:tc>
      </w:tr>
      <w:tr>
        <w:trPr>
          <w:trHeight w:val="156"/>
        </w:trPr>
        <w:tc>
          <w:tcPr>
            <w:tcW w:w="77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current assets</w:t>
            </w:r>
          </w:p>
        </w:tc>
        <w:tc>
          <w:tcPr>
            <w:tcW w:w="9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222,612</w:t>
            </w:r>
          </w:p>
        </w:tc>
        <w:tc>
          <w:tcPr>
            <w:tcW w:w="28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158,901</w:t>
            </w:r>
          </w:p>
        </w:tc>
        <w:tc>
          <w:tcPr>
            <w:tcW w:w="120" w:type="dxa"/>
            <w:vAlign w:val="bottom"/>
            <w:shd w:val="clear" w:color="auto" w:fill="CFF0FC"/>
          </w:tcPr>
          <w:p>
            <w:pPr>
              <w:spacing w:after="0"/>
              <w:rPr>
                <w:sz w:val="13"/>
                <w:szCs w:val="13"/>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color w:val="auto"/>
              </w:rPr>
              <w:t>Operating lease, right of use asset</w:t>
            </w:r>
          </w:p>
        </w:tc>
        <w:tc>
          <w:tcPr>
            <w:tcW w:w="9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1,142</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3,579</w:t>
            </w:r>
          </w:p>
        </w:tc>
        <w:tc>
          <w:tcPr>
            <w:tcW w:w="120" w:type="dxa"/>
            <w:vAlign w:val="bottom"/>
          </w:tcPr>
          <w:p>
            <w:pPr>
              <w:spacing w:after="0"/>
              <w:rPr>
                <w:sz w:val="13"/>
                <w:szCs w:val="13"/>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Property and equipment, net</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6,462</w:t>
            </w: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8,153</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Restricted cash</w:t>
            </w:r>
          </w:p>
        </w:tc>
        <w:tc>
          <w:tcPr>
            <w:tcW w:w="9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2,070</w:t>
            </w:r>
          </w:p>
        </w:tc>
        <w:tc>
          <w:tcPr>
            <w:tcW w:w="28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327</w:t>
            </w:r>
          </w:p>
        </w:tc>
        <w:tc>
          <w:tcPr>
            <w:tcW w:w="120" w:type="dxa"/>
            <w:vAlign w:val="bottom"/>
            <w:shd w:val="clear" w:color="auto" w:fill="CFF0FC"/>
          </w:tcPr>
          <w:p>
            <w:pPr>
              <w:spacing w:after="0"/>
              <w:rPr>
                <w:sz w:val="14"/>
                <w:szCs w:val="14"/>
                <w:color w:val="auto"/>
              </w:rPr>
            </w:pPr>
          </w:p>
        </w:tc>
      </w:tr>
      <w:tr>
        <w:trPr>
          <w:trHeight w:val="196"/>
        </w:trPr>
        <w:tc>
          <w:tcPr>
            <w:tcW w:w="7720" w:type="dxa"/>
            <w:vAlign w:val="bottom"/>
            <w:tcBorders>
              <w:bottom w:val="single" w:sz="8" w:color="CFF0FC"/>
            </w:tcBorders>
          </w:tcPr>
          <w:p>
            <w:pPr>
              <w:ind w:left="380"/>
              <w:spacing w:after="0" w:line="155" w:lineRule="exact"/>
              <w:rPr>
                <w:sz w:val="20"/>
                <w:szCs w:val="20"/>
                <w:color w:val="auto"/>
              </w:rPr>
            </w:pPr>
            <w:r>
              <w:rPr>
                <w:rFonts w:ascii="Arial" w:cs="Arial" w:eastAsia="Arial" w:hAnsi="Arial"/>
                <w:sz w:val="14"/>
                <w:szCs w:val="14"/>
                <w:color w:val="auto"/>
              </w:rPr>
              <w:t>Total assets</w:t>
            </w:r>
          </w:p>
        </w:tc>
        <w:tc>
          <w:tcPr>
            <w:tcW w:w="980" w:type="dxa"/>
            <w:vAlign w:val="bottom"/>
            <w:tcBorders>
              <w:bottom w:val="single" w:sz="8" w:color="auto"/>
            </w:tcBorders>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232,380</w:t>
            </w:r>
          </w:p>
        </w:tc>
        <w:tc>
          <w:tcPr>
            <w:tcW w:w="28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171,169</w:t>
            </w:r>
          </w:p>
        </w:tc>
        <w:tc>
          <w:tcPr>
            <w:tcW w:w="120" w:type="dxa"/>
            <w:vAlign w:val="bottom"/>
            <w:tcBorders>
              <w:bottom w:val="single" w:sz="8" w:color="CFF0FC"/>
            </w:tcBorders>
          </w:tcPr>
          <w:p>
            <w:pPr>
              <w:spacing w:after="0"/>
              <w:rPr>
                <w:sz w:val="17"/>
                <w:szCs w:val="17"/>
                <w:color w:val="auto"/>
              </w:rPr>
            </w:pP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Liabilities and Stockholders' Equity</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Current liabilities: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4,463</w:t>
            </w: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3,274</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Accrued expenses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9,528</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8,640</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liabilities</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1,263</w:t>
            </w: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1,999</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Finance lease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232</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 - related party</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8,080</w:t>
            </w: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10,359</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current liabilities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2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4"/>
                <w:szCs w:val="14"/>
                <w:color w:val="auto"/>
              </w:rPr>
            </w:pPr>
          </w:p>
        </w:tc>
      </w:tr>
      <w:tr>
        <w:trPr>
          <w:trHeight w:val="155"/>
        </w:trPr>
        <w:tc>
          <w:tcPr>
            <w:tcW w:w="77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current liabilities</w:t>
            </w:r>
          </w:p>
        </w:tc>
        <w:tc>
          <w:tcPr>
            <w:tcW w:w="9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23,601</w:t>
            </w:r>
          </w:p>
        </w:tc>
        <w:tc>
          <w:tcPr>
            <w:tcW w:w="28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24,480</w:t>
            </w:r>
          </w:p>
        </w:tc>
        <w:tc>
          <w:tcPr>
            <w:tcW w:w="120" w:type="dxa"/>
            <w:vAlign w:val="bottom"/>
            <w:shd w:val="clear" w:color="auto" w:fill="CFF0FC"/>
          </w:tcPr>
          <w:p>
            <w:pPr>
              <w:spacing w:after="0"/>
              <w:rPr>
                <w:sz w:val="13"/>
                <w:szCs w:val="13"/>
                <w:color w:val="auto"/>
              </w:rPr>
            </w:pPr>
          </w:p>
        </w:tc>
      </w:tr>
      <w:tr>
        <w:trPr>
          <w:trHeight w:val="156"/>
        </w:trPr>
        <w:tc>
          <w:tcPr>
            <w:tcW w:w="7720" w:type="dxa"/>
            <w:vAlign w:val="bottom"/>
          </w:tcPr>
          <w:p>
            <w:pPr>
              <w:ind w:left="260"/>
              <w:spacing w:after="0" w:line="155" w:lineRule="exact"/>
              <w:rPr>
                <w:sz w:val="20"/>
                <w:szCs w:val="20"/>
                <w:color w:val="auto"/>
              </w:rPr>
            </w:pPr>
            <w:r>
              <w:rPr>
                <w:rFonts w:ascii="Arial" w:cs="Arial" w:eastAsia="Arial" w:hAnsi="Arial"/>
                <w:sz w:val="14"/>
                <w:szCs w:val="14"/>
                <w:color w:val="auto"/>
              </w:rPr>
              <w:t>Operating lease liabilities, excluding current portion</w:t>
            </w:r>
          </w:p>
        </w:tc>
        <w:tc>
          <w:tcPr>
            <w:tcW w:w="9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275</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2,419</w:t>
            </w:r>
          </w:p>
        </w:tc>
        <w:tc>
          <w:tcPr>
            <w:tcW w:w="120" w:type="dxa"/>
            <w:vAlign w:val="bottom"/>
          </w:tcPr>
          <w:p>
            <w:pPr>
              <w:spacing w:after="0"/>
              <w:rPr>
                <w:sz w:val="13"/>
                <w:szCs w:val="13"/>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Finance lease obligations, excluding current portion</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w:t>
            </w: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Deferred revenue - related party, excluding current portion</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10,359</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non-current liabilities</w:t>
            </w:r>
          </w:p>
        </w:tc>
        <w:tc>
          <w:tcPr>
            <w:tcW w:w="9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1,300</w:t>
            </w:r>
          </w:p>
        </w:tc>
        <w:tc>
          <w:tcPr>
            <w:tcW w:w="120" w:type="dxa"/>
            <w:vAlign w:val="bottom"/>
            <w:shd w:val="clear" w:color="auto" w:fill="CFF0FC"/>
          </w:tcPr>
          <w:p>
            <w:pPr>
              <w:spacing w:after="0"/>
              <w:rPr>
                <w:sz w:val="14"/>
                <w:szCs w:val="14"/>
                <w:color w:val="auto"/>
              </w:rPr>
            </w:pPr>
          </w:p>
        </w:tc>
      </w:tr>
      <w:tr>
        <w:trPr>
          <w:trHeight w:val="156"/>
        </w:trPr>
        <w:tc>
          <w:tcPr>
            <w:tcW w:w="7720" w:type="dxa"/>
            <w:vAlign w:val="bottom"/>
            <w:tcBorders>
              <w:bottom w:val="single" w:sz="8" w:color="CFF0FC"/>
            </w:tcBorders>
          </w:tcPr>
          <w:p>
            <w:pPr>
              <w:ind w:left="380"/>
              <w:spacing w:after="0" w:line="155" w:lineRule="exact"/>
              <w:rPr>
                <w:sz w:val="20"/>
                <w:szCs w:val="20"/>
                <w:color w:val="auto"/>
              </w:rPr>
            </w:pPr>
            <w:r>
              <w:rPr>
                <w:rFonts w:ascii="Arial" w:cs="Arial" w:eastAsia="Arial" w:hAnsi="Arial"/>
                <w:sz w:val="14"/>
                <w:szCs w:val="14"/>
                <w:color w:val="auto"/>
              </w:rPr>
              <w:t>Total liabilities</w:t>
            </w: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24,169</w:t>
            </w:r>
          </w:p>
        </w:tc>
        <w:tc>
          <w:tcPr>
            <w:tcW w:w="2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39,083</w:t>
            </w:r>
          </w:p>
        </w:tc>
        <w:tc>
          <w:tcPr>
            <w:tcW w:w="120" w:type="dxa"/>
            <w:vAlign w:val="bottom"/>
            <w:tcBorders>
              <w:bottom w:val="single" w:sz="8" w:color="CFF0FC"/>
            </w:tcBorders>
          </w:tcPr>
          <w:p>
            <w:pPr>
              <w:spacing w:after="0"/>
              <w:rPr>
                <w:sz w:val="13"/>
                <w:szCs w:val="13"/>
                <w:color w:val="auto"/>
              </w:rPr>
            </w:pP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Commitments and Contingencies (Note 11)</w:t>
            </w:r>
          </w:p>
        </w:tc>
        <w:tc>
          <w:tcPr>
            <w:tcW w:w="9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Preferred stock, $0.001 par value; 10,000,000 shares authorized</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720" w:type="dxa"/>
            <w:vAlign w:val="bottom"/>
            <w:shd w:val="clear" w:color="auto" w:fill="CFF0FC"/>
          </w:tcPr>
          <w:p>
            <w:pPr>
              <w:ind w:left="80"/>
              <w:spacing w:after="0" w:line="149" w:lineRule="exact"/>
              <w:rPr>
                <w:sz w:val="20"/>
                <w:szCs w:val="20"/>
                <w:color w:val="auto"/>
              </w:rPr>
            </w:pPr>
            <w:r>
              <w:rPr>
                <w:rFonts w:ascii="Arial" w:cs="Arial" w:eastAsia="Arial" w:hAnsi="Arial"/>
                <w:sz w:val="14"/>
                <w:szCs w:val="14"/>
                <w:color w:val="auto"/>
              </w:rPr>
              <w:t>at December 31, 2021 and December 31, 2020; no shares issued and</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r>
      <w:tr>
        <w:trPr>
          <w:trHeight w:val="167"/>
        </w:trPr>
        <w:tc>
          <w:tcPr>
            <w:tcW w:w="7720" w:type="dxa"/>
            <w:vAlign w:val="bottom"/>
            <w:shd w:val="clear" w:color="auto" w:fill="CFF0FC"/>
          </w:tcPr>
          <w:p>
            <w:pPr>
              <w:ind w:left="80"/>
              <w:spacing w:after="0"/>
              <w:rPr>
                <w:sz w:val="20"/>
                <w:szCs w:val="20"/>
                <w:color w:val="auto"/>
              </w:rPr>
            </w:pPr>
            <w:r>
              <w:rPr>
                <w:rFonts w:ascii="Arial" w:cs="Arial" w:eastAsia="Arial" w:hAnsi="Arial"/>
                <w:sz w:val="14"/>
                <w:szCs w:val="14"/>
                <w:color w:val="auto"/>
              </w:rPr>
              <w:t>outstanding at December 31, 2021 and December 31, 2020</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4"/>
                <w:szCs w:val="14"/>
                <w:color w:val="auto"/>
              </w:rPr>
              <w:t>Common stock, $0.001 par value; 300,000,000 shares authorized at December 31, 2021 and</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720" w:type="dxa"/>
            <w:vAlign w:val="bottom"/>
          </w:tcPr>
          <w:p>
            <w:pPr>
              <w:ind w:left="120"/>
              <w:spacing w:after="0" w:line="149" w:lineRule="exact"/>
              <w:rPr>
                <w:sz w:val="20"/>
                <w:szCs w:val="20"/>
                <w:color w:val="auto"/>
              </w:rPr>
            </w:pPr>
            <w:r>
              <w:rPr>
                <w:rFonts w:ascii="Arial" w:cs="Arial" w:eastAsia="Arial" w:hAnsi="Arial"/>
                <w:sz w:val="14"/>
                <w:szCs w:val="14"/>
                <w:color w:val="auto"/>
              </w:rPr>
              <w:t>December 31, 2020; 110,340,281 shares issued and outstanding at December 31, 2021 and 84,893,994</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720" w:type="dxa"/>
            <w:vAlign w:val="bottom"/>
          </w:tcPr>
          <w:p>
            <w:pPr>
              <w:ind w:left="120"/>
              <w:spacing w:after="0" w:line="149" w:lineRule="exact"/>
              <w:rPr>
                <w:sz w:val="20"/>
                <w:szCs w:val="20"/>
                <w:color w:val="auto"/>
              </w:rPr>
            </w:pPr>
            <w:r>
              <w:rPr>
                <w:rFonts w:ascii="Arial" w:cs="Arial" w:eastAsia="Arial" w:hAnsi="Arial"/>
                <w:sz w:val="14"/>
                <w:szCs w:val="14"/>
                <w:color w:val="auto"/>
              </w:rPr>
              <w:t>shares issued and outstanding at December 31, 2020; 2,158,329 pre-funded warrants outstanding at</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7720" w:type="dxa"/>
            <w:vAlign w:val="bottom"/>
          </w:tcPr>
          <w:p>
            <w:pPr>
              <w:ind w:left="120"/>
              <w:spacing w:after="0"/>
              <w:rPr>
                <w:sz w:val="20"/>
                <w:szCs w:val="20"/>
                <w:color w:val="auto"/>
              </w:rPr>
            </w:pPr>
            <w:r>
              <w:rPr>
                <w:rFonts w:ascii="Arial" w:cs="Arial" w:eastAsia="Arial" w:hAnsi="Arial"/>
                <w:sz w:val="14"/>
                <w:szCs w:val="14"/>
                <w:color w:val="auto"/>
              </w:rPr>
              <w:t>December 31, 2021 and December 31, 2020</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112</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684,901</w:t>
            </w: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536,568</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9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(45)</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deficit</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(476,757)</w:t>
            </w:r>
          </w:p>
        </w:tc>
        <w:tc>
          <w:tcPr>
            <w:tcW w:w="4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(404,569)</w:t>
            </w:r>
          </w:p>
        </w:tc>
      </w:tr>
      <w:tr>
        <w:trPr>
          <w:trHeight w:val="155"/>
        </w:trPr>
        <w:tc>
          <w:tcPr>
            <w:tcW w:w="7720" w:type="dxa"/>
            <w:vAlign w:val="bottom"/>
            <w:tcBorders>
              <w:bottom w:val="single" w:sz="8" w:color="CFF0FC"/>
            </w:tcBorders>
          </w:tcPr>
          <w:p>
            <w:pPr>
              <w:ind w:left="380"/>
              <w:spacing w:after="0" w:line="155" w:lineRule="exact"/>
              <w:rPr>
                <w:sz w:val="20"/>
                <w:szCs w:val="20"/>
                <w:color w:val="auto"/>
              </w:rPr>
            </w:pPr>
            <w:r>
              <w:rPr>
                <w:rFonts w:ascii="Arial" w:cs="Arial" w:eastAsia="Arial" w:hAnsi="Arial"/>
                <w:sz w:val="14"/>
                <w:szCs w:val="14"/>
                <w:color w:val="auto"/>
              </w:rPr>
              <w:t>Total stockholders' equity</w:t>
            </w:r>
          </w:p>
        </w:tc>
        <w:tc>
          <w:tcPr>
            <w:tcW w:w="9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208,211</w:t>
            </w:r>
          </w:p>
        </w:tc>
        <w:tc>
          <w:tcPr>
            <w:tcW w:w="280" w:type="dxa"/>
            <w:vAlign w:val="bottom"/>
            <w:tcBorders>
              <w:bottom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132,086</w:t>
            </w:r>
          </w:p>
        </w:tc>
        <w:tc>
          <w:tcPr>
            <w:tcW w:w="120" w:type="dxa"/>
            <w:vAlign w:val="bottom"/>
            <w:tcBorders>
              <w:bottom w:val="single" w:sz="8" w:color="CFF0FC"/>
            </w:tcBorders>
          </w:tcPr>
          <w:p>
            <w:pPr>
              <w:spacing w:after="0"/>
              <w:rPr>
                <w:sz w:val="13"/>
                <w:szCs w:val="13"/>
                <w:color w:val="auto"/>
              </w:rPr>
            </w:pPr>
          </w:p>
        </w:tc>
      </w:tr>
      <w:tr>
        <w:trPr>
          <w:trHeight w:val="155"/>
        </w:trPr>
        <w:tc>
          <w:tcPr>
            <w:tcW w:w="7720" w:type="dxa"/>
            <w:vAlign w:val="bottom"/>
            <w:tcBorders>
              <w:bottom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980" w:type="dxa"/>
            <w:vAlign w:val="bottom"/>
            <w:tcBorders>
              <w:bottom w:val="single" w:sz="8" w:color="auto"/>
            </w:tcBorders>
            <w:shd w:val="clear" w:color="auto" w:fill="CFF0FC"/>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232,380</w:t>
            </w:r>
          </w:p>
        </w:tc>
        <w:tc>
          <w:tcPr>
            <w:tcW w:w="280" w:type="dxa"/>
            <w:vAlign w:val="bottom"/>
            <w:tcBorders>
              <w:bottom w:val="single" w:sz="8" w:color="CFF0FC"/>
            </w:tcBorders>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171,169</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SOLID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127"/>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13,620</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27,135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expense</w:t>
            </w: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85,874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(72,254)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(72,188)</w:t>
            </w:r>
          </w:p>
        </w:tc>
        <w:tc>
          <w:tcPr>
            <w:tcW w:w="2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(117,223)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Weighted average common stock outstanding, basic and diluted</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106,770,372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51,937,147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40,289,290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SOLID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(72,188)</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(88,290)</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(117,223)</w:t>
            </w: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gain on available-for-sale securities</w:t>
            </w: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Comprehensive loss</w:t>
            </w:r>
          </w:p>
        </w:tc>
        <w:tc>
          <w:tcPr>
            <w:tcW w:w="1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(88,291)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(117,217)</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SOLID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6"/>
              </w:rPr>
              <w:t>Accumulated</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7"/>
              </w:rPr>
              <w:t>other</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2"/>
        </w:trPr>
        <w:tc>
          <w:tcPr>
            <w:tcW w:w="3840" w:type="dxa"/>
            <w:vAlign w:val="bottom"/>
          </w:tcPr>
          <w:p>
            <w:pPr>
              <w:spacing w:after="0"/>
              <w:rPr>
                <w:sz w:val="10"/>
                <w:szCs w:val="10"/>
                <w:color w:val="auto"/>
              </w:rPr>
            </w:pPr>
          </w:p>
        </w:tc>
        <w:tc>
          <w:tcPr>
            <w:tcW w:w="1260" w:type="dxa"/>
            <w:vAlign w:val="bottom"/>
            <w:gridSpan w:val="2"/>
          </w:tcPr>
          <w:p>
            <w:pPr>
              <w:jc w:val="right"/>
              <w:ind w:right="480"/>
              <w:spacing w:after="0" w:line="122" w:lineRule="exact"/>
              <w:rPr>
                <w:sz w:val="20"/>
                <w:szCs w:val="20"/>
                <w:color w:val="auto"/>
              </w:rPr>
            </w:pPr>
            <w:r>
              <w:rPr>
                <w:rFonts w:ascii="Arial" w:cs="Arial" w:eastAsia="Arial" w:hAnsi="Arial"/>
                <w:sz w:val="11"/>
                <w:szCs w:val="11"/>
                <w:b w:val="1"/>
                <w:bCs w:val="1"/>
                <w:color w:val="auto"/>
              </w:rPr>
              <w:t>Common</w:t>
            </w: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auto"/>
                <w:w w:val="88"/>
              </w:rPr>
              <w:t>paid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4"/>
              </w:rPr>
              <w:t>comprehensive</w:t>
            </w:r>
          </w:p>
        </w:tc>
        <w:tc>
          <w:tcPr>
            <w:tcW w:w="160" w:type="dxa"/>
            <w:vAlign w:val="bottom"/>
          </w:tcPr>
          <w:p>
            <w:pPr>
              <w:spacing w:after="0"/>
              <w:rPr>
                <w:sz w:val="10"/>
                <w:szCs w:val="10"/>
                <w:color w:val="auto"/>
              </w:rPr>
            </w:pPr>
          </w:p>
        </w:tc>
        <w:tc>
          <w:tcPr>
            <w:tcW w:w="110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10"/>
                <w:szCs w:val="10"/>
                <w:color w:val="auto"/>
              </w:rPr>
            </w:pPr>
          </w:p>
        </w:tc>
        <w:tc>
          <w:tcPr>
            <w:tcW w:w="9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35"/>
        </w:trPr>
        <w:tc>
          <w:tcPr>
            <w:tcW w:w="384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Stock</w:t>
            </w:r>
          </w:p>
        </w:tc>
        <w:tc>
          <w:tcPr>
            <w:tcW w:w="120" w:type="dxa"/>
            <w:vAlign w:val="bottom"/>
            <w:tcBorders>
              <w:bottom w:val="single" w:sz="8" w:color="CFF0FC"/>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w w:val="92"/>
              </w:rPr>
              <w:t>in capital</w:t>
            </w:r>
          </w:p>
        </w:tc>
        <w:tc>
          <w:tcPr>
            <w:tcW w:w="10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84"/>
              </w:rPr>
              <w:t>income (loss)</w:t>
            </w:r>
          </w:p>
        </w:tc>
        <w:tc>
          <w:tcPr>
            <w:tcW w:w="12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w w:val="92"/>
              </w:rPr>
              <w:t>(Deficit)</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shd w:val="clear" w:color="auto" w:fill="CFF0FC"/>
          </w:tcPr>
          <w:p>
            <w:pPr>
              <w:spacing w:after="0"/>
              <w:rPr>
                <w:sz w:val="20"/>
                <w:szCs w:val="20"/>
                <w:color w:val="auto"/>
              </w:rPr>
            </w:pPr>
            <w:r>
              <w:rPr>
                <w:rFonts w:ascii="Arial" w:cs="Arial" w:eastAsia="Arial" w:hAnsi="Arial"/>
                <w:sz w:val="11"/>
                <w:szCs w:val="11"/>
                <w:color w:val="auto"/>
              </w:rPr>
              <w:t>Balance at December 31, 2018</w:t>
            </w: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35,432,460</w:t>
            </w: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113"/>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324,209</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w:t>
            </w: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(199,056)</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125,183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840" w:type="dxa"/>
            <w:vAlign w:val="bottom"/>
          </w:tcPr>
          <w:p>
            <w:pPr>
              <w:ind w:left="260"/>
              <w:spacing w:after="0" w:line="125" w:lineRule="exact"/>
              <w:rPr>
                <w:sz w:val="20"/>
                <w:szCs w:val="20"/>
                <w:color w:val="auto"/>
              </w:rPr>
            </w:pPr>
            <w:r>
              <w:rPr>
                <w:rFonts w:ascii="Arial" w:cs="Arial" w:eastAsia="Arial" w:hAnsi="Arial"/>
                <w:sz w:val="11"/>
                <w:szCs w:val="11"/>
                <w:color w:val="auto"/>
              </w:rPr>
              <w:t>Equity-based</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40" w:type="dxa"/>
            <w:vAlign w:val="bottom"/>
          </w:tcPr>
          <w:p>
            <w:pPr>
              <w:ind w:left="340"/>
              <w:spacing w:after="0"/>
              <w:rPr>
                <w:sz w:val="20"/>
                <w:szCs w:val="20"/>
                <w:color w:val="auto"/>
              </w:rPr>
            </w:pPr>
            <w:r>
              <w:rPr>
                <w:rFonts w:ascii="Arial" w:cs="Arial" w:eastAsia="Arial" w:hAnsi="Arial"/>
                <w:sz w:val="11"/>
                <w:szCs w:val="11"/>
                <w:color w:val="auto"/>
              </w:rPr>
              <w:t>compensation</w:t>
            </w:r>
          </w:p>
        </w:tc>
        <w:tc>
          <w:tcPr>
            <w:tcW w:w="12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14,207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14,207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840" w:type="dxa"/>
            <w:vAlign w:val="bottom"/>
            <w:shd w:val="clear" w:color="auto" w:fill="CFF0FC"/>
          </w:tcPr>
          <w:p>
            <w:pPr>
              <w:ind w:left="260"/>
              <w:spacing w:after="0" w:line="125" w:lineRule="exact"/>
              <w:rPr>
                <w:sz w:val="20"/>
                <w:szCs w:val="20"/>
                <w:color w:val="auto"/>
              </w:rPr>
            </w:pPr>
            <w:r>
              <w:rPr>
                <w:rFonts w:ascii="Arial" w:cs="Arial" w:eastAsia="Arial" w:hAnsi="Arial"/>
                <w:sz w:val="11"/>
                <w:szCs w:val="11"/>
                <w:color w:val="auto"/>
              </w:rPr>
              <w:t>Sale of common stock,</w:t>
            </w:r>
          </w:p>
        </w:tc>
        <w:tc>
          <w:tcPr>
            <w:tcW w:w="1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shd w:val="clear" w:color="auto" w:fill="CFF0FC"/>
          </w:tcPr>
          <w:p>
            <w:pPr>
              <w:ind w:left="340"/>
              <w:spacing w:after="0" w:line="122" w:lineRule="exact"/>
              <w:rPr>
                <w:sz w:val="20"/>
                <w:szCs w:val="20"/>
                <w:color w:val="auto"/>
              </w:rPr>
            </w:pPr>
            <w:r>
              <w:rPr>
                <w:rFonts w:ascii="Arial" w:cs="Arial" w:eastAsia="Arial" w:hAnsi="Arial"/>
                <w:sz w:val="11"/>
                <w:szCs w:val="11"/>
                <w:color w:val="auto"/>
              </w:rPr>
              <w:t>net of issuance costs</w:t>
            </w:r>
          </w:p>
        </w:tc>
        <w:tc>
          <w:tcPr>
            <w:tcW w:w="1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40" w:type="dxa"/>
            <w:vAlign w:val="bottom"/>
            <w:shd w:val="clear" w:color="auto" w:fill="CFF0FC"/>
          </w:tcPr>
          <w:p>
            <w:pPr>
              <w:ind w:left="340"/>
              <w:spacing w:after="0"/>
              <w:rPr>
                <w:sz w:val="20"/>
                <w:szCs w:val="20"/>
                <w:color w:val="auto"/>
              </w:rPr>
            </w:pPr>
            <w:r>
              <w:rPr>
                <w:rFonts w:ascii="Arial" w:cs="Arial" w:eastAsia="Arial" w:hAnsi="Arial"/>
                <w:sz w:val="11"/>
                <w:szCs w:val="11"/>
                <w:color w:val="auto"/>
              </w:rPr>
              <w:t>of $2,102</w:t>
            </w: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10,607,525</w:t>
            </w: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47,212</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47,223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840" w:type="dxa"/>
            <w:vAlign w:val="bottom"/>
          </w:tcPr>
          <w:p>
            <w:pPr>
              <w:ind w:left="260"/>
              <w:spacing w:after="0" w:line="125" w:lineRule="exact"/>
              <w:rPr>
                <w:sz w:val="20"/>
                <w:szCs w:val="20"/>
                <w:color w:val="auto"/>
              </w:rPr>
            </w:pPr>
            <w:r>
              <w:rPr>
                <w:rFonts w:ascii="Arial" w:cs="Arial" w:eastAsia="Arial" w:hAnsi="Arial"/>
                <w:sz w:val="11"/>
                <w:szCs w:val="11"/>
                <w:color w:val="auto"/>
              </w:rPr>
              <w:t>Sale of pre-funded</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40" w:type="dxa"/>
            <w:vAlign w:val="bottom"/>
          </w:tcPr>
          <w:p>
            <w:pPr>
              <w:ind w:left="340"/>
              <w:spacing w:after="0"/>
              <w:rPr>
                <w:sz w:val="20"/>
                <w:szCs w:val="20"/>
                <w:color w:val="auto"/>
              </w:rPr>
            </w:pPr>
            <w:r>
              <w:rPr>
                <w:rFonts w:ascii="Arial" w:cs="Arial" w:eastAsia="Arial" w:hAnsi="Arial"/>
                <w:sz w:val="11"/>
                <w:szCs w:val="11"/>
                <w:color w:val="auto"/>
              </w:rPr>
              <w:t>warrants</w:t>
            </w:r>
          </w:p>
        </w:tc>
        <w:tc>
          <w:tcPr>
            <w:tcW w:w="1140" w:type="dxa"/>
            <w:vAlign w:val="bottom"/>
          </w:tcPr>
          <w:p>
            <w:pPr>
              <w:jc w:val="right"/>
              <w:spacing w:after="0"/>
              <w:rPr>
                <w:sz w:val="20"/>
                <w:szCs w:val="20"/>
                <w:color w:val="auto"/>
              </w:rPr>
            </w:pPr>
            <w:r>
              <w:rPr>
                <w:rFonts w:ascii="Arial" w:cs="Arial" w:eastAsia="Arial" w:hAnsi="Arial"/>
                <w:sz w:val="11"/>
                <w:szCs w:val="11"/>
                <w:color w:val="auto"/>
              </w:rPr>
              <w:t>2295699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10,650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10,652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FF0FC"/>
          </w:tcPr>
          <w:p>
            <w:pPr>
              <w:ind w:left="260"/>
              <w:spacing w:after="0"/>
              <w:rPr>
                <w:sz w:val="20"/>
                <w:szCs w:val="20"/>
                <w:color w:val="auto"/>
              </w:rPr>
            </w:pPr>
            <w:r>
              <w:rPr>
                <w:rFonts w:ascii="Arial" w:cs="Arial" w:eastAsia="Arial" w:hAnsi="Arial"/>
                <w:sz w:val="11"/>
                <w:szCs w:val="11"/>
                <w:color w:val="auto"/>
              </w:rPr>
              <w:t>Forfeiture of restricted stock awards</w:t>
            </w:r>
          </w:p>
        </w:tc>
        <w:tc>
          <w:tcPr>
            <w:tcW w:w="12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(52,414)</w:t>
            </w: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60"/>
              <w:spacing w:after="0"/>
              <w:rPr>
                <w:sz w:val="20"/>
                <w:szCs w:val="20"/>
                <w:color w:val="auto"/>
              </w:rPr>
            </w:pPr>
            <w:r>
              <w:rPr>
                <w:rFonts w:ascii="Arial" w:cs="Arial" w:eastAsia="Arial" w:hAnsi="Arial"/>
                <w:sz w:val="11"/>
                <w:szCs w:val="11"/>
                <w:color w:val="auto"/>
              </w:rPr>
              <w:t>Unrealized gain on available-for-sale securities</w:t>
            </w: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FF0FC"/>
          </w:tcPr>
          <w:p>
            <w:pPr>
              <w:ind w:left="260"/>
              <w:spacing w:after="0"/>
              <w:rPr>
                <w:sz w:val="20"/>
                <w:szCs w:val="20"/>
                <w:color w:val="auto"/>
              </w:rPr>
            </w:pPr>
            <w:r>
              <w:rPr>
                <w:rFonts w:ascii="Arial" w:cs="Arial" w:eastAsia="Arial" w:hAnsi="Arial"/>
                <w:sz w:val="11"/>
                <w:szCs w:val="11"/>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(117,223)</w:t>
            </w:r>
          </w:p>
        </w:tc>
        <w:tc>
          <w:tcPr>
            <w:tcW w:w="1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(117,223)</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1"/>
                <w:szCs w:val="11"/>
                <w:color w:val="auto"/>
              </w:rPr>
              <w:t>Balance at December 31, 2019</w:t>
            </w: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40" w:type="dxa"/>
            <w:vAlign w:val="bottom"/>
            <w:vMerge w:val="continue"/>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48,283,270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396,278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1"/>
                <w:szCs w:val="11"/>
                <w:color w:val="auto"/>
              </w:rPr>
              <w:t>(316,279)</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80,048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840" w:type="dxa"/>
            <w:vAlign w:val="bottom"/>
            <w:shd w:val="clear" w:color="auto" w:fill="CFF0FC"/>
          </w:tcPr>
          <w:p>
            <w:pPr>
              <w:ind w:left="260"/>
              <w:spacing w:after="0" w:line="125" w:lineRule="exact"/>
              <w:rPr>
                <w:sz w:val="20"/>
                <w:szCs w:val="20"/>
                <w:color w:val="auto"/>
              </w:rPr>
            </w:pPr>
            <w:r>
              <w:rPr>
                <w:rFonts w:ascii="Arial" w:cs="Arial" w:eastAsia="Arial" w:hAnsi="Arial"/>
                <w:sz w:val="11"/>
                <w:szCs w:val="11"/>
                <w:color w:val="auto"/>
              </w:rPr>
              <w:t>Equity-based</w:t>
            </w:r>
          </w:p>
        </w:tc>
        <w:tc>
          <w:tcPr>
            <w:tcW w:w="1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40" w:type="dxa"/>
            <w:vAlign w:val="bottom"/>
            <w:shd w:val="clear" w:color="auto" w:fill="CFF0FC"/>
          </w:tcPr>
          <w:p>
            <w:pPr>
              <w:ind w:left="340"/>
              <w:spacing w:after="0"/>
              <w:rPr>
                <w:sz w:val="20"/>
                <w:szCs w:val="20"/>
                <w:color w:val="auto"/>
              </w:rPr>
            </w:pPr>
            <w:r>
              <w:rPr>
                <w:rFonts w:ascii="Arial" w:cs="Arial" w:eastAsia="Arial" w:hAnsi="Arial"/>
                <w:sz w:val="11"/>
                <w:szCs w:val="11"/>
                <w:color w:val="auto"/>
              </w:rPr>
              <w:t>compensation</w:t>
            </w: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11,629</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840" w:type="dxa"/>
            <w:vAlign w:val="bottom"/>
          </w:tcPr>
          <w:p>
            <w:pPr>
              <w:ind w:left="260"/>
              <w:spacing w:after="0" w:line="125" w:lineRule="exact"/>
              <w:rPr>
                <w:sz w:val="20"/>
                <w:szCs w:val="20"/>
                <w:color w:val="auto"/>
              </w:rPr>
            </w:pPr>
            <w:r>
              <w:rPr>
                <w:rFonts w:ascii="Arial" w:cs="Arial" w:eastAsia="Arial" w:hAnsi="Arial"/>
                <w:sz w:val="11"/>
                <w:szCs w:val="11"/>
                <w:color w:val="auto"/>
              </w:rPr>
              <w:t>Sale of common stock,</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Pr>
          <w:p>
            <w:pPr>
              <w:ind w:left="340"/>
              <w:spacing w:after="0" w:line="122" w:lineRule="exact"/>
              <w:rPr>
                <w:sz w:val="20"/>
                <w:szCs w:val="20"/>
                <w:color w:val="auto"/>
              </w:rPr>
            </w:pPr>
            <w:r>
              <w:rPr>
                <w:rFonts w:ascii="Arial" w:cs="Arial" w:eastAsia="Arial" w:hAnsi="Arial"/>
                <w:sz w:val="11"/>
                <w:szCs w:val="11"/>
                <w:color w:val="auto"/>
              </w:rPr>
              <w:t>net of issuance costs</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40" w:type="dxa"/>
            <w:vAlign w:val="bottom"/>
          </w:tcPr>
          <w:p>
            <w:pPr>
              <w:ind w:left="340"/>
              <w:spacing w:after="0"/>
              <w:rPr>
                <w:sz w:val="20"/>
                <w:szCs w:val="20"/>
                <w:color w:val="auto"/>
              </w:rPr>
            </w:pPr>
            <w:r>
              <w:rPr>
                <w:rFonts w:ascii="Arial" w:cs="Arial" w:eastAsia="Arial" w:hAnsi="Arial"/>
                <w:sz w:val="11"/>
                <w:szCs w:val="11"/>
                <w:color w:val="auto"/>
              </w:rPr>
              <w:t>of $3,790</w:t>
            </w:r>
          </w:p>
        </w:tc>
        <w:tc>
          <w:tcPr>
            <w:tcW w:w="1140" w:type="dxa"/>
            <w:vAlign w:val="bottom"/>
          </w:tcPr>
          <w:p>
            <w:pPr>
              <w:jc w:val="right"/>
              <w:spacing w:after="0"/>
              <w:rPr>
                <w:sz w:val="20"/>
                <w:szCs w:val="20"/>
                <w:color w:val="auto"/>
              </w:rPr>
            </w:pPr>
            <w:r>
              <w:rPr>
                <w:rFonts w:ascii="Arial" w:cs="Arial" w:eastAsia="Arial" w:hAnsi="Arial"/>
                <w:sz w:val="11"/>
                <w:szCs w:val="11"/>
                <w:color w:val="auto"/>
              </w:rPr>
              <w:t>30,633,952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109,387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109,418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840" w:type="dxa"/>
            <w:vAlign w:val="bottom"/>
            <w:shd w:val="clear" w:color="auto" w:fill="CFF0FC"/>
          </w:tcPr>
          <w:p>
            <w:pPr>
              <w:ind w:left="260"/>
              <w:spacing w:after="0" w:line="125" w:lineRule="exact"/>
              <w:rPr>
                <w:sz w:val="20"/>
                <w:szCs w:val="20"/>
                <w:color w:val="auto"/>
              </w:rPr>
            </w:pPr>
            <w:r>
              <w:rPr>
                <w:rFonts w:ascii="Arial" w:cs="Arial" w:eastAsia="Arial" w:hAnsi="Arial"/>
                <w:sz w:val="11"/>
                <w:szCs w:val="11"/>
                <w:color w:val="auto"/>
              </w:rPr>
              <w:t>Issuance of common stock,</w:t>
            </w:r>
          </w:p>
        </w:tc>
        <w:tc>
          <w:tcPr>
            <w:tcW w:w="1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shd w:val="clear" w:color="auto" w:fill="CFF0FC"/>
          </w:tcPr>
          <w:p>
            <w:pPr>
              <w:ind w:left="340"/>
              <w:spacing w:after="0" w:line="122" w:lineRule="exact"/>
              <w:rPr>
                <w:sz w:val="20"/>
                <w:szCs w:val="20"/>
                <w:color w:val="auto"/>
              </w:rPr>
            </w:pPr>
            <w:r>
              <w:rPr>
                <w:rFonts w:ascii="Arial" w:cs="Arial" w:eastAsia="Arial" w:hAnsi="Arial"/>
                <w:sz w:val="11"/>
                <w:szCs w:val="11"/>
                <w:color w:val="auto"/>
              </w:rPr>
              <w:t>to a related party, in connection</w:t>
            </w:r>
          </w:p>
        </w:tc>
        <w:tc>
          <w:tcPr>
            <w:tcW w:w="1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40" w:type="dxa"/>
            <w:vAlign w:val="bottom"/>
            <w:shd w:val="clear" w:color="auto" w:fill="CFF0FC"/>
          </w:tcPr>
          <w:p>
            <w:pPr>
              <w:ind w:left="340"/>
              <w:spacing w:after="0"/>
              <w:rPr>
                <w:sz w:val="20"/>
                <w:szCs w:val="20"/>
                <w:color w:val="auto"/>
              </w:rPr>
            </w:pPr>
            <w:r>
              <w:rPr>
                <w:rFonts w:ascii="Arial" w:cs="Arial" w:eastAsia="Arial" w:hAnsi="Arial"/>
                <w:sz w:val="11"/>
                <w:szCs w:val="11"/>
                <w:color w:val="auto"/>
              </w:rPr>
              <w:t>with the Stock Purchase Agreement</w:t>
            </w: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7,825,797</w:t>
            </w: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19,274</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60"/>
              <w:spacing w:after="0"/>
              <w:rPr>
                <w:sz w:val="20"/>
                <w:szCs w:val="20"/>
                <w:color w:val="auto"/>
              </w:rPr>
            </w:pPr>
            <w:r>
              <w:rPr>
                <w:rFonts w:ascii="Arial" w:cs="Arial" w:eastAsia="Arial" w:hAnsi="Arial"/>
                <w:sz w:val="11"/>
                <w:szCs w:val="11"/>
                <w:color w:val="auto"/>
              </w:rPr>
              <w:t>Vesting of restricted stock units</w:t>
            </w:r>
          </w:p>
        </w:tc>
        <w:tc>
          <w:tcPr>
            <w:tcW w:w="1140" w:type="dxa"/>
            <w:vAlign w:val="bottom"/>
          </w:tcPr>
          <w:p>
            <w:pPr>
              <w:jc w:val="right"/>
              <w:spacing w:after="0"/>
              <w:rPr>
                <w:sz w:val="20"/>
                <w:szCs w:val="20"/>
                <w:color w:val="auto"/>
              </w:rPr>
            </w:pPr>
            <w:r>
              <w:rPr>
                <w:rFonts w:ascii="Arial" w:cs="Arial" w:eastAsia="Arial" w:hAnsi="Arial"/>
                <w:sz w:val="11"/>
                <w:szCs w:val="11"/>
                <w:color w:val="auto"/>
              </w:rPr>
              <w:t>407,700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FF0FC"/>
          </w:tcPr>
          <w:p>
            <w:pPr>
              <w:ind w:left="260"/>
              <w:spacing w:after="0"/>
              <w:rPr>
                <w:sz w:val="20"/>
                <w:szCs w:val="20"/>
                <w:color w:val="auto"/>
              </w:rPr>
            </w:pPr>
            <w:r>
              <w:rPr>
                <w:rFonts w:ascii="Arial" w:cs="Arial" w:eastAsia="Arial" w:hAnsi="Arial"/>
                <w:sz w:val="11"/>
                <w:szCs w:val="11"/>
                <w:color w:val="auto"/>
              </w:rPr>
              <w:t>Forfeiture of restricted stock awards</w:t>
            </w:r>
          </w:p>
        </w:tc>
        <w:tc>
          <w:tcPr>
            <w:tcW w:w="12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(98,396)</w:t>
            </w: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60"/>
              <w:spacing w:after="0"/>
              <w:rPr>
                <w:sz w:val="20"/>
                <w:szCs w:val="20"/>
                <w:color w:val="auto"/>
              </w:rPr>
            </w:pPr>
            <w:r>
              <w:rPr>
                <w:rFonts w:ascii="Arial" w:cs="Arial" w:eastAsia="Arial" w:hAnsi="Arial"/>
                <w:sz w:val="11"/>
                <w:szCs w:val="11"/>
                <w:color w:val="auto"/>
              </w:rPr>
              <w:t>Unrealized loss on available-for-sale securities</w:t>
            </w: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1"/>
                <w:szCs w:val="11"/>
                <w:color w:val="auto"/>
              </w:rPr>
              <w:t>(1)</w:t>
            </w: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3840" w:type="dxa"/>
            <w:vAlign w:val="bottom"/>
            <w:shd w:val="clear" w:color="auto" w:fill="CFF0FC"/>
          </w:tcPr>
          <w:p>
            <w:pPr>
              <w:ind w:left="260"/>
              <w:spacing w:after="0"/>
              <w:rPr>
                <w:sz w:val="20"/>
                <w:szCs w:val="20"/>
                <w:color w:val="auto"/>
              </w:rPr>
            </w:pPr>
            <w:r>
              <w:rPr>
                <w:rFonts w:ascii="Arial" w:cs="Arial" w:eastAsia="Arial" w:hAnsi="Arial"/>
                <w:sz w:val="11"/>
                <w:szCs w:val="11"/>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(88,290)</w:t>
            </w:r>
          </w:p>
        </w:tc>
        <w:tc>
          <w:tcPr>
            <w:tcW w:w="1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(88,290)</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1"/>
                <w:szCs w:val="11"/>
                <w:color w:val="auto"/>
              </w:rPr>
              <w:t>Balance at December 31, 2020</w:t>
            </w: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40" w:type="dxa"/>
            <w:vAlign w:val="bottom"/>
            <w:vMerge w:val="continue"/>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87,052,323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536,568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1"/>
                <w:szCs w:val="11"/>
                <w:color w:val="auto"/>
              </w:rPr>
              <w:t>(404,569)</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132,086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840" w:type="dxa"/>
            <w:vAlign w:val="bottom"/>
            <w:shd w:val="clear" w:color="auto" w:fill="CFF0FC"/>
          </w:tcPr>
          <w:p>
            <w:pPr>
              <w:ind w:left="260"/>
              <w:spacing w:after="0" w:line="125" w:lineRule="exact"/>
              <w:rPr>
                <w:sz w:val="20"/>
                <w:szCs w:val="20"/>
                <w:color w:val="auto"/>
              </w:rPr>
            </w:pPr>
            <w:r>
              <w:rPr>
                <w:rFonts w:ascii="Arial" w:cs="Arial" w:eastAsia="Arial" w:hAnsi="Arial"/>
                <w:sz w:val="11"/>
                <w:szCs w:val="11"/>
                <w:color w:val="auto"/>
              </w:rPr>
              <w:t>Equity-based</w:t>
            </w:r>
          </w:p>
        </w:tc>
        <w:tc>
          <w:tcPr>
            <w:tcW w:w="1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40" w:type="dxa"/>
            <w:vAlign w:val="bottom"/>
            <w:shd w:val="clear" w:color="auto" w:fill="CFF0FC"/>
          </w:tcPr>
          <w:p>
            <w:pPr>
              <w:ind w:left="340"/>
              <w:spacing w:after="0"/>
              <w:rPr>
                <w:sz w:val="20"/>
                <w:szCs w:val="20"/>
                <w:color w:val="auto"/>
              </w:rPr>
            </w:pPr>
            <w:r>
              <w:rPr>
                <w:rFonts w:ascii="Arial" w:cs="Arial" w:eastAsia="Arial" w:hAnsi="Arial"/>
                <w:sz w:val="11"/>
                <w:szCs w:val="11"/>
                <w:color w:val="auto"/>
              </w:rPr>
              <w:t>compensation</w:t>
            </w: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13,373</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13,373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840" w:type="dxa"/>
            <w:vAlign w:val="bottom"/>
          </w:tcPr>
          <w:p>
            <w:pPr>
              <w:ind w:left="260"/>
              <w:spacing w:after="0" w:line="125" w:lineRule="exact"/>
              <w:rPr>
                <w:sz w:val="20"/>
                <w:szCs w:val="20"/>
                <w:color w:val="auto"/>
              </w:rPr>
            </w:pPr>
            <w:r>
              <w:rPr>
                <w:rFonts w:ascii="Arial" w:cs="Arial" w:eastAsia="Arial" w:hAnsi="Arial"/>
                <w:sz w:val="11"/>
                <w:szCs w:val="11"/>
                <w:color w:val="auto"/>
              </w:rPr>
              <w:t>Sale of common stock,</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40" w:type="dxa"/>
            <w:vAlign w:val="bottom"/>
          </w:tcPr>
          <w:p>
            <w:pPr>
              <w:ind w:left="340"/>
              <w:spacing w:after="0" w:line="122" w:lineRule="exact"/>
              <w:rPr>
                <w:sz w:val="20"/>
                <w:szCs w:val="20"/>
                <w:color w:val="auto"/>
              </w:rPr>
            </w:pPr>
            <w:r>
              <w:rPr>
                <w:rFonts w:ascii="Arial" w:cs="Arial" w:eastAsia="Arial" w:hAnsi="Arial"/>
                <w:sz w:val="11"/>
                <w:szCs w:val="11"/>
                <w:color w:val="auto"/>
              </w:rPr>
              <w:t>net of issuance costs</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40" w:type="dxa"/>
            <w:vAlign w:val="bottom"/>
          </w:tcPr>
          <w:p>
            <w:pPr>
              <w:ind w:left="340"/>
              <w:spacing w:after="0"/>
              <w:rPr>
                <w:sz w:val="20"/>
                <w:szCs w:val="20"/>
                <w:color w:val="auto"/>
              </w:rPr>
            </w:pPr>
            <w:r>
              <w:rPr>
                <w:rFonts w:ascii="Arial" w:cs="Arial" w:eastAsia="Arial" w:hAnsi="Arial"/>
                <w:sz w:val="11"/>
                <w:szCs w:val="11"/>
                <w:color w:val="auto"/>
              </w:rPr>
              <w:t>of $8,872</w:t>
            </w:r>
          </w:p>
        </w:tc>
        <w:tc>
          <w:tcPr>
            <w:tcW w:w="1140" w:type="dxa"/>
            <w:vAlign w:val="bottom"/>
          </w:tcPr>
          <w:p>
            <w:pPr>
              <w:jc w:val="right"/>
              <w:spacing w:after="0"/>
              <w:rPr>
                <w:sz w:val="20"/>
                <w:szCs w:val="20"/>
                <w:color w:val="auto"/>
              </w:rPr>
            </w:pPr>
            <w:r>
              <w:rPr>
                <w:rFonts w:ascii="Arial" w:cs="Arial" w:eastAsia="Arial" w:hAnsi="Arial"/>
                <w:sz w:val="11"/>
                <w:szCs w:val="11"/>
                <w:color w:val="auto"/>
              </w:rPr>
              <w:t>25,000,000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134,853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134,878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FF0FC"/>
          </w:tcPr>
          <w:p>
            <w:pPr>
              <w:ind w:left="260"/>
              <w:spacing w:after="0"/>
              <w:rPr>
                <w:sz w:val="20"/>
                <w:szCs w:val="20"/>
                <w:color w:val="auto"/>
              </w:rPr>
            </w:pPr>
            <w:r>
              <w:rPr>
                <w:rFonts w:ascii="Arial" w:cs="Arial" w:eastAsia="Arial" w:hAnsi="Arial"/>
                <w:sz w:val="11"/>
                <w:szCs w:val="11"/>
                <w:color w:val="auto"/>
              </w:rPr>
              <w:t>Exercise of common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11,625</w:t>
            </w: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60"/>
              <w:spacing w:after="0"/>
              <w:rPr>
                <w:sz w:val="20"/>
                <w:szCs w:val="20"/>
                <w:color w:val="auto"/>
              </w:rPr>
            </w:pPr>
            <w:r>
              <w:rPr>
                <w:rFonts w:ascii="Arial" w:cs="Arial" w:eastAsia="Arial" w:hAnsi="Arial"/>
                <w:sz w:val="11"/>
                <w:szCs w:val="11"/>
                <w:color w:val="auto"/>
              </w:rPr>
              <w:t>Issuance of ESPP shares</w:t>
            </w:r>
          </w:p>
        </w:tc>
        <w:tc>
          <w:tcPr>
            <w:tcW w:w="1140" w:type="dxa"/>
            <w:vAlign w:val="bottom"/>
          </w:tcPr>
          <w:p>
            <w:pPr>
              <w:jc w:val="right"/>
              <w:spacing w:after="0"/>
              <w:rPr>
                <w:sz w:val="20"/>
                <w:szCs w:val="20"/>
                <w:color w:val="auto"/>
              </w:rPr>
            </w:pPr>
            <w:r>
              <w:rPr>
                <w:rFonts w:ascii="Arial" w:cs="Arial" w:eastAsia="Arial" w:hAnsi="Arial"/>
                <w:sz w:val="11"/>
                <w:szCs w:val="11"/>
                <w:color w:val="auto"/>
              </w:rPr>
              <w:t>44,681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FF0FC"/>
          </w:tcPr>
          <w:p>
            <w:pPr>
              <w:ind w:left="260"/>
              <w:spacing w:after="0"/>
              <w:rPr>
                <w:sz w:val="20"/>
                <w:szCs w:val="20"/>
                <w:color w:val="auto"/>
              </w:rPr>
            </w:pPr>
            <w:r>
              <w:rPr>
                <w:rFonts w:ascii="Arial" w:cs="Arial" w:eastAsia="Arial" w:hAnsi="Arial"/>
                <w:sz w:val="11"/>
                <w:szCs w:val="11"/>
                <w:color w:val="auto"/>
              </w:rPr>
              <w:t>Vesting of restricted stock units</w:t>
            </w: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419,193</w:t>
            </w: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260"/>
              <w:spacing w:after="0"/>
              <w:rPr>
                <w:sz w:val="20"/>
                <w:szCs w:val="20"/>
                <w:color w:val="auto"/>
              </w:rPr>
            </w:pPr>
            <w:r>
              <w:rPr>
                <w:rFonts w:ascii="Arial" w:cs="Arial" w:eastAsia="Arial" w:hAnsi="Arial"/>
                <w:sz w:val="11"/>
                <w:szCs w:val="11"/>
                <w:color w:val="auto"/>
              </w:rPr>
              <w:t>Forfeiture of restricted stock awards</w:t>
            </w:r>
          </w:p>
        </w:tc>
        <w:tc>
          <w:tcPr>
            <w:tcW w:w="1260" w:type="dxa"/>
            <w:vAlign w:val="bottom"/>
            <w:gridSpan w:val="2"/>
          </w:tcPr>
          <w:p>
            <w:pPr>
              <w:jc w:val="right"/>
              <w:ind w:right="80"/>
              <w:spacing w:after="0"/>
              <w:rPr>
                <w:sz w:val="20"/>
                <w:szCs w:val="20"/>
                <w:color w:val="auto"/>
              </w:rPr>
            </w:pPr>
            <w:r>
              <w:rPr>
                <w:rFonts w:ascii="Arial" w:cs="Arial" w:eastAsia="Arial" w:hAnsi="Arial"/>
                <w:sz w:val="11"/>
                <w:szCs w:val="11"/>
                <w:color w:val="auto"/>
              </w:rPr>
              <w:t>(29,212)</w:t>
            </w: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shd w:val="clear" w:color="auto" w:fill="CFF0FC"/>
          </w:tcPr>
          <w:p>
            <w:pPr>
              <w:ind w:left="260"/>
              <w:spacing w:after="0"/>
              <w:rPr>
                <w:sz w:val="20"/>
                <w:szCs w:val="20"/>
                <w:color w:val="auto"/>
              </w:rPr>
            </w:pPr>
            <w:r>
              <w:rPr>
                <w:rFonts w:ascii="Arial" w:cs="Arial" w:eastAsia="Arial" w:hAnsi="Arial"/>
                <w:sz w:val="11"/>
                <w:szCs w:val="11"/>
                <w:color w:val="auto"/>
              </w:rPr>
              <w:t>Unrealized loss on available-for-sale securities</w:t>
            </w: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w:t>
            </w:r>
          </w:p>
        </w:tc>
        <w:tc>
          <w:tcPr>
            <w:tcW w:w="16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FF0FC"/>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35"/>
        </w:trPr>
        <w:tc>
          <w:tcPr>
            <w:tcW w:w="3840" w:type="dxa"/>
            <w:vAlign w:val="bottom"/>
          </w:tcPr>
          <w:p>
            <w:pPr>
              <w:ind w:left="260"/>
              <w:spacing w:after="0"/>
              <w:rPr>
                <w:sz w:val="20"/>
                <w:szCs w:val="20"/>
                <w:color w:val="auto"/>
              </w:rPr>
            </w:pPr>
            <w:r>
              <w:rPr>
                <w:rFonts w:ascii="Arial" w:cs="Arial" w:eastAsia="Arial" w:hAnsi="Arial"/>
                <w:sz w:val="11"/>
                <w:szCs w:val="11"/>
                <w:color w:val="auto"/>
              </w:rPr>
              <w:t>Net loss</w:t>
            </w:r>
          </w:p>
        </w:tc>
        <w:tc>
          <w:tcPr>
            <w:tcW w:w="11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1"/>
                <w:szCs w:val="11"/>
                <w:color w:val="auto"/>
              </w:rPr>
              <w:t>(72,188)</w:t>
            </w:r>
          </w:p>
        </w:tc>
        <w:tc>
          <w:tcPr>
            <w:tcW w:w="180" w:type="dxa"/>
            <w:vAlign w:val="bottom"/>
          </w:tcPr>
          <w:p>
            <w:pPr>
              <w:spacing w:after="0"/>
              <w:rPr>
                <w:sz w:val="11"/>
                <w:szCs w:val="1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(72,188)</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Balance at December 31, 2021</w:t>
            </w:r>
          </w:p>
        </w:tc>
        <w:tc>
          <w:tcPr>
            <w:tcW w:w="11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840" w:type="dxa"/>
            <w:vAlign w:val="bottom"/>
            <w:vMerge w:val="continue"/>
            <w:shd w:val="clear" w:color="auto" w:fill="CFF0FC"/>
          </w:tcPr>
          <w:p>
            <w:pPr>
              <w:spacing w:after="0"/>
              <w:rPr>
                <w:sz w:val="11"/>
                <w:szCs w:val="1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112,498,610</w:t>
            </w: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113"/>
              <w:spacing w:after="0"/>
              <w:rPr>
                <w:sz w:val="20"/>
                <w:szCs w:val="20"/>
                <w:color w:val="auto"/>
              </w:rPr>
            </w:pPr>
            <w:r>
              <w:rPr>
                <w:rFonts w:ascii="Arial" w:cs="Arial" w:eastAsia="Arial" w:hAnsi="Arial"/>
                <w:sz w:val="5"/>
                <w:szCs w:val="5"/>
                <w:color w:val="auto"/>
                <w:w w:val="70"/>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684,901</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(45)</w:t>
            </w: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(476,757)</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208,211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SOLID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7"/>
              </w:rPr>
              <w:t>Year Ended December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10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900" w:type="dxa"/>
            <w:vAlign w:val="bottom"/>
            <w:gridSpan w:val="2"/>
          </w:tcPr>
          <w:p>
            <w:pPr>
              <w:jc w:val="right"/>
              <w:ind w:right="71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(72,188)</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(88,290)</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(117,223)</w:t>
            </w: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Net amortization of premium/(discount) on available-for-sale securities</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Equity-based compensation expense</w:t>
            </w:r>
          </w:p>
        </w:tc>
        <w:tc>
          <w:tcPr>
            <w:tcW w:w="10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13,373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11,629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Depreciation and amortization expense</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on sale of property and equipment</w:t>
            </w:r>
          </w:p>
        </w:tc>
        <w:tc>
          <w:tcPr>
            <w:tcW w:w="10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Gain on lease termination</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(81)</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10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500"/>
              <w:spacing w:after="0"/>
              <w:rPr>
                <w:sz w:val="20"/>
                <w:szCs w:val="20"/>
                <w:color w:val="auto"/>
              </w:rPr>
            </w:pPr>
            <w:r>
              <w:rPr>
                <w:rFonts w:ascii="Arial" w:cs="Arial" w:eastAsia="Arial" w:hAnsi="Arial"/>
                <w:sz w:val="14"/>
                <w:szCs w:val="14"/>
                <w:color w:val="auto"/>
              </w:rPr>
              <w:t>Prepaid expenses and other current and non-current assets</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(9,247)</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 - related party</w:t>
            </w:r>
          </w:p>
        </w:tc>
        <w:tc>
          <w:tcPr>
            <w:tcW w:w="10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(110)</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(3,431)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expenses and other current and non-current liabilities</w:t>
            </w:r>
          </w:p>
        </w:tc>
        <w:tc>
          <w:tcPr>
            <w:tcW w:w="10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(2,255)</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62"/>
        </w:trPr>
        <w:tc>
          <w:tcPr>
            <w:tcW w:w="5420" w:type="dxa"/>
            <w:vAlign w:val="bottom"/>
          </w:tcPr>
          <w:p>
            <w:pPr>
              <w:ind w:left="500"/>
              <w:spacing w:after="0"/>
              <w:rPr>
                <w:sz w:val="20"/>
                <w:szCs w:val="20"/>
                <w:color w:val="auto"/>
              </w:rPr>
            </w:pPr>
            <w:r>
              <w:rPr>
                <w:rFonts w:ascii="Arial" w:cs="Arial" w:eastAsia="Arial" w:hAnsi="Arial"/>
                <w:sz w:val="14"/>
                <w:szCs w:val="14"/>
                <w:color w:val="auto"/>
              </w:rPr>
              <w:t>Deferred revenue - related party, current and non-current</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(12,638)</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20,718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Net cash used in operating activities</w:t>
            </w:r>
          </w:p>
        </w:tc>
        <w:tc>
          <w:tcPr>
            <w:tcW w:w="106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(77,764)</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(56,599)</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(92,714)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line="155" w:lineRule="exact"/>
              <w:rPr>
                <w:sz w:val="20"/>
                <w:szCs w:val="20"/>
                <w:color w:val="auto"/>
              </w:rPr>
            </w:pPr>
            <w:r>
              <w:rPr>
                <w:rFonts w:ascii="Arial" w:cs="Arial" w:eastAsia="Arial" w:hAnsi="Arial"/>
                <w:sz w:val="14"/>
                <w:szCs w:val="14"/>
                <w:b w:val="1"/>
                <w:bCs w:val="1"/>
                <w:color w:val="auto"/>
              </w:rPr>
              <w:t>Investing activities:</w:t>
            </w: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Purchases of property and equipment</w:t>
            </w:r>
          </w:p>
        </w:tc>
        <w:tc>
          <w:tcPr>
            <w:tcW w:w="10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(1,281)</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162"/>
        </w:trPr>
        <w:tc>
          <w:tcPr>
            <w:tcW w:w="5420" w:type="dxa"/>
            <w:vAlign w:val="bottom"/>
          </w:tcPr>
          <w:p>
            <w:pPr>
              <w:ind w:left="140"/>
              <w:spacing w:after="0"/>
              <w:rPr>
                <w:sz w:val="20"/>
                <w:szCs w:val="20"/>
                <w:color w:val="auto"/>
              </w:rPr>
            </w:pPr>
            <w:r>
              <w:rPr>
                <w:rFonts w:ascii="Arial" w:cs="Arial" w:eastAsia="Arial" w:hAnsi="Arial"/>
                <w:sz w:val="14"/>
                <w:szCs w:val="14"/>
                <w:color w:val="auto"/>
              </w:rPr>
              <w:t>Proceeds from sales and maturities of available-for-sale securities</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51,444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60,399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Purchases of available-for-sale securities</w:t>
            </w:r>
          </w:p>
        </w:tc>
        <w:tc>
          <w:tcPr>
            <w:tcW w:w="10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3"/>
              </w:rPr>
              <w:t>(141,249)</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(31,496)</w:t>
            </w: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Net cash (used in) provided by investing activities</w:t>
            </w:r>
          </w:p>
        </w:tc>
        <w:tc>
          <w:tcPr>
            <w:tcW w:w="10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(91,086)</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6,600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Financing activities:</w:t>
            </w:r>
          </w:p>
        </w:tc>
        <w:tc>
          <w:tcPr>
            <w:tcW w:w="10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420" w:type="dxa"/>
            <w:vAlign w:val="bottom"/>
          </w:tcPr>
          <w:p>
            <w:pPr>
              <w:ind w:left="140"/>
              <w:spacing w:after="0" w:line="143" w:lineRule="exact"/>
              <w:rPr>
                <w:sz w:val="20"/>
                <w:szCs w:val="20"/>
                <w:color w:val="auto"/>
              </w:rPr>
            </w:pPr>
            <w:r>
              <w:rPr>
                <w:rFonts w:ascii="Arial" w:cs="Arial" w:eastAsia="Arial" w:hAnsi="Arial"/>
                <w:sz w:val="14"/>
                <w:szCs w:val="14"/>
                <w:color w:val="auto"/>
              </w:rPr>
              <w:t>Proceeds from the issuance of common stock to a</w:t>
            </w: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420" w:type="dxa"/>
            <w:vAlign w:val="bottom"/>
          </w:tcPr>
          <w:p>
            <w:pPr>
              <w:ind w:left="240"/>
              <w:spacing w:after="0"/>
              <w:rPr>
                <w:sz w:val="20"/>
                <w:szCs w:val="20"/>
                <w:color w:val="auto"/>
              </w:rPr>
            </w:pPr>
            <w:r>
              <w:rPr>
                <w:rFonts w:ascii="Arial" w:cs="Arial" w:eastAsia="Arial" w:hAnsi="Arial"/>
                <w:sz w:val="14"/>
                <w:szCs w:val="14"/>
                <w:color w:val="auto"/>
              </w:rPr>
              <w:t>related party in connection with the Stock Purchase Agreement</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19,282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Proceeds from issuance of common stock, net of issuance costs</w:t>
            </w:r>
          </w:p>
        </w:tc>
        <w:tc>
          <w:tcPr>
            <w:tcW w:w="10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134,878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113,208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140"/>
              <w:spacing w:after="0"/>
              <w:rPr>
                <w:sz w:val="20"/>
                <w:szCs w:val="20"/>
                <w:color w:val="auto"/>
              </w:rPr>
            </w:pPr>
            <w:r>
              <w:rPr>
                <w:rFonts w:ascii="Arial" w:cs="Arial" w:eastAsia="Arial" w:hAnsi="Arial"/>
                <w:sz w:val="14"/>
                <w:szCs w:val="14"/>
                <w:color w:val="auto"/>
              </w:rPr>
              <w:t>Payment of offering costs</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(3,790)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Proceeds from issuance of pre-funded warrants</w:t>
            </w:r>
          </w:p>
        </w:tc>
        <w:tc>
          <w:tcPr>
            <w:tcW w:w="10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140"/>
              <w:spacing w:after="0"/>
              <w:rPr>
                <w:sz w:val="20"/>
                <w:szCs w:val="20"/>
                <w:color w:val="auto"/>
              </w:rPr>
            </w:pPr>
            <w:r>
              <w:rPr>
                <w:rFonts w:ascii="Arial" w:cs="Arial" w:eastAsia="Arial" w:hAnsi="Arial"/>
                <w:sz w:val="14"/>
                <w:szCs w:val="14"/>
                <w:color w:val="auto"/>
              </w:rPr>
              <w:t>Proceeds for exercise of stock options</w:t>
            </w: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Employee stock purchases and withholdings</w:t>
            </w:r>
          </w:p>
        </w:tc>
        <w:tc>
          <w:tcPr>
            <w:tcW w:w="1060" w:type="dxa"/>
            <w:vAlign w:val="bottom"/>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134,985</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128,700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57,875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(decrease) increase in cash, cash equivalents and restricted cash</w:t>
            </w:r>
          </w:p>
        </w:tc>
        <w:tc>
          <w:tcPr>
            <w:tcW w:w="10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(33,865)</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78,701</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(10,323)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106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155,071</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76,370</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86,693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restricted cash at end of period</w:t>
            </w:r>
          </w:p>
        </w:tc>
        <w:tc>
          <w:tcPr>
            <w:tcW w:w="1060" w:type="dxa"/>
            <w:vAlign w:val="bottom"/>
            <w:tcBorders>
              <w:bottom w:val="single" w:sz="8" w:color="CFF0FC"/>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71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121,206</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155,071</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76,370</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Decrease in ROU asset and lease liability due to lease termination</w:t>
            </w:r>
          </w:p>
        </w:tc>
        <w:tc>
          <w:tcPr>
            <w:tcW w:w="10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(1,233)</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Property and equipment included in accounts payable and accruals</w:t>
            </w:r>
          </w:p>
        </w:tc>
        <w:tc>
          <w:tcPr>
            <w:tcW w:w="10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SOLID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17" w:lineRule="exact"/>
        <w:rPr>
          <w:sz w:val="20"/>
          <w:szCs w:val="20"/>
          <w:color w:val="auto"/>
        </w:rPr>
      </w:pPr>
    </w:p>
    <w:p>
      <w:pPr>
        <w:ind w:right="160"/>
        <w:spacing w:after="0" w:line="329" w:lineRule="auto"/>
        <w:rPr>
          <w:sz w:val="20"/>
          <w:szCs w:val="20"/>
          <w:color w:val="auto"/>
        </w:rPr>
      </w:pPr>
      <w:r>
        <w:rPr>
          <w:rFonts w:ascii="Arial" w:cs="Arial" w:eastAsia="Arial" w:hAnsi="Arial"/>
          <w:sz w:val="16"/>
          <w:szCs w:val="16"/>
          <w:color w:val="auto"/>
        </w:rPr>
        <w:t>Solid Biosciences Inc. was organized in March 2013 under the name SOLID Ventures Management, LLC and operated as a Delaware limited liability company until immediately prior to the effectiveness of its registration statement on Form S-1 on January 25, 2018, at which time it completed a statutory corporate conversion into a Delaware corporation (the “Corporate Conversion”) and changed its name to Solid Biosciences Inc. (the “Company”).</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mission is to cure Duchenne muscular dystrophy (“Duchenne”), a genetic muscle-wasting disease predominantly affecting boys. It is caused by mutations in the dystrophin gene, which result in the absence or near-absence of dystrophin protein. Dystrophin protein works to strengthen muscle fibers and protect them from daily wear and tear. Without functioning dystrophin and certain associated proteins, muscles suffer excessive damage from normal daily activities and are unable to regenerate, leading to the build-up of fibrotic, or scar, and fat tissue. The Company’s lead product candidate, SGT-001, is a gene transfer candidate under investigation for its ability to drive functional dystrophin protein expression in patients’ muscles and improve the course of the disease. SGT-001 has been granted Rare Pediatric Disease Designation and Fast Track Designation in the United States and Orphan Drug Designations in both the United States and European Union. The Company filed an Investigational New Drug application (“IND”) in September 2017 and initiated a Phase I/II clinical trial for SGT-001 in the United States during the fourth quarter of 2017, which is called IGNITE DMD. In November 2019, IGNITE DMD was placed on clinical hold by the U.S. Food and Drug Administration (“FDA”). In October 2020, following changes to the clinical protocol designed to enhance patient safety, improvements to its manufacturing process, and the provision of additional efficacy and safety data to the FDA, the Company announced that the FDA lifted the clinical hold placed on the Company’s IGNITE DMD Phase I/II clinical trial. In February 2021, the Company resumed treatment of patients in the IGNITE DMD clinical trial. In May 2021, the Company announced the advancement of a next-generation Duchenne microdystrophin gene transfer program, SGT-003, a preclinical candidate that combines a novel, rationally-designed capsid candidate with the Company’s proprietary neuronal Nitric Oxide Synthase (nNOS) containing microdystrophin construct.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development by competitors of new technological innovations, dependence on licenses,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and clinical trials and regulatory approval, prior to commercialization. These efforts require significant amounts of additional capital, adequate personnel infrastructure and extensive compliance and reporting capabilities.</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among others, other pharmaceutical and biotechnology companies. In addition, the Company is dependent upon the services of its employees, partners and consultants.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accompanying consolidated financial statements have been prepared on a basis that assumes the Company will continue as a going concern and which contemplates the realization of assets and satisfaction of liabilities and commitments in the ordinary course of business. Through December 31, 2021, the Company has funded its operations primarily with the proceeds from the sale of redeemable preferred units and member units as well as the sale of common stock and prefunded warrants to purchase shares of its common stock in private placements and the sale of common stock in its initial public offering and follow-on public offering in March 2021 and under its at-the-market sales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ind w:right="140"/>
        <w:spacing w:after="0" w:line="290" w:lineRule="auto"/>
        <w:rPr>
          <w:sz w:val="20"/>
          <w:szCs w:val="20"/>
          <w:color w:val="auto"/>
        </w:rPr>
      </w:pPr>
      <w:r>
        <w:rPr>
          <w:rFonts w:ascii="Arial" w:cs="Arial" w:eastAsia="Arial" w:hAnsi="Arial"/>
          <w:sz w:val="16"/>
          <w:szCs w:val="16"/>
          <w:color w:val="auto"/>
        </w:rPr>
        <w:t>In accordance with Accounting Standards Codification (“ASC”) 205-40, Going Concern, the Company has evaluated whether there are conditions and events, considered in the aggregate, that raise substantial doubt about the Company’s ability to continue as a going concern within one year after the date the financial statements are issued. As of December 31, 2021, the Company had an accumulated deficit of $476,757. During the year ended December 31, 2021, 2020 and 2019, the Company incurred a net loss of $72,188, $88,290 and $117,223, respectively. The Company used $77,764 of cash in operations for the year ended December 31, 2021. The Company expects to continue to generate operating losses in the foreseeable future. Based upon its current operating plan, the Company expects that its cash, cash equivalents and available-for-sale securities of $207,779 as of December 31, 2021,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2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The accompanying condensed consolidated financial statements include the accounts of the Company and its wholly owned or controlled subsidiaries. All intercompany accounts and transactions have been eliminated.</w:t>
      </w:r>
    </w:p>
    <w:p>
      <w:pPr>
        <w:spacing w:after="0" w:line="288" w:lineRule="exact"/>
        <w:rPr>
          <w:sz w:val="20"/>
          <w:szCs w:val="20"/>
          <w:color w:val="auto"/>
        </w:rPr>
      </w:pPr>
    </w:p>
    <w:p>
      <w:pPr>
        <w:ind w:right="7680" w:firstLine="8"/>
        <w:spacing w:after="0" w:line="377" w:lineRule="auto"/>
        <w:tabs>
          <w:tab w:leader="none" w:pos="1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judgments and assumptions that affect the reported amounts of assets and liabilities, the disclosure of contingent assets and liabilities at the date of the consolidated financial statements and the reported amounts of revenues and expenses during the reporting periods. Significant estimates and assumptions reflected in these consolidated financial statements include, but are not limited to, estimates related to revenue recognition, the recognition of research and development expenses and equity-based compensation. Estimates are periodically reviewed in light of changes in circumstances, facts and experience. Changes in estimates are recorded in the period in which they become known. Actual results could differ from the Company’s estimates.</w:t>
      </w:r>
    </w:p>
    <w:p>
      <w:pPr>
        <w:spacing w:after="0" w:line="56"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full extent to which the COVID-19 pandemic will directly or indirectly impact the Company’s business, results of operations and financial condition, including clinical trials and employee-related amounts, will depend on future developments that are highly uncertain, including new information that may emerge concerning COVID-19 and the actions taken to contain it or treat its impact. The Company has made estimates of the impact of COVID-19 within its financial statements and there may be changes to those estimates in future periods. Actual results could differ from the Company’s estimates.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short-term, highly liquid investments with original maturities of 90 days or less at acquisition date to be cash equivalents.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Company held restricted cash of $2,070 and $327 in separate restricted bank accounts as security deposits for leases of the Company’s facilities as of December 31, 2021 and December 31, 2020, respectively. The Company has included restricted cash of $2,070 and $327 as a non-current asset as of December 31, 2021 and December 31, 2020, respectively. A reconciliation of the amounts of cash and cash equivalents and restricted cash from the cash flow statement to the balance sheet is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119,136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154,744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76,043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86,366</w:t>
            </w:r>
          </w:p>
        </w:tc>
        <w:tc>
          <w:tcPr>
            <w:tcW w:w="80" w:type="dxa"/>
            <w:vAlign w:val="bottom"/>
            <w:shd w:val="clear" w:color="auto" w:fill="CFF0FC"/>
          </w:tcPr>
          <w:p>
            <w:pPr>
              <w:spacing w:after="0"/>
              <w:rPr>
                <w:sz w:val="19"/>
                <w:szCs w:val="19"/>
                <w:color w:val="auto"/>
              </w:rPr>
            </w:pPr>
          </w:p>
        </w:tc>
      </w:tr>
      <w:tr>
        <w:trPr>
          <w:trHeight w:val="229"/>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non-current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80" w:type="dxa"/>
            <w:vAlign w:val="bottom"/>
            <w:tcBorders>
              <w:bottom w:val="single" w:sz="8" w:color="CFF0FC"/>
            </w:tcBorders>
          </w:tcPr>
          <w:p>
            <w:pPr>
              <w:spacing w:after="0"/>
              <w:rPr>
                <w:sz w:val="19"/>
                <w:szCs w:val="19"/>
                <w:color w:val="auto"/>
              </w:rPr>
            </w:pPr>
          </w:p>
        </w:tc>
      </w:tr>
      <w:tr>
        <w:trPr>
          <w:trHeight w:val="223"/>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121,206</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155,071</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76,370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86,693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Available-for-sale securities consist of investments with original maturities greater than 90 days at acquisition date. The Company has classified its investments with maturities beyond one year as short term, based on their highly liquid nature and because such available-for-sale securities represent the investment of cash that is available for current operations.</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classifies all of its investments as available-for-sale securities. The Company’s investments are measured and reported at fair value using quoted prices in active markets for similar securities. Unrealized gains and losses on available-for-sale debt securities are reported as a separate component of stockholders’ equity. The cost of debt securities sold is determined on a specific identification basis, and realized gains and losses are included in other income (expense) within the consolidated statement of operations. If any adjustment to fair value reflects a decline in the value of the investment that the Company considers to be “other than temporary,” the Company reduces the investment to fair value through a charge to the consolidated statement of operations. No such adjustments were necessary during the periods presented.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cash equivalents and available-for-sale securities. Periodically, the Company maintains deposits in accredited financial institutions in excess of federally insured limits. The Company maintains each of its cash, cash equivalents and available-for-sale securities balances with high-quality and accredited financial institutions and accordingly, such funds are not exposed to significant credit risk. The Company does not believe that it is subject to unusual credit risk beyond the normal credit risk associated with commercial banking relationships.</w:t>
      </w:r>
    </w:p>
    <w:p>
      <w:pPr>
        <w:spacing w:after="0" w:line="1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is dependent on third-party manufacturers to supply products for research and development activities of its programs, including clinical and preclinical testing. These programs could be adversely affected by a significant interruption in the supply of such drug substance products.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8" w:lineRule="exact"/>
        <w:rPr>
          <w:sz w:val="20"/>
          <w:szCs w:val="20"/>
          <w:color w:val="auto"/>
        </w:rPr>
      </w:pPr>
    </w:p>
    <w:p>
      <w:pPr>
        <w:ind w:left="700" w:hanging="301"/>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44" w:lineRule="exact"/>
        <w:rPr>
          <w:rFonts w:ascii="Arial" w:cs="Arial" w:eastAsia="Arial" w:hAnsi="Arial"/>
          <w:sz w:val="18"/>
          <w:szCs w:val="18"/>
          <w:color w:val="auto"/>
        </w:rPr>
      </w:pPr>
    </w:p>
    <w:p>
      <w:pPr>
        <w:ind w:left="700" w:right="360" w:hanging="301"/>
        <w:spacing w:after="0" w:line="263"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5" w:lineRule="exact"/>
        <w:rPr>
          <w:rFonts w:ascii="Arial" w:cs="Arial" w:eastAsia="Arial" w:hAnsi="Arial"/>
          <w:sz w:val="18"/>
          <w:szCs w:val="18"/>
          <w:color w:val="auto"/>
        </w:rPr>
      </w:pPr>
    </w:p>
    <w:p>
      <w:pPr>
        <w:ind w:left="700" w:right="120" w:hanging="301"/>
        <w:spacing w:after="0" w:line="277" w:lineRule="auto"/>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3" w:name="page154"/>
    <w:bookmarkEnd w:id="153"/>
    <w:p>
      <w:pPr>
        <w:spacing w:after="0" w:line="286" w:lineRule="auto"/>
        <w:rPr>
          <w:sz w:val="20"/>
          <w:szCs w:val="20"/>
          <w:color w:val="auto"/>
        </w:rPr>
      </w:pPr>
      <w:r>
        <w:rPr>
          <w:rFonts w:ascii="Arial" w:cs="Arial" w:eastAsia="Arial" w:hAnsi="Arial"/>
          <w:sz w:val="17"/>
          <w:szCs w:val="17"/>
          <w:color w:val="auto"/>
        </w:rPr>
        <w:t xml:space="preserve">The Company’s cash equivalents and available-for-sale securities are carried at fair value, determined according to the fair value hierarchy described above. See Note 4 </w:t>
      </w:r>
      <w:r>
        <w:rPr>
          <w:rFonts w:ascii="Arial" w:cs="Arial" w:eastAsia="Arial" w:hAnsi="Arial"/>
          <w:sz w:val="17"/>
          <w:szCs w:val="17"/>
          <w:i w:val="1"/>
          <w:iCs w:val="1"/>
          <w:color w:val="auto"/>
        </w:rPr>
        <w:t>Fair Value of Financial Assets and Liabilities</w:t>
      </w:r>
      <w:r>
        <w:rPr>
          <w:rFonts w:ascii="Arial" w:cs="Arial" w:eastAsia="Arial" w:hAnsi="Arial"/>
          <w:sz w:val="17"/>
          <w:szCs w:val="17"/>
          <w:color w:val="auto"/>
        </w:rPr>
        <w:t>, for additional information. The carrying values of the Company’s accounts payable and accrued expenses and other current liabilities approximate their fair value due to the short-term nature of these liabilities.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inception of a contract, the Company determines if a contract meets the definition of a lease. A lease is a contract, or part of a contract, that conveys the right to control the use of identified property, plant, or equipment (an identified asset) for a period of time in exchange for consideration. The Company determines if the contract conveys the right to control the use of an identified asset for a period of time. The Company assesses throughout the period of use whether the Company has both of the following: (1) the right to obtain substantially all of the economic benefits from use of the identified asset and (2) the right to direct the use of the identified asset. This determination is reassessed if the terms of the contract are changed. Leases are classified as operating or finance leases based on the terms of the lease agreement and certain characteristics of the identified asset. Right-of-use assets and lease liabilities are recognized at the lease commencement date based on the present value of the minimum future lease payments. The Company’s policy is to not record leases with an original term of twelve months or less on the consolidated balance sheets. The Company recognizes lease expense for these short-term leases on a straight-line basis over the lease term. Certain lease agreements include rental payments that are adjusted periodically for inflation or other variables. In addition to rent, the leases may require the Company to pay additional amounts for taxes, insurance, maintenance and other expenses, which are generally referred to as non-lease components. Such adjustments to rental payments and variable non-lease components are treated as variable lease payments and recognized in the period in which the obligation for these payments was incurred. Variable lease components and variable non-lease components are not measured as part of the right of use asset and liability. Only when lease components and their associated non-lease components are fixed are they accounted for as a single lease component and recognized as part of a right of use asset and liability. Total contract consideration is allocated to the combined fixed lease and non-lease components.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Laboratory equipment is depreciated over five years. Computer equipment is depreciated over three years. Computer software is depreciated over two years. Furniture and office equipment are depreciated over five years.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 Equipment under a finance lease is stated at fair value at the inception of the lease less accumulated depreciation and is depreciated over the remaining lease term or the estimated useful life of the equipment.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or disposals on long-lived assets.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33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recognizes revenue in accordance with ASC Topic 606, Revenue from Contracts with Customers (“ASC 606”). 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contract(s) with the customer; (ii) identification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4" w:name="page155"/>
    <w:bookmarkEnd w:id="154"/>
    <w:p>
      <w:pPr>
        <w:ind w:right="20"/>
        <w:spacing w:after="0" w:line="272" w:lineRule="auto"/>
        <w:rPr>
          <w:sz w:val="20"/>
          <w:szCs w:val="20"/>
          <w:color w:val="auto"/>
        </w:rPr>
      </w:pPr>
      <w:r>
        <w:rPr>
          <w:rFonts w:ascii="Arial" w:cs="Arial" w:eastAsia="Arial" w:hAnsi="Arial"/>
          <w:sz w:val="17"/>
          <w:szCs w:val="17"/>
          <w:color w:val="auto"/>
        </w:rPr>
        <w:t>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w:t>
      </w:r>
    </w:p>
    <w:p>
      <w:pPr>
        <w:ind w:right="20" w:firstLine="8"/>
        <w:spacing w:after="0" w:line="268" w:lineRule="auto"/>
        <w:tabs>
          <w:tab w:leader="none" w:pos="195"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 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prices, the Company evaluates whether changes in the key assumptions used to determine its estimated stand-alone selling prices will have a significant effect on the allocation of arrangement consideration between performance obligations.</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estimates the transaction price based on the amount of consideration the Company expects to be received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 The Company utilizes either the most likely amount method or expected value method to estimate the transaction price based on which method better predicts the amount of consideration expected to be received. If it is probable that a significant reversal in the amount of cumulative revenue recognized would not occur, the variable consideration is included in the transaction price.</w:t>
      </w:r>
    </w:p>
    <w:p>
      <w:pPr>
        <w:spacing w:after="0" w:line="178"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their own and whether the required expertise is readily available.</w:t>
      </w:r>
    </w:p>
    <w:p>
      <w:pPr>
        <w:spacing w:after="0" w:line="17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For performance obligations which consist of licenses and other promises, the Company utilizes judgment to assess the nature of the combined performance obligation in order to determine whether the combined performance obligation is satisfied over time or at a point in time. Up-front payments and fees are recorded as deferred revenue upon receipt or when due until the Company performs its obligations under these arrangements.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Amounts are recorded as accounts receivable when the Company’s right to consideration is unconditional. Amounts recognized as revenue, but not yet received or invoiced are generally recognized as contract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Licenses</w:t>
      </w:r>
    </w:p>
    <w:p>
      <w:pPr>
        <w:spacing w:after="0" w:line="23"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If the license granted in the arrangement is determined to be distinct from the other promises or performance 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5" w:name="page156"/>
    <w:bookmarkEnd w:id="155"/>
    <w:p>
      <w:pPr>
        <w:ind w:right="20"/>
        <w:spacing w:after="0" w:line="293" w:lineRule="auto"/>
        <w:rPr>
          <w:sz w:val="20"/>
          <w:szCs w:val="20"/>
          <w:color w:val="auto"/>
        </w:rPr>
      </w:pPr>
      <w:r>
        <w:rPr>
          <w:rFonts w:ascii="Arial" w:cs="Arial" w:eastAsia="Arial" w:hAnsi="Arial"/>
          <w:sz w:val="16"/>
          <w:szCs w:val="16"/>
          <w:color w:val="auto"/>
        </w:rPr>
        <w:t>remaining promise, whether the value of the license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arrangement.</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promises under the Company’s collaboration and license agreements generally include research and</w:t>
      </w:r>
    </w:p>
    <w:p>
      <w:pPr>
        <w:spacing w:after="0" w:line="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development services to be performed by the Company on behalf of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Payments</w:t>
      </w:r>
    </w:p>
    <w:p>
      <w:pPr>
        <w:spacing w:after="0" w:line="23"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At the inception of each arrangement that includes milestone payments based on certain events, the Company evaluates whether the milestones are considered probable of being achieved and estimates the amount to be included in the transaction price using the most likely amount method. If it is probable that a significant reversal in the amount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in the amount of cumulative revenue recognized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reversal in the amount of cumulative revenue recognized would not occur.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arrangements that include sales-based royalties, including milestone payments based on a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Company analyzes its collaboration arrangements to assess whether they are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ASC 606. For elements of collaboration arrangements that are accounted for pursuant to ASC 808, an appropriate recognition method is determined and applied consistently, generally by analogy to ASC 606. For those elements of the arrangement that are accounted for pursuant to ASC 606, the Company applies the five-step model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Associated with License and Collaborative Arrangements</w:t>
      </w:r>
    </w:p>
    <w:p>
      <w:pPr>
        <w:spacing w:after="0" w:line="23"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All costs associated with license and collaborative arrangements are expensed as incurred and recorded in research and development expense in the consolidated statements of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expenses include salaries, equity-based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 Non-refundable pre-payments for goods or services that will be used or rendered for future research and development activities are deferred and capitalized. Such amounts are recognized as expense as the goods or services are delivered or the related services are performed, or until it is no longer expected that the goods will be delivered or the services rendered.</w:t>
      </w:r>
    </w:p>
    <w:p>
      <w:pPr>
        <w:spacing w:after="0" w:line="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may in-license the rights to develop and commercialize product candidates. For each in-license transaction the Company evaluates whether it has acquired processes or activities along with inputs that would be sufficient to constitute a “business” as defined under GAAP. A “business” as defined under GAAP consists of inputs and processes applied to those inputs that have the ability to create outputs. Although businesses usually have outputs, outputs are not required for an integrated set of activities to qualify as a business. When the Company determines that it has not acquired sufficient processes or activities to constitute a business, any up-front payments, as well as milestone payments, are immediately expensed as acquired research and development in the period in which they are incurred.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All patent-related costs incurred for filing and prosecuting patent applications are expensed as incurred due to the uncertainty about the recovery of the expenditure. Amounts incurred are classified as general and administrative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measures all stock options and other stock-based awards granted to employees, directors and non-employees based on the fair value on the date of the grant and recognizes compensation expense of those awards, over the requisite service period, which is generally the vesting period of the respective award. Forfeitures are accounted for as they occur. The Company applies the straight-line method of expense recognition to all awards with only service-based vesting conditions. The Company has not issued any awards with performance-based vesting conditions.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Through December 31, 2018, the expected term of stock options granted to non-employees is equal to the contractual term of the option award and effective January 1, 2019, the “simplified” method is used.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for restricted stock units, “RSU”, was calculated using the closing price of the Company’s common stock on the date of grant.</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 of operations in the same manner in which the award recipient’s payroll costs are classified or in which the award recipient’s service payments are classified.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40" w:firstLine="54"/>
        <w:spacing w:after="0" w:line="270" w:lineRule="auto"/>
        <w:rPr>
          <w:sz w:val="20"/>
          <w:szCs w:val="20"/>
          <w:color w:val="auto"/>
        </w:rPr>
      </w:pPr>
      <w:r>
        <w:rPr>
          <w:rFonts w:ascii="Arial" w:cs="Arial" w:eastAsia="Arial" w:hAnsi="Arial"/>
          <w:sz w:val="17"/>
          <w:szCs w:val="17"/>
          <w:color w:val="auto"/>
        </w:rPr>
        <w:t>Income taxes are accounted for under the asset and liability method.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records valuation allowances to reduce deferred income tax assets to the amount that is more likely than not to be realized. The Company determines whether it is more likely than not that a tax position will be sustained upon examination. If it is not more likely than not that a position will be sustained, no amount of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January 25, 2018, the Company had not been subject to U.S. federal income taxes as the Company was organized as a limited liability company. As such, the taxable income or loss was passed through to and included in the tax returns of the members. Since January 25, 2018, the Company’s income has since been subject to U.S. federal, state, local, and foreign income taxes and taxed at the prevailing corporate tax rates.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Company’s singular focus is on developing treatments through gene therapy and other means for patients with Duchenne. All of the Company’s tangible assets are held 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that result from transactions and economic events other than those with members. The Company’s only element of other comprehensive income (loss) in all periods presented was unrealized gains (losses) from available-for-sale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Basic net loss per share is computed by dividing the net loss by the weighted average number of shares of common stock and pre-funded warrants outstanding for the period. Diluted net loss is computed by adjusting net loss to reallocate undistributed earnings based on the potential impact of dilutive securities. Diluted net loss per share is computed by dividing the diluted net loss by the weighted average number of shares of common stock and pre-funded warrants outstanding for the period, including potential dilutive shares of common stock assuming the dilutive effect of common stock equivalents.</w:t>
      </w:r>
    </w:p>
    <w:p>
      <w:pPr>
        <w:spacing w:after="0" w:line="1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preferred stock could entitle the holders of such shares to participate in dividends and not require the holders of such shares to participate in losses of the Company. Accordingly, in periods in which the Company reports a net loss, such losses are not allocated to such participating securities. In periods in which the Company reports a net loss, diluted net loss per share is the same as basic net loss per share, since dilutive shares of common stock are not assumed to have been issued if their effect is anti-dilutive. As of the year ended December 31, 2021 and 2020, there were no preferred stock issued or outstanding with any contractual rights.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Funding from Charitable Organizations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has received funding from charitable organizations to perform research and development services to identify therapies for people with Duchenne. The amounts received are recognized as services are performed and research expenses are incurred. These are included in other income in the consolidated statements of operations as the arrangement between the Company and the charitable organizations are not part of the Company’s on-going, major or central operations. Any amount received in advance of services performed is recorded in other current liabilities in the consolidated balance sheets if the services are expected to be performed within the next twelve months.</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recognized other income of $0, $1 and $515 for the years ended December 31, 2021, 2020 and 2019, respectively, which is included in the consolidated statements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Loss contingency provisions are recorded if the potential loss from any claim, asserted or unasserted, or legal proceeding, is considered probable and the amount can be reasonably estimated, or a range of loss can be determined. These accruals represent the Company’s best estimate of probable loss. Disclosure also is provided when it is reasonably possible that a loss will be incurred or when it is reasonably possible that the amount of a loss will exceed the recorded provision.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may change its estimates. These changes in the estimates of the potential liabilities could have a material impact on the Company’s consolidated results of operations and financial position.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0" w:lineRule="exact"/>
        <w:rPr>
          <w:sz w:val="20"/>
          <w:szCs w:val="20"/>
          <w:color w:val="auto"/>
        </w:rPr>
      </w:pPr>
    </w:p>
    <w:p>
      <w:pPr>
        <w:spacing w:after="0" w:line="28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December 2019, the FASB issued Accounting Standards Update (“ASU”) No. 2019-12, </w:t>
      </w:r>
      <w:r>
        <w:rPr>
          <w:rFonts w:ascii="Arial" w:cs="Arial" w:eastAsia="Arial" w:hAnsi="Arial"/>
          <w:sz w:val="17"/>
          <w:szCs w:val="17"/>
          <w:i w:val="1"/>
          <w:iCs w:val="1"/>
          <w:color w:val="auto"/>
        </w:rPr>
        <w:t>Income Taxes (Topic 740): Simplifying the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Taxes</w:t>
      </w:r>
      <w:r>
        <w:rPr>
          <w:rFonts w:ascii="Arial" w:cs="Arial" w:eastAsia="Arial" w:hAnsi="Arial"/>
          <w:sz w:val="17"/>
          <w:szCs w:val="17"/>
          <w:color w:val="auto"/>
        </w:rPr>
        <w:t>, which simplifies the accounting for income taxes by removing certain exceptions to the general principles in ASC 740 and clarifies and</w:t>
      </w:r>
      <w:r>
        <w:rPr>
          <w:rFonts w:ascii="Arial" w:cs="Arial" w:eastAsia="Arial" w:hAnsi="Arial"/>
          <w:sz w:val="17"/>
          <w:szCs w:val="17"/>
          <w:i w:val="1"/>
          <w:iCs w:val="1"/>
          <w:color w:val="auto"/>
        </w:rPr>
        <w:t xml:space="preserve"> </w:t>
      </w:r>
      <w:r>
        <w:rPr>
          <w:rFonts w:ascii="Arial" w:cs="Arial" w:eastAsia="Arial" w:hAnsi="Arial"/>
          <w:sz w:val="17"/>
          <w:szCs w:val="17"/>
          <w:color w:val="auto"/>
        </w:rPr>
        <w:t>amends existing guidance to improve consistent application. The standard became effective for the Company beginning January 1, 2021. The amendments that are related to changes in ownership of foreign equity method investments or foreign subsidiaries are to be applied on a modified retrospective basis through a cumulative-effect adjustment to retained earnings as of the beginning of the fiscal year of adoption. The amendments that are related to franchise taxes that are partially based on income are to be applied on either a retrospective basis for all periods presented or a modified retrospective basis through a cumulative-effect adjustment to retained earnings as of the beginning of the fiscal year of adoption. All other amendments under this ASU are to be applied on a prospective basis. The Company adopted the guidance effective January 1, 2021. The adoption of this new standard did not have a material impact on the Company’s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33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August 2020, the FASB issued ASU No. 2020-06, Debt, Debt with Conversion and Other Options (Subtopic 470-20) and Derivatives and Hedging— Contracts in Entity’s Own Equity (Subtopic 815-40): Accounting for Convertible Instruments and Contracts in an Entity’s Own Equity, which, among other things, provides guidance on how to account for contracts on an entity’s own equity. This ASU simplifies the accounting for certain financial instruments with characteristics of liabilities and equity. Specifically, the ASU eliminated the need for the Company to assess whether a contract on the entity’s own equity (1) permits settlement in unregistered shares, (2) whether counterparty rights rank higher than shareholder’s rights, and (3) whether collateral is required. In addition, the ASU requires incremental disclosure related to contracts on the entity’s own equity and clarifies the treatment of certain financial instruments accounted for under this ASU on earnings per share. The ASU also simplifies the accounting for convertible instruments by removing the beneficial conversion feature and cash conversion feature separation models. This ASU may be applied on a full retrospective or modified retrospective basis. This ASU is effective for smaller reporting companies for fiscal years beginning after December 15, 2023, with early adoption permitted. The Company does not expect the adoption to materially impact its financial position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Related Party</w:t>
      </w:r>
    </w:p>
    <w:p>
      <w:pPr>
        <w:spacing w:after="0" w:line="16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October 2020, the Company entered into a collaboration and license agreement (the “Collaboration Agreement”) with Ultragenyx Pharmaceutical Inc. (“Ultragenyx”). In connection with the Collaboration Agreement, Ultragenyx also purchased 7,825,797 shares of the Company’s common stock, which resulted in Ultragenyx becoming a related party of the Company.</w:t>
      </w:r>
    </w:p>
    <w:p>
      <w:pPr>
        <w:spacing w:after="0" w:line="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November 2020, the Company entered into a consulting agreement with Danforth Advisors, LLC (“Danforth”), an affiliate of Stephen DiPalma, our interim chief financial officer. Pursuant to the consulting agreement, Danforth provides the Company with the chief financial officer services of Mr. DiPalma, and other services, including financial planning, offering support and accounting services, in exchange for fees payable to Danforth based on hourly rates. The Company has paid Danforth approximately $700 as of December 31, 2021. In accordance with the consulting agreement, in November 2020, the Company issued to Danforth a warrant to purchase 30,000 shares of its common stock at an exercise price per share of $3.29. The consulting agreement may be terminated by either party without cause upon 60 days’ prior written notice to the other party and with cause upon 30 days’ prior written notice to the other party.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Ultragenyx Collaboration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October 22, 2020 (the “Effective Date”), the Company entered into the Collaboration Agreement with Ultragenyx to focus on the development and commercialization of new gene therapies for Duchenne Muscular Dystrophy. The Company granted Ultragenyx an exclusive worldwide license for any pharmaceutical product that expresses the Company’s proprietary microdystrophin construct from AAV8 and variants thereof in clade E for the treatment of Duchenne Muscular Dystrophy and other diseases resulting from the lack of functional dystrophin (the “Licensed Products”). The Company retains exclusive rights to all other uses of its microdystrophin proteins, including under its existing SGT-001 program.</w:t>
      </w:r>
    </w:p>
    <w:p>
      <w:pPr>
        <w:spacing w:after="0" w:line="68"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Company is conducting certain research and development activities with respect to the development of the Licensed Products. Ultragenyx will reimburse the Company for personnel and out-of-pocket costs that the Company incurs in conducting such development activities.</w:t>
      </w:r>
    </w:p>
    <w:p>
      <w:pPr>
        <w:spacing w:after="0" w:line="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Ultragenyx granted to the Company an exclusive Development Option or Income Share Option (each as defined and described below) exercisable in the Company’s sole discretion one time per Licensed Product. After the date of first achievement of clinical proof of concept, Ultragenyx will provide to the Company a data package with respect to the relevant Licensed Product. The Company will use the data package to determine whether to exercise the corresponding Development Option or Income Share Option with respect to such Licensed Product.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each Licensed Product for which the Company has not exercised the Development Option or Income Share Option the Company will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entitled to milestone payments of up to $25,000 in the aggregate for each such Licensed Product that achieves specified development milestones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$65,000 in the aggregate for each such Licensed Product that achieves specified regulatory milestones. With respect to each Licensed Product for which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has not exercised the Income Share Option, the Company will also be entitled to milestone payments of up to $165,000 in the aggregate for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Licensed Product that archives specified annual worldwide net sales milestones. For Licensed Products for which the Company has not exercised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Option or Income Share Option, Ultragenyx will pay the Company tiered royalties on a Licensed Product-by-Licensed Product and country-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by-country basis ranging from a low double digit percentage to a mid-teens percentage based on Ultragenyx’s annual worldwide net sales of such Licensed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w:t>
      </w:r>
    </w:p>
    <w:p>
      <w:pPr>
        <w:spacing w:after="0" w:line="103"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For each Licensed Product for which Ultragenyx decides to initiate a registrational trial in humans, the Company will have the option to fund 30% of the development costs in the United States and European Union for such Licensed Product and forgo the development and regulatory milestones (the “Development Option”) and receive tiered royalties on a Licensed Product-by-Licensed Product and country-by-country basis ranging from a mid-teens percentage to a low twenties percentage based on Ultragenyx’s annual worldwide net sales of each such Licensed Product.</w:t>
      </w:r>
    </w:p>
    <w:p>
      <w:pPr>
        <w:spacing w:after="0" w:line="4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each Licensed Product for which the Company exercises the Development Option, the Company may also elect to share 30% of the net income and net losses on net sales of such Licensed Product in the United States and European Union (the “Income Share Option”). For Licensed Products for which the Company has exercised the Income Share Option, the Company will not be entitled to milestone payments and Ultragenyx will pay the Company tiered royalties on a Licensed Product-by-Licensed Product and country-by-country basis ranging from a mid-teens percentage to a low twenties percentage based on Ultragenyx’s annual net sales of each such Licensed Product outside of the United States and European Union.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0" w:name="page161"/>
    <w:bookmarkEnd w:id="160"/>
    <w:p>
      <w:pPr>
        <w:spacing w:after="0" w:line="275" w:lineRule="auto"/>
        <w:rPr>
          <w:sz w:val="20"/>
          <w:szCs w:val="20"/>
          <w:color w:val="auto"/>
        </w:rPr>
      </w:pPr>
      <w:r>
        <w:rPr>
          <w:rFonts w:ascii="Arial" w:cs="Arial" w:eastAsia="Arial" w:hAnsi="Arial"/>
          <w:sz w:val="17"/>
          <w:szCs w:val="17"/>
          <w:color w:val="auto"/>
        </w:rPr>
        <w:t>The Company may only exercise an Income Share Option if neither the Company nor any of its affiliates is then developing or commercializing a product that is competitive with the Licensed Product that is subject to such option. If the Company or any of its affiliates subsequently develops or commercializes a product that is competitive with a Licensed Product for which the Company has exercised an Income Share Option, then the Company and Ultragenyx will no longer share the net income and net losses on net sales of such Licensed Product and such Licensed Product will be treated as if the Company had exercised the Development Option with respect to such Licensed Product.</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the Company’s exercise of the Development Option or Income Share Option with respect to a Licensed Product, the Company also has the right to cease participation in the sharing of development costs and sharing in net income and net losses on net sales, as applicable, for such Licensed Product by written notice to Ultragenyx. Upon such notice, the Company will no longer share in the development costs and net income and net losses on net sales of such Licensed Product, as applicable, and will be eligible to receive payments on milestones achieved after the opt-out for such Licensed Product and royalties at the rates applicable to Licensed Products for which the Company has not exercised the Development Option or Income Share Option, as described above.</w:t>
      </w:r>
    </w:p>
    <w:p>
      <w:pPr>
        <w:spacing w:after="0" w:line="8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Collaboration Agreement continues on a country-by-country and Licensed Product-by-Licensed Product basis until the expiration of all payment obligations under the agreement. With respect to any Licensed Product for which the Company has exercised an Income Share Option, the Collaboration Agreement continues until there are no longer sales of such Licensed Product in the United States or Europe. Either party has the right to terminate the agreement if the other party has materially breached in the performance of its obligations under the agreement and such breach has not been cured within the applicable cure period. Ultragenyx may also terminate the Collaboration Agreement in its sole discretion upon 90 days’ prior written notice to the Company.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connection with the execution of the Collaboration Agreement, Ultragenyx and the Company also entered into a stock purchase agreement (the “Stock Purchase Agreement”) on October 22, 2020 (the “Closing Date”), pursuant to which the Company issued and sold 7,825,797 shares of its common stock (the “Shares”) to Ultragenyx at a price of $5.1113 per share for an aggregate purchase price of approximately $40,000. The Stock Purchase Agreement contains customary representations, warranties and covenants of each of the parties thereto. Following the sale of the Shares, Ultragenyx beneficially owned approximately 14.45% of the Company’s outstanding common stock. As of December 31, 2021, Ultragenyx beneficially owned approximately 7.1% of the Company’s outstanding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Agreement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consummation of the transactions contemplated by the Stock Purchase Agreement, the Company and Ultragenyx entered into an Investor Agreement (the “Investor Agreement”) on the Effective Date. Pursuant to the terms of the Investor Agreement, Ultragenyx agreed that the Shares will be subject to a lock-up restriction, such that Ultragenyx will not, and will also cause its affiliates not to, without the prior approval of the Company and with certain exceptions, sell, transfer or otherwise dispose of the Shares until the earliest to occur of (i) 18 months after the Effective Date, (ii) the termination of the Collaboration Agreement or (iii) other specified events.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Investor Agreement, Ultragenyx agreed that, so long as it holds at least 10% of the Company’s outstanding common stock, the Shares will be subject to a voting agreement, such that until the earliest to occur of certain specified events, and subject to specified conditions, Ultragenyx will, and will cause its permitted transferees to, vote in accordance with the recommendation of the Company’s Board of Directors with respect to specified matters.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 concluded that the Collaboration Agreement and the Stock Purchase Agreement should be combined and treated as a single arrangement for accounting purposes as the agreements were entered into contemporaneously and in contemplation of one another.</w:t>
      </w:r>
    </w:p>
    <w:p>
      <w:pPr>
        <w:spacing w:after="0" w:line="18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Ultragenyx, is a customer. The Company identified the following promises in the Collaboration Agreement that were evaluated under the scope of ASC 606: (1) an exclusive worldwide license to the Licensed Products; (2) an obligation to perform research and development services; and (iii) an obligation to participate in a joint steering committee. The Company assessed the promised goods and services to determine if they are distinct. Based on this assessment, the Company determined that Ultragenyx cannot benefit from the promised goods and services separately from the others as they are highly interrelated and therefore not distinct. Due to the early stage of the Licensed Products, the research and development services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61" w:name="page162"/>
    <w:bookmarkEnd w:id="161"/>
    <w:p>
      <w:pPr>
        <w:ind w:right="80"/>
        <w:spacing w:after="0" w:line="259" w:lineRule="auto"/>
        <w:rPr>
          <w:sz w:val="20"/>
          <w:szCs w:val="20"/>
          <w:color w:val="auto"/>
        </w:rPr>
      </w:pPr>
      <w:r>
        <w:rPr>
          <w:rFonts w:ascii="Arial" w:cs="Arial" w:eastAsia="Arial" w:hAnsi="Arial"/>
          <w:sz w:val="18"/>
          <w:szCs w:val="18"/>
          <w:color w:val="auto"/>
        </w:rPr>
        <w:t>could not be performed by another party. The Company’s skill-set, knowledge and expertise are required to conduct the research and development services and the research and development services are expected to involve significant further development of the Licensed Products. Accordingly, the promised goods and services represent one combined performance obligation and the entire transaction price will be allocated to that single combined performance obligation.</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determined the transaction price under ASC 606 at the inception of the Collaboration Agreement to be $22,513, which represents the excess proceeds from the equity investment under the Stock Purchase Agreement, when measured at fair value after taking into consideration a discount for lack of marketability, plus the estimated reimbursement of research and development costs, which represents variable consideration. The Company included the estimated reimbursement of research and development costs in the transaction price at the inception of the arrangement because the Company is required to perform research and development services and the contract requires Ultragenyx to reimburse the Company for costs incurred. Also, since the related revenue would be recognized only as the costs are incurred, the Company determined it is not probable that a significant reversal of cumulative revenue would occur. The Company evaluated how much variable consideration related to development and regulatory milestones, and the Company’s potential exercise of its Development Option or Income Share Option per Licensed Product, to include in the transaction price using the most likely amount approach and concluded that no amount should be included in the transaction price due to the high degree of uncertainty and risk associated with these potential payments. The Company also determined that royalties and sales milestones relate solely to the license of intellectual property and are therefore excluded from the transaction price under the sales- or usage-based royalty exception of ASC 606. Revenue related to these royalties and sales milestones will only be recognized when the associated sales occur, and relevant thresholds are met.</w:t>
      </w:r>
    </w:p>
    <w:p>
      <w:pPr>
        <w:spacing w:after="0" w:line="16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Company determined that revenue under the Collaboration Agreement should be recognized over time as Ultragenyx simultaneously receives the benefit from the Company as the Company performs under the single performance obligation over time. The Company will recognize revenue for the single performance obligation using a cost-to-cost input method as the Company has concluded it best depicts the research and development and joint steering committee participation services performed. Under this method, the transaction price is recognized over the contract’s entire performance period, using costs incurred relative to total estimated costs to determine the extent of progress towards completion.</w:t>
      </w:r>
    </w:p>
    <w:p>
      <w:pPr>
        <w:spacing w:after="0" w:line="17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Ultragenyx is a related party since Ultragenyx is one of the Company’s significant stockholders. $13,620 and $0 has been recognized as related party revenue as the Company has performed services under the Collaboration Agreement for the year ended December 31, 2021 and December 31, 2020, respectively. Further, the Company has made no payments to Ultragenyx during the years ended December 31, 2021 and 2020. There is $110 and $0 due from Ultragenyx as of December 31, 2021 and December 31, 2020, respectively. The amount received is deferred as a contract liability on the Company’s consolidated balance sheet as the performance obligation has not been fully satisfied as of December 31, 2021. The aggregate amount of the transaction price allocated to the Company’s unsatisfied performance obligation is recorded in related party deferred revenue at December 31, 2021.</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balances of the Company’s related party collaboration receivables and contract liabilities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55"/>
              <w:spacing w:after="0"/>
              <w:rPr>
                <w:sz w:val="20"/>
                <w:szCs w:val="20"/>
                <w:color w:val="auto"/>
              </w:rPr>
            </w:pPr>
            <w:r>
              <w:rPr>
                <w:rFonts w:ascii="Arial" w:cs="Arial" w:eastAsia="Arial" w:hAnsi="Arial"/>
                <w:sz w:val="14"/>
                <w:szCs w:val="14"/>
                <w:b w:val="1"/>
                <w:bCs w:val="1"/>
                <w:color w:val="auto"/>
                <w:w w:val="93"/>
              </w:rPr>
              <w:t>Balance as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5"/>
              </w:rPr>
              <w:t>Additions</w:t>
            </w:r>
          </w:p>
        </w:tc>
        <w:tc>
          <w:tcPr>
            <w:tcW w:w="260" w:type="dxa"/>
            <w:vAlign w:val="bottom"/>
          </w:tcPr>
          <w:p>
            <w:pPr>
              <w:spacing w:after="0"/>
              <w:rPr>
                <w:sz w:val="14"/>
                <w:szCs w:val="14"/>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4"/>
              </w:rPr>
              <w:t>Deductions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Balance 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December 31,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Related party collaboration receivable</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(13,620)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F-18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4. Fair Value of Financial Assets and Liabilities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 the level of the fair value hierarchy utilized to determine such fair values: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4860" w:type="dxa"/>
            <w:vAlign w:val="bottom"/>
            <w:gridSpan w:val="13"/>
          </w:tcPr>
          <w:p>
            <w:pPr>
              <w:ind w:left="400"/>
              <w:spacing w:after="0"/>
              <w:rPr>
                <w:sz w:val="20"/>
                <w:szCs w:val="20"/>
                <w:color w:val="auto"/>
              </w:rPr>
            </w:pPr>
            <w:r>
              <w:rPr>
                <w:rFonts w:ascii="Arial" w:cs="Arial" w:eastAsia="Arial" w:hAnsi="Arial"/>
                <w:sz w:val="18"/>
                <w:szCs w:val="18"/>
                <w:b w:val="1"/>
                <w:bCs w:val="1"/>
                <w:color w:val="auto"/>
              </w:rPr>
              <w:t>Fair Value Measurements as of December 31, 2021:</w:t>
            </w:r>
          </w:p>
        </w:tc>
      </w:tr>
      <w:tr>
        <w:trPr>
          <w:trHeight w:val="223"/>
        </w:trPr>
        <w:tc>
          <w:tcPr>
            <w:tcW w:w="524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860" w:type="dxa"/>
            <w:vAlign w:val="bottom"/>
          </w:tcPr>
          <w:p>
            <w:pPr>
              <w:jc w:val="right"/>
              <w:ind w:right="698"/>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75,224</w:t>
            </w:r>
          </w:p>
        </w:tc>
        <w:tc>
          <w:tcPr>
            <w:tcW w:w="10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75,224</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Available-for-sale securities</w:t>
            </w:r>
          </w:p>
        </w:tc>
        <w:tc>
          <w:tcPr>
            <w:tcW w:w="8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88,643</w:t>
            </w:r>
          </w:p>
        </w:tc>
        <w:tc>
          <w:tcPr>
            <w:tcW w:w="20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88,643</w:t>
            </w:r>
          </w:p>
        </w:tc>
        <w:tc>
          <w:tcPr>
            <w:tcW w:w="12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19"/>
                <w:szCs w:val="19"/>
                <w:color w:val="auto"/>
              </w:rPr>
            </w:pPr>
          </w:p>
        </w:tc>
        <w:tc>
          <w:tcPr>
            <w:tcW w:w="860" w:type="dxa"/>
            <w:vAlign w:val="bottom"/>
            <w:tcBorders>
              <w:bottom w:val="single" w:sz="8" w:color="auto"/>
            </w:tcBorders>
          </w:tcPr>
          <w:p>
            <w:pPr>
              <w:jc w:val="right"/>
              <w:ind w:right="698"/>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163,867</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163,867</w:t>
            </w:r>
          </w:p>
        </w:tc>
        <w:tc>
          <w:tcPr>
            <w:tcW w:w="120" w:type="dxa"/>
            <w:vAlign w:val="bottom"/>
          </w:tcPr>
          <w:p>
            <w:pPr>
              <w:spacing w:after="0"/>
              <w:rPr>
                <w:sz w:val="19"/>
                <w:szCs w:val="19"/>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4860" w:type="dxa"/>
            <w:vAlign w:val="bottom"/>
            <w:gridSpan w:val="12"/>
          </w:tcPr>
          <w:p>
            <w:pPr>
              <w:ind w:left="400"/>
              <w:spacing w:after="0"/>
              <w:rPr>
                <w:sz w:val="20"/>
                <w:szCs w:val="20"/>
                <w:color w:val="auto"/>
              </w:rPr>
            </w:pPr>
            <w:r>
              <w:rPr>
                <w:rFonts w:ascii="Arial" w:cs="Arial" w:eastAsia="Arial" w:hAnsi="Arial"/>
                <w:sz w:val="18"/>
                <w:szCs w:val="18"/>
                <w:b w:val="1"/>
                <w:bCs w:val="1"/>
                <w:color w:val="auto"/>
              </w:rPr>
              <w:t>Fair Value Measurements as of December 31, 2020:</w:t>
            </w:r>
          </w:p>
        </w:tc>
      </w:tr>
      <w:tr>
        <w:trPr>
          <w:trHeight w:val="223"/>
        </w:trPr>
        <w:tc>
          <w:tcPr>
            <w:tcW w:w="524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860" w:type="dxa"/>
            <w:vAlign w:val="bottom"/>
          </w:tcPr>
          <w:p>
            <w:pPr>
              <w:jc w:val="right"/>
              <w:ind w:right="698"/>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84,462</w:t>
            </w:r>
          </w:p>
        </w:tc>
        <w:tc>
          <w:tcPr>
            <w:tcW w:w="10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84,462</w:t>
            </w:r>
          </w:p>
        </w:tc>
        <w:tc>
          <w:tcPr>
            <w:tcW w:w="120" w:type="dxa"/>
            <w:vAlign w:val="bottom"/>
          </w:tcPr>
          <w:p>
            <w:pPr>
              <w:spacing w:after="0"/>
              <w:rPr>
                <w:sz w:val="19"/>
                <w:szCs w:val="19"/>
                <w:color w:val="auto"/>
              </w:rPr>
            </w:pPr>
          </w:p>
        </w:tc>
      </w:tr>
      <w:tr>
        <w:trPr>
          <w:trHeight w:val="223"/>
        </w:trPr>
        <w:tc>
          <w:tcPr>
            <w:tcW w:w="5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9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84,462</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84,462</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of December 31, 2021 the fair values of the Company’s available-for-sale securities were determined using level two inputs. During the year ended December 31, 2021, there were no transfers between Level 1, Level 2 and Level 3. As of December 31, 2020 there were no available-for-sale securities.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the Company’s cash, restricted cash, accounts payable, accrued expenses and other current liabilities approximate their carrying value due to their short-term maturities.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fair value of available-for-sale debt securities by type of security was as follows:</w:t>
      </w:r>
    </w:p>
    <w:p>
      <w:pPr>
        <w:spacing w:after="0" w:line="4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b w:val="1"/>
                <w:bCs w:val="1"/>
                <w:color w:val="auto"/>
                <w:w w:val="96"/>
              </w:rPr>
              <w:t>December 31, 2021</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Amortized</w:t>
            </w:r>
          </w:p>
        </w:tc>
        <w:tc>
          <w:tcPr>
            <w:tcW w:w="1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Fair</w:t>
            </w:r>
          </w:p>
        </w:tc>
      </w:tr>
      <w:tr>
        <w:trPr>
          <w:trHeight w:val="234"/>
        </w:trPr>
        <w:tc>
          <w:tcPr>
            <w:tcW w:w="3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Gain</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w:t>
            </w:r>
          </w:p>
        </w:tc>
        <w:tc>
          <w:tcPr>
            <w:tcW w:w="1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Treasury bill</w:t>
            </w:r>
          </w:p>
        </w:tc>
        <w:tc>
          <w:tcPr>
            <w:tcW w:w="14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9"/>
                <w:szCs w:val="19"/>
                <w:color w:val="auto"/>
              </w:rPr>
            </w:pPr>
          </w:p>
        </w:tc>
      </w:tr>
      <w:tr>
        <w:trPr>
          <w:trHeight w:val="229"/>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bond securities</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83,844</w:t>
            </w:r>
          </w:p>
        </w:tc>
        <w:tc>
          <w:tcPr>
            <w:tcW w:w="100" w:type="dxa"/>
            <w:vAlign w:val="bottom"/>
            <w:shd w:val="clear" w:color="auto" w:fill="CFF0FC"/>
          </w:tcPr>
          <w:p>
            <w:pPr>
              <w:spacing w:after="0"/>
              <w:rPr>
                <w:sz w:val="19"/>
                <w:szCs w:val="19"/>
                <w:color w:val="auto"/>
              </w:rPr>
            </w:pPr>
          </w:p>
        </w:tc>
      </w:tr>
      <w:tr>
        <w:trPr>
          <w:trHeight w:val="230"/>
        </w:trPr>
        <w:tc>
          <w:tcPr>
            <w:tcW w:w="3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Commercial paper</w:t>
            </w:r>
          </w:p>
        </w:tc>
        <w:tc>
          <w:tcPr>
            <w:tcW w:w="1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FF0FC"/>
            </w:tcBorders>
          </w:tcPr>
          <w:p>
            <w:pPr>
              <w:spacing w:after="0"/>
              <w:rPr>
                <w:sz w:val="19"/>
                <w:szCs w:val="19"/>
                <w:color w:val="auto"/>
              </w:rPr>
            </w:pPr>
          </w:p>
        </w:tc>
      </w:tr>
      <w:tr>
        <w:trPr>
          <w:trHeight w:val="223"/>
        </w:trPr>
        <w:tc>
          <w:tcPr>
            <w:tcW w:w="33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88,688</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88,643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there were no available-for-sale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and amortized cost of the Company’s available-for-sale securities by contractual maturity are summarized as follows: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5"/>
          </w:tcPr>
          <w:p>
            <w:pPr>
              <w:ind w:left="620"/>
              <w:spacing w:after="0"/>
              <w:rPr>
                <w:sz w:val="20"/>
                <w:szCs w:val="20"/>
                <w:color w:val="auto"/>
              </w:rPr>
            </w:pPr>
            <w:r>
              <w:rPr>
                <w:rFonts w:ascii="Arial" w:cs="Arial" w:eastAsia="Arial" w:hAnsi="Arial"/>
                <w:sz w:val="18"/>
                <w:szCs w:val="18"/>
                <w:b w:val="1"/>
                <w:bCs w:val="1"/>
                <w:color w:val="auto"/>
              </w:rPr>
              <w:t>December 31, 2021</w:t>
            </w:r>
          </w:p>
        </w:tc>
      </w:tr>
      <w:tr>
        <w:trPr>
          <w:trHeight w:val="205"/>
        </w:trPr>
        <w:tc>
          <w:tcPr>
            <w:tcW w:w="69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center"/>
              <w:ind w:right="460"/>
              <w:spacing w:after="0" w:line="205" w:lineRule="exact"/>
              <w:rPr>
                <w:sz w:val="20"/>
                <w:szCs w:val="20"/>
                <w:color w:val="auto"/>
              </w:rPr>
            </w:pPr>
            <w:r>
              <w:rPr>
                <w:rFonts w:ascii="Arial" w:cs="Arial" w:eastAsia="Arial" w:hAnsi="Arial"/>
                <w:sz w:val="18"/>
                <w:szCs w:val="18"/>
                <w:b w:val="1"/>
                <w:bCs w:val="1"/>
                <w:color w:val="auto"/>
                <w:w w:val="93"/>
              </w:rPr>
              <w:t>Amortized</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7"/>
                <w:szCs w:val="17"/>
                <w:color w:val="auto"/>
              </w:rPr>
            </w:pPr>
          </w:p>
        </w:tc>
      </w:tr>
      <w:tr>
        <w:trPr>
          <w:trHeight w:val="234"/>
        </w:trPr>
        <w:tc>
          <w:tcPr>
            <w:tcW w:w="6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28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6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Due in one year or less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88,688</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20" w:type="dxa"/>
            <w:vAlign w:val="bottom"/>
          </w:tcPr>
          <w:p>
            <w:pPr>
              <w:ind w:left="240"/>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88,688</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88,643</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average maturity of the Company’s available-for-sale securities as of December 31, 2021 was approximately 0.7 years.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expenses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assets</w:t>
            </w: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8,708</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14,723</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w:t>
            </w: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9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Laboratory equipment</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10,719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Computer equipment</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6,462</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$2,964, $3,922 and $2,824 for the years ended December 31, 2021, 2020 and 2019,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6"/>
          </w:tcPr>
          <w:p>
            <w:pPr>
              <w:ind w:left="4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394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ind w:left="460"/>
              <w:spacing w:after="0"/>
              <w:rPr>
                <w:sz w:val="20"/>
                <w:szCs w:val="20"/>
                <w:color w:val="auto"/>
              </w:rPr>
            </w:pPr>
            <w:r>
              <w:rPr>
                <w:rFonts w:ascii="Arial" w:cs="Arial" w:eastAsia="Arial" w:hAnsi="Arial"/>
                <w:sz w:val="18"/>
                <w:szCs w:val="18"/>
                <w:color w:val="auto"/>
                <w:w w:val="88"/>
              </w:rPr>
              <w:t>1,507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80" w:type="dxa"/>
            <w:vAlign w:val="bottom"/>
            <w:shd w:val="clear" w:color="auto" w:fill="CFF0FC"/>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Accrued compensation</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ind w:left="460"/>
              <w:spacing w:after="0"/>
              <w:rPr>
                <w:sz w:val="20"/>
                <w:szCs w:val="20"/>
                <w:color w:val="auto"/>
              </w:rPr>
            </w:pPr>
            <w:r>
              <w:rPr>
                <w:rFonts w:ascii="Arial" w:cs="Arial" w:eastAsia="Arial" w:hAnsi="Arial"/>
                <w:sz w:val="18"/>
                <w:szCs w:val="18"/>
                <w:color w:val="auto"/>
                <w:w w:val="88"/>
              </w:rPr>
              <w:t>3,084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3,834</w:t>
            </w:r>
          </w:p>
        </w:tc>
        <w:tc>
          <w:tcPr>
            <w:tcW w:w="80" w:type="dxa"/>
            <w:vAlign w:val="bottom"/>
          </w:tcPr>
          <w:p>
            <w:pPr>
              <w:spacing w:after="0"/>
              <w:rPr>
                <w:sz w:val="19"/>
                <w:szCs w:val="19"/>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14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88"/>
              </w:rPr>
              <w:t>4,937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2,715</w:t>
            </w:r>
          </w:p>
        </w:tc>
        <w:tc>
          <w:tcPr>
            <w:tcW w:w="80" w:type="dxa"/>
            <w:vAlign w:val="bottom"/>
            <w:shd w:val="clear" w:color="auto" w:fill="CFF0FC"/>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9,528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closing of the Company’s initial public offering, the Board of Directors and stockholders approved the 2018 Omnibus Incentive Plan (the “2018 Plan”), which provides for the reservation of 5,001,000 shares of common stock for equity awards. On June 16, 2020, the Company’s stockholders approved the 2020 Equity Incentive Plan (“2020 Plan”) which consists of (i) 3,000,000 shares of common stock and (ii) additional shares of common stock (up to 4,879,025) as is equal to (i) the number of shares reserved under the 2018 Plan that remain available for grant under the 2018 Plan as of immediately prior to the date the 2020 Plan was approved by the Company’s stockholders and (ii) the number of shares subject to awards granted under the 2018 Plan which awards expire, terminate or are otherwise surrendered, cancelled, forfeited or repurchased by the Company at their original issuance price pursuant to a contractual repurchase right.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64" w:name="page165"/>
    <w:bookmarkEnd w:id="164"/>
    <w:p>
      <w:pPr>
        <w:ind w:right="360"/>
        <w:spacing w:after="0" w:line="277" w:lineRule="auto"/>
        <w:rPr>
          <w:sz w:val="20"/>
          <w:szCs w:val="20"/>
          <w:color w:val="auto"/>
        </w:rPr>
      </w:pPr>
      <w:r>
        <w:rPr>
          <w:rFonts w:ascii="Arial" w:cs="Arial" w:eastAsia="Arial" w:hAnsi="Arial"/>
          <w:sz w:val="18"/>
          <w:szCs w:val="18"/>
          <w:color w:val="auto"/>
        </w:rPr>
        <w:t>As of the effective date of the 2020 Plan, no further awards will be made under the 2018 Plan. Any options or awards outstanding under the 2018 Plan remain outstanding and effective and are governed by their existing terms.</w:t>
      </w:r>
    </w:p>
    <w:p>
      <w:pPr>
        <w:spacing w:after="0" w:line="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On June 16, 2021, the Company’s stockholders approved an amendment to the 2020 Plan to reserve an additional 7,000,000 shares of common stock for issuance under the plan. At December 31, 2021, 8,557,152 shares remained available for future issuance under the 2020 Plan. Under the 2020 Plan, stock options may not be granted at less than fair value on the date of grant.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2021 Employee Stock Purchase Plan (the “2021 ESPP”) was adopted by the Board of Directors on April 14, 2021, approved by the stockholders on June 16, 2021, and became effective on June 16, 2021. The number of shares of the Company’s common stock reserved for issuance under the 2021 ESPP is 1,102,885 shares. At December 31, 2021, 1,058,204 shares remained available for future issuance under the 2021 ESPP.</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2021:</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4"/>
              </w:rPr>
              <w:t>Average</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Life (in</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3,117,775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3,708,345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(11,625)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Forfeitures</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(801,859)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14.85</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6,012,636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9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Vested and expected to vest as of December 31, 2021</w:t>
            </w: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FF0FC"/>
            </w:tcBorders>
            <w:vMerge w:val="continue"/>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6,012,636</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960" w:type="dxa"/>
            <w:vAlign w:val="bottom"/>
            <w:tcBorders>
              <w:bottom w:val="single" w:sz="8" w:color="CFF0FC"/>
            </w:tcBorders>
            <w:gridSpan w:val="2"/>
            <w:vMerge w:val="continue"/>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December 31, 2021</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1,939,881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13.50</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 xml:space="preserve">At December 31, 2021, the Company had an aggregate of $15,606 of unrecognized equity-based compensation cost related to stock options outstanding which is expected to be recognized over a weighted average period of 2.59 years. </w:t>
      </w:r>
      <w:r>
        <w:rPr>
          <w:rFonts w:ascii="Arial" w:cs="Arial" w:eastAsia="Arial" w:hAnsi="Arial"/>
          <w:sz w:val="18"/>
          <w:szCs w:val="18"/>
          <w:color w:val="212529"/>
        </w:rPr>
        <w:t>The intrinsic value of stock options outstanding as of December 31, 2021</w:t>
      </w:r>
      <w:r>
        <w:rPr>
          <w:rFonts w:ascii="Arial" w:cs="Arial" w:eastAsia="Arial" w:hAnsi="Arial"/>
          <w:sz w:val="18"/>
          <w:szCs w:val="18"/>
          <w:color w:val="auto"/>
        </w:rPr>
        <w:t xml:space="preserve"> </w:t>
      </w:r>
      <w:r>
        <w:rPr>
          <w:rFonts w:ascii="Arial" w:cs="Arial" w:eastAsia="Arial" w:hAnsi="Arial"/>
          <w:sz w:val="18"/>
          <w:szCs w:val="18"/>
          <w:color w:val="212529"/>
        </w:rPr>
        <w:t>and 2020 was $0 and $910, respectively. The intrinsic value of stock options exercisable as of December 31, 2021 was $0. The intrinsic value of stock options exercised during the year ended December 31, 2021 was $41.</w:t>
      </w:r>
    </w:p>
    <w:p>
      <w:pPr>
        <w:spacing w:after="0" w:line="1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noted in the following table for the years ended December 31:</w:t>
      </w:r>
    </w:p>
    <w:p>
      <w:pPr>
        <w:sectPr>
          <w:pgSz w:w="11900" w:h="16838" w:orient="portrait"/>
          <w:cols w:equalWidth="0" w:num="1">
            <w:col w:w="11200"/>
          </w:cols>
          <w:pgMar w:left="320" w:top="2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Expected volatility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Expected dividends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Expected term (in years)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Risk-free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4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5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5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317"/>
        </w:trPr>
        <w:tc>
          <w:tcPr>
            <w:tcW w:w="1640" w:type="dxa"/>
            <w:vAlign w:val="bottom"/>
          </w:tcPr>
          <w:p>
            <w:pPr>
              <w:jc w:val="right"/>
              <w:spacing w:after="0"/>
              <w:rPr>
                <w:sz w:val="20"/>
                <w:szCs w:val="20"/>
                <w:color w:val="auto"/>
              </w:rPr>
            </w:pPr>
            <w:r>
              <w:rPr>
                <w:rFonts w:ascii="Arial" w:cs="Arial" w:eastAsia="Arial" w:hAnsi="Arial"/>
                <w:sz w:val="18"/>
                <w:szCs w:val="18"/>
                <w:color w:val="auto"/>
              </w:rPr>
              <w:t>115.5% - 123.9%</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21.3% - 119.5%</w:t>
            </w:r>
          </w:p>
        </w:tc>
        <w:tc>
          <w:tcPr>
            <w:tcW w:w="1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85.1% - 104.7%</w:t>
            </w:r>
          </w:p>
        </w:tc>
      </w:tr>
      <w:tr>
        <w:trPr>
          <w:trHeight w:val="229"/>
        </w:trPr>
        <w:tc>
          <w:tcPr>
            <w:tcW w:w="164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1640" w:type="dxa"/>
            <w:vAlign w:val="bottom"/>
          </w:tcPr>
          <w:p>
            <w:pPr>
              <w:jc w:val="right"/>
              <w:spacing w:after="0"/>
              <w:rPr>
                <w:sz w:val="20"/>
                <w:szCs w:val="20"/>
                <w:color w:val="auto"/>
              </w:rPr>
            </w:pPr>
            <w:r>
              <w:rPr>
                <w:rFonts w:ascii="Arial" w:cs="Arial" w:eastAsia="Arial" w:hAnsi="Arial"/>
                <w:sz w:val="18"/>
                <w:szCs w:val="18"/>
                <w:color w:val="auto"/>
              </w:rPr>
              <w:t>5.1 - 6.25</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4.50 - 10.00</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5.10 - 6.25</w:t>
            </w:r>
          </w:p>
        </w:tc>
      </w:tr>
      <w:tr>
        <w:trPr>
          <w:trHeight w:val="230"/>
        </w:trPr>
        <w:tc>
          <w:tcPr>
            <w:tcW w:w="1640" w:type="dxa"/>
            <w:vAlign w:val="bottom"/>
          </w:tcPr>
          <w:p>
            <w:pPr>
              <w:jc w:val="right"/>
              <w:spacing w:after="0"/>
              <w:rPr>
                <w:sz w:val="20"/>
                <w:szCs w:val="20"/>
                <w:color w:val="auto"/>
              </w:rPr>
            </w:pPr>
            <w:r>
              <w:rPr>
                <w:rFonts w:ascii="Arial" w:cs="Arial" w:eastAsia="Arial" w:hAnsi="Arial"/>
                <w:sz w:val="18"/>
                <w:szCs w:val="18"/>
                <w:color w:val="auto"/>
              </w:rPr>
              <w:t>0.4% - 1.4%</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0.6% - 3.4%</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 - 2.6%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-650875</wp:posOffset>
            </wp:positionV>
            <wp:extent cx="6831965" cy="214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6831965" cy="21463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-290830</wp:posOffset>
            </wp:positionV>
            <wp:extent cx="6831965"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683196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240"/>
          </w:cols>
          <w:pgMar w:left="320" w:top="233" w:right="37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weighted average fair value of options to purchase shares of common stock granted during the year ended </w:t>
      </w:r>
      <w:r>
        <w:rPr>
          <w:rFonts w:ascii="Arial" w:cs="Arial" w:eastAsia="Arial" w:hAnsi="Arial"/>
          <w:sz w:val="18"/>
          <w:szCs w:val="18"/>
          <w:color w:val="212529"/>
        </w:rPr>
        <w:t>December 31, 2021</w:t>
      </w:r>
      <w:r>
        <w:rPr>
          <w:rFonts w:ascii="Arial" w:cs="Arial" w:eastAsia="Arial" w:hAnsi="Arial"/>
          <w:sz w:val="18"/>
          <w:szCs w:val="18"/>
          <w:color w:val="auto"/>
        </w:rPr>
        <w:t xml:space="preserve"> and </w:t>
      </w:r>
      <w:r>
        <w:rPr>
          <w:rFonts w:ascii="Arial" w:cs="Arial" w:eastAsia="Arial" w:hAnsi="Arial"/>
          <w:sz w:val="18"/>
          <w:szCs w:val="18"/>
          <w:color w:val="212529"/>
        </w:rPr>
        <w:t>2020</w:t>
      </w:r>
      <w:r>
        <w:rPr>
          <w:rFonts w:ascii="Arial" w:cs="Arial" w:eastAsia="Arial" w:hAnsi="Arial"/>
          <w:sz w:val="18"/>
          <w:szCs w:val="18"/>
          <w:color w:val="auto"/>
        </w:rPr>
        <w:t xml:space="preserve"> was $5.05 and $2.69, respectively.</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2021 and 2020, the Board of Directors issued restricted stock units to employees. Restricted stock unit grants typically vest over one or two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Company’s restricted stock unit activity for the year ended </w:t>
      </w:r>
      <w:r>
        <w:rPr>
          <w:rFonts w:ascii="Arial" w:cs="Arial" w:eastAsia="Arial" w:hAnsi="Arial"/>
          <w:sz w:val="18"/>
          <w:szCs w:val="18"/>
          <w:color w:val="212529"/>
        </w:rPr>
        <w:t>December 31, 2021</w:t>
      </w:r>
      <w:r>
        <w:rPr>
          <w:rFonts w:ascii="Arial" w:cs="Arial" w:eastAsia="Arial" w:hAnsi="Arial"/>
          <w:sz w:val="18"/>
          <w:szCs w:val="18"/>
          <w:color w:val="auto"/>
        </w:rPr>
        <w:t>:</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4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918,395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220,750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(419,193)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40"/>
              <w:spacing w:after="0"/>
              <w:rPr>
                <w:sz w:val="20"/>
                <w:szCs w:val="20"/>
                <w:color w:val="auto"/>
              </w:rPr>
            </w:pPr>
            <w:r>
              <w:rPr>
                <w:rFonts w:ascii="Arial" w:cs="Arial" w:eastAsia="Arial" w:hAnsi="Arial"/>
                <w:sz w:val="18"/>
                <w:szCs w:val="18"/>
                <w:color w:val="auto"/>
              </w:rPr>
              <w:t>Forfeitures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(210,258)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509,694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Unvested as of December 31, 2021</w:t>
            </w: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509,694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 xml:space="preserve">At </w:t>
      </w:r>
      <w:r>
        <w:rPr>
          <w:rFonts w:ascii="Arial" w:cs="Arial" w:eastAsia="Arial" w:hAnsi="Arial"/>
          <w:sz w:val="16"/>
          <w:szCs w:val="16"/>
          <w:color w:val="212529"/>
        </w:rPr>
        <w:t>December 31, 2021</w:t>
      </w:r>
      <w:r>
        <w:rPr>
          <w:rFonts w:ascii="Arial" w:cs="Arial" w:eastAsia="Arial" w:hAnsi="Arial"/>
          <w:sz w:val="16"/>
          <w:szCs w:val="16"/>
          <w:color w:val="auto"/>
        </w:rPr>
        <w:t>, the Company had an aggregate of $607 of unrecognized equity-based compensation cost related to restricted stock units outstanding. The unrecognized expense for the restricted stock units is expected to be recognized over a weighted average period of 1.7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Common Stock</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connection with the Company’s Corporate Conversion on January 25, 2018, all restricted Series B and D common units were converted to restricted shares of common stock. The following table summarizes the Company’s unvested restricted shares of common stock activity for the year ended December 31, 2021:</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6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61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Units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09"/>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Common Units at</w:t>
            </w:r>
          </w:p>
        </w:tc>
        <w:tc>
          <w:tcPr>
            <w:tcW w:w="1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2020</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70,052</w:t>
            </w:r>
          </w:p>
        </w:tc>
        <w:tc>
          <w:tcPr>
            <w:tcW w:w="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FF0FC"/>
          </w:tcPr>
          <w:p>
            <w:pPr>
              <w:spacing w:after="0"/>
              <w:rPr>
                <w:sz w:val="20"/>
                <w:szCs w:val="20"/>
                <w:color w:val="auto"/>
              </w:rPr>
            </w:pPr>
          </w:p>
        </w:tc>
      </w:tr>
      <w:tr>
        <w:trPr>
          <w:trHeight w:val="230"/>
        </w:trPr>
        <w:tc>
          <w:tcPr>
            <w:tcW w:w="6180" w:type="dxa"/>
            <w:vAlign w:val="bottom"/>
          </w:tcPr>
          <w:p>
            <w:pPr>
              <w:ind w:left="240"/>
              <w:spacing w:after="0"/>
              <w:rPr>
                <w:sz w:val="20"/>
                <w:szCs w:val="20"/>
                <w:color w:val="auto"/>
              </w:rPr>
            </w:pPr>
            <w:r>
              <w:rPr>
                <w:rFonts w:ascii="Arial" w:cs="Arial" w:eastAsia="Arial" w:hAnsi="Arial"/>
                <w:sz w:val="18"/>
                <w:szCs w:val="18"/>
                <w:color w:val="auto"/>
              </w:rPr>
              <w:t>Releases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(40,840)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r>
      <w:tr>
        <w:trPr>
          <w:trHeight w:val="230"/>
        </w:trPr>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Forfeitures</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(29,212)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FF0FC"/>
          </w:tcPr>
          <w:p>
            <w:pPr>
              <w:spacing w:after="0"/>
              <w:rPr>
                <w:sz w:val="19"/>
                <w:szCs w:val="19"/>
                <w:color w:val="auto"/>
              </w:rPr>
            </w:pPr>
          </w:p>
        </w:tc>
      </w:tr>
      <w:tr>
        <w:trPr>
          <w:trHeight w:val="209"/>
        </w:trPr>
        <w:tc>
          <w:tcPr>
            <w:tcW w:w="6180" w:type="dxa"/>
            <w:vAlign w:val="bottom"/>
          </w:tcPr>
          <w:p>
            <w:pPr>
              <w:spacing w:after="0"/>
              <w:rPr>
                <w:sz w:val="20"/>
                <w:szCs w:val="20"/>
                <w:color w:val="auto"/>
              </w:rPr>
            </w:pPr>
            <w:r>
              <w:rPr>
                <w:rFonts w:ascii="Arial" w:cs="Arial" w:eastAsia="Arial" w:hAnsi="Arial"/>
                <w:sz w:val="18"/>
                <w:szCs w:val="18"/>
                <w:color w:val="auto"/>
              </w:rPr>
              <w:t>Unvested restricted Common Units at</w:t>
            </w: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8"/>
                <w:szCs w:val="18"/>
                <w:color w:val="auto"/>
              </w:rPr>
              <w:t>December 31, 2021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aggregate intrinsic value of restricted common units that vested during the years ended </w:t>
      </w:r>
      <w:r>
        <w:rPr>
          <w:rFonts w:ascii="Arial" w:cs="Arial" w:eastAsia="Arial" w:hAnsi="Arial"/>
          <w:sz w:val="18"/>
          <w:szCs w:val="18"/>
          <w:color w:val="212529"/>
        </w:rPr>
        <w:t>December 31, 2021</w:t>
      </w:r>
      <w:r>
        <w:rPr>
          <w:rFonts w:ascii="Arial" w:cs="Arial" w:eastAsia="Arial" w:hAnsi="Arial"/>
          <w:sz w:val="18"/>
          <w:szCs w:val="18"/>
          <w:color w:val="auto"/>
        </w:rPr>
        <w:t>, 2020, and 2019 were $199, $522, and $135,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At </w:t>
      </w:r>
      <w:r>
        <w:rPr>
          <w:rFonts w:ascii="Arial" w:cs="Arial" w:eastAsia="Arial" w:hAnsi="Arial"/>
          <w:sz w:val="16"/>
          <w:szCs w:val="16"/>
          <w:color w:val="212529"/>
        </w:rPr>
        <w:t>December 31, 2021</w:t>
      </w:r>
      <w:r>
        <w:rPr>
          <w:rFonts w:ascii="Arial" w:cs="Arial" w:eastAsia="Arial" w:hAnsi="Arial"/>
          <w:sz w:val="16"/>
          <w:szCs w:val="16"/>
          <w:color w:val="auto"/>
        </w:rPr>
        <w:t>, the Company had an aggregate of $0 of unrecognized equity-based compensation related restricted shares of common stock.</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Company recorded equity-based compensation expense in the following captions within its consolidated statements of operations for the years ended </w:t>
      </w:r>
      <w:r>
        <w:rPr>
          <w:rFonts w:ascii="Arial" w:cs="Arial" w:eastAsia="Arial" w:hAnsi="Arial"/>
          <w:sz w:val="18"/>
          <w:szCs w:val="18"/>
          <w:color w:val="212529"/>
        </w:rPr>
        <w:t>December 31, 2021</w:t>
      </w:r>
      <w:r>
        <w:rPr>
          <w:rFonts w:ascii="Arial" w:cs="Arial" w:eastAsia="Arial" w:hAnsi="Arial"/>
          <w:sz w:val="18"/>
          <w:szCs w:val="18"/>
          <w:color w:val="000000"/>
        </w:rPr>
        <w:t>, 2020, and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0"/>
        </w:trPr>
        <w:tc>
          <w:tcPr>
            <w:tcW w:w="1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43"/>
        </w:trPr>
        <w:tc>
          <w:tcPr>
            <w:tcW w:w="4620" w:type="dxa"/>
            <w:vAlign w:val="bottom"/>
            <w:gridSpan w:val="2"/>
          </w:tcPr>
          <w:p>
            <w:pPr>
              <w:spacing w:after="0"/>
              <w:rPr>
                <w:sz w:val="3"/>
                <w:szCs w:val="3"/>
                <w:color w:val="auto"/>
              </w:rPr>
            </w:pPr>
          </w:p>
        </w:tc>
        <w:tc>
          <w:tcPr>
            <w:tcW w:w="1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114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6,289</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5,822</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8,006</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w:t>
            </w:r>
          </w:p>
        </w:tc>
        <w:tc>
          <w:tcPr>
            <w:tcW w:w="1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13,373</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11,629</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750"/>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40" w:type="dxa"/>
            <w:vAlign w:val="bottom"/>
            <w:gridSpan w:val="2"/>
          </w:tcPr>
          <w:p>
            <w:pPr>
              <w:jc w:val="right"/>
              <w:ind w:right="787"/>
              <w:spacing w:after="0"/>
              <w:rPr>
                <w:sz w:val="20"/>
                <w:szCs w:val="20"/>
                <w:color w:val="auto"/>
              </w:rPr>
            </w:pPr>
            <w:r>
              <w:rPr>
                <w:rFonts w:ascii="Arial" w:cs="Arial" w:eastAsia="Arial" w:hAnsi="Arial"/>
                <w:sz w:val="18"/>
                <w:szCs w:val="18"/>
                <w:color w:val="auto"/>
              </w:rPr>
              <w:t>F-22</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10. Leases</w:t>
      </w:r>
    </w:p>
    <w:p>
      <w:pPr>
        <w:spacing w:after="0" w:line="13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January 2018, the Company executed a lease agreement for lab space in Cambridge, Massachusetts. The lease consists of approximately 9,500 square feet with an initial term of five years with the option to extend the term for one additional two year term. The future minimum rent commitment for the initial five-year term is approximately $1,900. The future minimum rent commitment for the lease term as of December 31, 2021 is approximately $1,090. In addition to rent, the lease requires the Company to pay additional amounts for taxes, insurance, maintenance and other operating expenses.</w:t>
      </w:r>
    </w:p>
    <w:p>
      <w:pPr>
        <w:spacing w:after="0" w:line="15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January 2018, the Company executed a lease agreement for office space in Cambridge, Massachusetts. The space serves as the Company’s corporate headquarters and consists of approximately 16,000 square feet. The initial term of the lease runs through February 2022 and was extended through May 2022. The future minimum rent commitment for the lease term as of December 31, 2021 is approximately $544. In addition to rent, the lease requires the Company to pay additional amounts for taxes, insurance, maintenance and other operating expenses.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November 2018, the Company entered into a 48-month capital lease for certain lab equipment to be used at its facility in Cambridge, Massachusetts. The future minimum lease commitment for the lease term as of December 31, 2021 is approximately $576.</w:t>
      </w:r>
    </w:p>
    <w:p>
      <w:pPr>
        <w:spacing w:after="0" w:line="170"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auto"/>
        </w:rPr>
        <w:t>In January 2019, the Company executed a lease agreement for additional office space in Cambridge, Massachusetts. The space serves as office space supporting the Company’s lab operations and consists of approximately 5,000 square feet. The term of the lease runs through October 2025. In June 2021, the Company determined that it no longer needed a floor of office space that it was renting and terminated its lease with another landlord. As a result of the termination, the Company wrote off $1,314 and $1,233 of the remaining lease liability and right-of-use asset, respectively, associated with the lease.</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June 2021, the Company entered into a lease with Hood Park LLC (“Landlord”), pursuant to which the Company will lease approximately 49,869 square feet of office, laboratory, research and development and manufacturing space located in Charlestown, Massachusetts (“Premises”). The Company intends to relocate its corporate headquarters to the Premises in May 2022. The term of the lease commences on the later of (i) the date the Landlord delivers the Premises to the Company or (ii) the earlier of (a) the date the Company’s work on the Premises is substantially completed, (b) the date the Company commences business operations in the Premises, or (c) the one hundred twentieth (120th) day following the Landlord’s satisfaction of item (i) above. The initial term of the lease will be for a ten-year period commencing on the lease commencement date, unless earlier terminated.</w:t>
      </w:r>
    </w:p>
    <w:p>
      <w:pPr>
        <w:spacing w:after="0" w:line="19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lease provides the Company with an option to extend the lease for an additional five-year term. The Company and the Landlord are each obligated to undertake certain improvements prior to the commencement of the lease, and significant improvements were still in progress as of December 31, 2021. The lease will commence when the construction of the lessor assets is substantially complete, which is expected to be in May 2022. The monthly lease payment is approximately $305 with annual escalation of approximately 3%. The lease includes a $10,223 construction allowance.</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was required to post a customary letter of credit in the amount of $1,833, subject to decrease on a set schedule, as a security deposit pursuant to the lease. For the year ended December 31, 2021, the Company incurred approximately $5,833 of construction costs that are reimbursable by the landlord.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212529"/>
        </w:rPr>
        <w:t>December 31, 2021</w:t>
      </w:r>
      <w:r>
        <w:rPr>
          <w:rFonts w:ascii="Arial" w:cs="Arial" w:eastAsia="Arial" w:hAnsi="Arial"/>
          <w:sz w:val="18"/>
          <w:szCs w:val="18"/>
          <w:color w:val="auto"/>
        </w:rPr>
        <w:t>, minimum future lease payments for these operating and finance leases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Finance Leases</w:t>
            </w:r>
          </w:p>
        </w:tc>
        <w:tc>
          <w:tcPr>
            <w:tcW w:w="1660" w:type="dxa"/>
            <w:vAlign w:val="bottom"/>
            <w:gridSpan w:val="4"/>
          </w:tcPr>
          <w:p>
            <w:pPr>
              <w:ind w:left="220"/>
              <w:spacing w:after="0"/>
              <w:rPr>
                <w:sz w:val="20"/>
                <w:szCs w:val="20"/>
                <w:color w:val="auto"/>
              </w:rPr>
            </w:pPr>
            <w:r>
              <w:rPr>
                <w:rFonts w:ascii="Arial" w:cs="Arial" w:eastAsia="Arial" w:hAnsi="Arial"/>
                <w:sz w:val="18"/>
                <w:szCs w:val="18"/>
                <w:b w:val="1"/>
                <w:bCs w:val="1"/>
                <w:color w:val="auto"/>
                <w:w w:val="93"/>
              </w:rPr>
              <w:t>Operating Leases</w:t>
            </w:r>
          </w:p>
        </w:tc>
        <w:tc>
          <w:tcPr>
            <w:tcW w:w="11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30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2023</w:t>
            </w:r>
          </w:p>
        </w:tc>
        <w:tc>
          <w:tcPr>
            <w:tcW w:w="3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2025</w:t>
            </w:r>
          </w:p>
        </w:tc>
        <w:tc>
          <w:tcPr>
            <w:tcW w:w="3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Total</w:t>
            </w:r>
          </w:p>
        </w:tc>
        <w:tc>
          <w:tcPr>
            <w:tcW w:w="30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30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020" w:type="dxa"/>
            <w:vAlign w:val="bottom"/>
          </w:tcPr>
          <w:p>
            <w:pPr>
              <w:ind w:left="120"/>
              <w:spacing w:after="0"/>
              <w:rPr>
                <w:sz w:val="20"/>
                <w:szCs w:val="20"/>
                <w:color w:val="auto"/>
              </w:rPr>
            </w:pPr>
            <w:r>
              <w:rPr>
                <w:rFonts w:ascii="Arial" w:cs="Arial" w:eastAsia="Arial" w:hAnsi="Arial"/>
                <w:sz w:val="18"/>
                <w:szCs w:val="18"/>
                <w:color w:val="auto"/>
              </w:rPr>
              <w:t>Total Lease Liabilities</w:t>
            </w:r>
          </w:p>
        </w:tc>
        <w:tc>
          <w:tcPr>
            <w:tcW w:w="3040" w:type="dxa"/>
            <w:vAlign w:val="bottom"/>
          </w:tcPr>
          <w:p>
            <w:pPr>
              <w:spacing w:after="0"/>
              <w:rPr>
                <w:sz w:val="19"/>
                <w:szCs w:val="19"/>
                <w:color w:val="auto"/>
              </w:rPr>
            </w:pPr>
          </w:p>
        </w:tc>
        <w:tc>
          <w:tcPr>
            <w:tcW w:w="520" w:type="dxa"/>
            <w:vAlign w:val="bottom"/>
            <w:tcBorders>
              <w:bottom w:val="single" w:sz="8" w:color="auto"/>
            </w:tcBorders>
          </w:tcPr>
          <w:p>
            <w:pPr>
              <w:jc w:val="right"/>
              <w:ind w:right="361"/>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560" w:type="dxa"/>
            <w:vAlign w:val="bottom"/>
            <w:gridSpan w:val="2"/>
          </w:tcPr>
          <w:p>
            <w:pPr>
              <w:jc w:val="right"/>
              <w:ind w:right="1841"/>
              <w:spacing w:after="0"/>
              <w:rPr>
                <w:sz w:val="20"/>
                <w:szCs w:val="20"/>
                <w:color w:val="auto"/>
              </w:rPr>
            </w:pPr>
            <w:r>
              <w:rPr>
                <w:rFonts w:ascii="Arial" w:cs="Arial" w:eastAsia="Arial" w:hAnsi="Arial"/>
                <w:sz w:val="18"/>
                <w:szCs w:val="18"/>
                <w:color w:val="auto"/>
              </w:rPr>
              <w:t>F-23</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 xml:space="preserve">The Company recorded rent expense of $2,568, $2,562 and $2,500 for the years ended </w:t>
      </w:r>
      <w:r>
        <w:rPr>
          <w:rFonts w:ascii="Arial" w:cs="Arial" w:eastAsia="Arial" w:hAnsi="Arial"/>
          <w:sz w:val="18"/>
          <w:szCs w:val="18"/>
          <w:color w:val="212529"/>
        </w:rPr>
        <w:t>December 31, 2021, 2020, and 2019</w:t>
      </w:r>
      <w:r>
        <w:rPr>
          <w:rFonts w:ascii="Arial" w:cs="Arial" w:eastAsia="Arial" w:hAnsi="Arial"/>
          <w:sz w:val="18"/>
          <w:szCs w:val="18"/>
          <w:color w:val="auto"/>
        </w:rPr>
        <w:t>,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Short-term lease and variable lease costs were not material for the year ended </w:t>
      </w:r>
      <w:r>
        <w:rPr>
          <w:rFonts w:ascii="Arial" w:cs="Arial" w:eastAsia="Arial" w:hAnsi="Arial"/>
          <w:sz w:val="18"/>
          <w:szCs w:val="18"/>
          <w:color w:val="212529"/>
        </w:rPr>
        <w:t>December 31, 2021 and 2020</w:t>
      </w:r>
      <w:r>
        <w:rPr>
          <w:rFonts w:ascii="Arial" w:cs="Arial" w:eastAsia="Arial" w:hAnsi="Arial"/>
          <w:sz w:val="18"/>
          <w:szCs w:val="18"/>
          <w:color w:val="auto"/>
        </w:rPr>
        <w:t>.</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supplemental disclosure of cash flow information related to the Company’s leases and the weighted average remaining lease term and weighted average discount rate of the Company’s leases are as follows: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For the Year</w:t>
            </w:r>
          </w:p>
        </w:tc>
        <w:tc>
          <w:tcPr>
            <w:tcW w:w="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For the Year</w:t>
            </w:r>
          </w:p>
        </w:tc>
        <w:tc>
          <w:tcPr>
            <w:tcW w:w="2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For the Year</w:t>
            </w:r>
          </w:p>
        </w:tc>
      </w:tr>
      <w:tr>
        <w:trPr>
          <w:trHeight w:val="148"/>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56"/>
        </w:trPr>
        <w:tc>
          <w:tcPr>
            <w:tcW w:w="52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center"/>
              <w:ind w:right="77"/>
              <w:spacing w:after="0" w:line="155"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114"/>
              <w:spacing w:after="0" w:line="155"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ind w:right="114"/>
              <w:spacing w:after="0" w:line="155"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2,408</w:t>
            </w:r>
          </w:p>
        </w:tc>
        <w:tc>
          <w:tcPr>
            <w:tcW w:w="160" w:type="dxa"/>
            <w:vAlign w:val="bottom"/>
          </w:tcPr>
          <w:p>
            <w:pPr>
              <w:spacing w:after="0"/>
              <w:rPr>
                <w:sz w:val="19"/>
                <w:szCs w:val="19"/>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2,408</w:t>
            </w:r>
          </w:p>
        </w:tc>
        <w:tc>
          <w:tcPr>
            <w:tcW w:w="140" w:type="dxa"/>
            <w:vAlign w:val="bottom"/>
          </w:tcPr>
          <w:p>
            <w:pPr>
              <w:spacing w:after="0"/>
              <w:rPr>
                <w:sz w:val="19"/>
                <w:szCs w:val="19"/>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2,288</w:t>
            </w:r>
          </w:p>
        </w:tc>
        <w:tc>
          <w:tcPr>
            <w:tcW w:w="180" w:type="dxa"/>
            <w:vAlign w:val="bottom"/>
          </w:tcPr>
          <w:p>
            <w:pPr>
              <w:spacing w:after="0"/>
              <w:rPr>
                <w:sz w:val="19"/>
                <w:szCs w:val="19"/>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w w:val="98"/>
              </w:rPr>
              <w:t>Operating lease liabilities arising from obtaining right-of-use-assets</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8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Finance lease liabilities arising from obtaining right-of-use assets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Operating lease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Finance lease</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Finance lease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Company had outstanding letters of credit in the amounts of $2,070 and $327 at </w:t>
      </w:r>
      <w:r>
        <w:rPr>
          <w:rFonts w:ascii="Arial" w:cs="Arial" w:eastAsia="Arial" w:hAnsi="Arial"/>
          <w:sz w:val="18"/>
          <w:szCs w:val="18"/>
          <w:color w:val="212529"/>
        </w:rPr>
        <w:t>December 31, 2021</w:t>
      </w:r>
      <w:r>
        <w:rPr>
          <w:rFonts w:ascii="Arial" w:cs="Arial" w:eastAsia="Arial" w:hAnsi="Arial"/>
          <w:sz w:val="18"/>
          <w:szCs w:val="18"/>
          <w:color w:val="auto"/>
        </w:rPr>
        <w:t xml:space="preserve"> and 2020, respectively, which were required as a condition of the Company’s office and laboratory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its executive officers and members of its Board of Directors that require the Company, among other things, to indemnify them against certain liabilities that may arise by reason of their status or service as executive officers or directors. The maximum potential amount of future payments the Company could be required to make under these indemnification agreements is, in many cases, unlimited. To date, the Company has not incurred any material costs as a result of such indemnification arrangements.</w:t>
      </w:r>
    </w:p>
    <w:p>
      <w:pPr>
        <w:spacing w:after="0" w:line="19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2021 and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periodically become subject to legal proceedings and claims arising in connection with ongoing business activities, including claims or disputes related to patents that have been issued or that are pending in the field of research on which the Company is focused. The Company is not aware of any material legal proceedings or claims as of December 31, 2021.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12.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Washington License Agreement</w:t>
      </w:r>
    </w:p>
    <w:p>
      <w:pPr>
        <w:spacing w:after="0" w:line="11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2015, the Company entered into a license agreement with the University of Washington, acting through UW CoMotion, under which the Company obtained an exclusive, royalty-bearing, sublicensable, worldwide license under a patent application owned by the University of Washington relating to novel micro-dystrophins and all patents claiming priority to such patent to develop, manufacture, and commercialize products for use in the treatment of Duchenne and related disease indications caused by a lack of functional dystrophin. The Company has the right to grant sublicenses to third parties contingent upon written approval by the University of Washington prior to executing such sublicense, which approval may not be unreasonably withheld.</w:t>
      </w:r>
    </w:p>
    <w:p>
      <w:pPr>
        <w:spacing w:after="0" w:line="16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consideration for the rights granted by the agreement, the Company paid a one-time, non-refundable license fee, which was recorded as a research and development expense in 2015. The Company is required to reimburse the University of Washington for costs incurred in applying for, prosecuting and maintaining patents and pay up to an aggregate of approximately $1,000 upon the achievement of certain milestones. In October 2017, the first milestone was achieved under this agreement. The milestone payment was recorded as a research and development expense in the fourth quarter of 2017. In October 2020, the license agreement was amended such that the Company was required to pay the University of Washington $375 in connection with the execution of the Collaboration Agreement. This payment was recorded as a research and development expense in the fourth quarter of 2020. The license agreement was also amended such that the Company is required to pay an aggregate of approximately $3,400 upon the achievement of certain milestones. There were no milestones achieved during the years ended </w:t>
      </w:r>
      <w:r>
        <w:rPr>
          <w:rFonts w:ascii="Arial" w:cs="Arial" w:eastAsia="Arial" w:hAnsi="Arial"/>
          <w:sz w:val="16"/>
          <w:szCs w:val="16"/>
          <w:color w:val="212529"/>
        </w:rPr>
        <w:t>December 31, 2021</w:t>
      </w:r>
      <w:r>
        <w:rPr>
          <w:rFonts w:ascii="Arial" w:cs="Arial" w:eastAsia="Arial" w:hAnsi="Arial"/>
          <w:sz w:val="16"/>
          <w:szCs w:val="16"/>
          <w:color w:val="auto"/>
        </w:rPr>
        <w:t>, 2020, and 2019. The Company must also pay royalties of a low single digit percentage of future sales by the Company and its sublicensees of products developed under the licensed patent rights. In addition, the Company must pay an annual maintenance fee until certain milestones are achieved, at which time a minimum annual royalty requirement will replace such maintenance fee and will apply to the Company and its sublicensees.</w:t>
      </w:r>
    </w:p>
    <w:p>
      <w:pPr>
        <w:spacing w:after="0" w:line="172"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The license agreement remains in effect until the expiration of the last-to-expire patent licensed under the agreement. The Company may terminate the agreement at any time upon providing sixty days’ written notice to the University of Washington. The University of Washington may terminate the agreement upon the Company’s uncured, material breach of the agreement or if the Company enters into an insolvency-related event.</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Company recorded research and development expense in the amount of $60, $446, and $38 for the years ended </w:t>
      </w:r>
      <w:r>
        <w:rPr>
          <w:rFonts w:ascii="Arial" w:cs="Arial" w:eastAsia="Arial" w:hAnsi="Arial"/>
          <w:sz w:val="18"/>
          <w:szCs w:val="18"/>
          <w:color w:val="212529"/>
        </w:rPr>
        <w:t>December 31, 2021</w:t>
      </w:r>
      <w:r>
        <w:rPr>
          <w:rFonts w:ascii="Arial" w:cs="Arial" w:eastAsia="Arial" w:hAnsi="Arial"/>
          <w:sz w:val="18"/>
          <w:szCs w:val="18"/>
          <w:color w:val="auto"/>
        </w:rPr>
        <w:t>, 2020, and 2019, respectively, under the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University of Missouri License Agreement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2015, the Company entered into a license agreement with the Curators of the University of Missouri (the “University of Missouri”), a public corporation of Missouri, under which the Company obtained an exclusive, royalty-bearing, sublicensable, worldwide license under certain patent and patent applications owned by the University of Missouri relating to a novel synthetic microdystrophin gene to make, sell and distribute products for use in the treatment of Duchene and related disease indications resulting from a lack of functional dystrophin.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consideration for the rights granted by the agreement, the Company paid a one-time, non-refundable license fee, which was recorded as a research and development expense in 2015. The Company is required to reimburse the University of Missouri for costs incurred in applying for, prosecuting and maintaining the licensed patents and pay up to an aggregate of approximately $1,000 upon the achievement of certain milestones for each product developed based on the licensed patents. In October 2017, the first milestone was achieved under this agreement. The milestone payment was recorded as a research and development expense in the fourth quarter of 2017.</w:t>
      </w:r>
    </w:p>
    <w:p>
      <w:pPr>
        <w:spacing w:after="0" w:line="18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Under the agreement, in the event the Company grants a sublicenses to another party, the Company is required to pay the University of Missouri a percentage of the consideration received. The license agreement was amended such that the Company was required to pay the University of Missouri $750 in 2021 and $1,300 in 2022 as a result of the execution of the Collaboration Agreement with Ultragenyx in October 2020. These amounts were recorded as a research and development expense in the fourth quarter of 2020. The Company paid $750 in February 2021 and $1,300 in February 2022. The license agreement was also amended such that the Company is required to pay an aggregate of approximately $1,900 upon the achievement of certain milestones.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69" w:name="page170"/>
    <w:bookmarkEnd w:id="169"/>
    <w:p>
      <w:pPr>
        <w:ind w:right="380"/>
        <w:spacing w:after="0" w:line="311" w:lineRule="auto"/>
        <w:rPr>
          <w:sz w:val="20"/>
          <w:szCs w:val="20"/>
          <w:color w:val="auto"/>
        </w:rPr>
      </w:pPr>
      <w:r>
        <w:rPr>
          <w:rFonts w:ascii="Arial" w:cs="Arial" w:eastAsia="Arial" w:hAnsi="Arial"/>
          <w:sz w:val="16"/>
          <w:szCs w:val="16"/>
          <w:color w:val="auto"/>
        </w:rPr>
        <w:t xml:space="preserve">There were no milestones achieved during the years ended </w:t>
      </w:r>
      <w:r>
        <w:rPr>
          <w:rFonts w:ascii="Arial" w:cs="Arial" w:eastAsia="Arial" w:hAnsi="Arial"/>
          <w:sz w:val="16"/>
          <w:szCs w:val="16"/>
          <w:color w:val="212529"/>
        </w:rPr>
        <w:t>December 31, 2021</w:t>
      </w:r>
      <w:r>
        <w:rPr>
          <w:rFonts w:ascii="Arial" w:cs="Arial" w:eastAsia="Arial" w:hAnsi="Arial"/>
          <w:sz w:val="16"/>
          <w:szCs w:val="16"/>
          <w:color w:val="auto"/>
        </w:rPr>
        <w:t>, 2020, and 2019. The Company must pay a royalty of a low single digit percentage of future sales or by its sublicensees of products developed using the licensed patents. In addition, the Company must pay an annual maintenance fee until certain milestones are achieved, after which time a minimum annual royalty will replace such maintenance fee.</w:t>
      </w:r>
    </w:p>
    <w:p>
      <w:pPr>
        <w:spacing w:after="0" w:line="14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Under the agreement, the Company granted the University of Missouri a non-exclusive, royalty-free, irrevocable, paid-up license, with the right to grant sublicenses to non-profit, academic, educational or governmental institutions, to practice and use improvements made by the Company using the licensed patent rights, solely for non-commercial research purposes.</w:t>
      </w:r>
    </w:p>
    <w:p>
      <w:pPr>
        <w:spacing w:after="0" w:line="18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license agreement remains in effect until the expiration of the last-to-expire patent or the abandonment of the last to be abandoned patent application licensed under the agreement. The University of Missouri may terminate the agreement, or render the license granted thereunder non-exclusive, in individual countries if the Company’s sublicensees fail to achieve certain milestones. The Company may terminate the license agreement at any time upon providing six months’ written notice to the University of Missouri and paying a termination fee. Each of the University of Missouri and the Company may also terminate the agreement for an uncured default or breach of the agreement by the other party. The Company’s ability to cure such breach only applies to the first two notices of such breach provided by the University of Missouri, and thereafter, the University of Missouri may terminate the agreement for the Company’s default or breach of the agreement upon thirty days’ written notice without an opportunity to cure such default or breach.</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Company recorded research and development expense in the amount of $195, $2,111, and $23 for the years ended </w:t>
      </w:r>
      <w:r>
        <w:rPr>
          <w:rFonts w:ascii="Arial" w:cs="Arial" w:eastAsia="Arial" w:hAnsi="Arial"/>
          <w:sz w:val="18"/>
          <w:szCs w:val="18"/>
          <w:color w:val="212529"/>
        </w:rPr>
        <w:t>December 31, 2021</w:t>
      </w:r>
      <w:r>
        <w:rPr>
          <w:rFonts w:ascii="Arial" w:cs="Arial" w:eastAsia="Arial" w:hAnsi="Arial"/>
          <w:sz w:val="18"/>
          <w:szCs w:val="18"/>
          <w:color w:val="auto"/>
        </w:rPr>
        <w:t>, 2020, and 2019, respectively, under the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University of Michigan License Agreement</w:t>
      </w:r>
    </w:p>
    <w:p>
      <w:pPr>
        <w:spacing w:after="0" w:line="117"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In 2016, the Company entered into a license agreement with the Regents of the University of Michigan, (the “University of Michigan”), a constitutional corporation of Michigan, under which the Company obtained an exclusive, royalty-bearing, sublicensable, worldwide license to make, sell and distribute products under certain patents owned by the University of Michigan related to microdystrophin and utrophin spectrin-like nucleic acid sequences for any use that, but for this agreement, would comprise an infringement of a valid claim included in the licensed patent rights.</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consideration for the rights granted by the agreement, the Company paid a one-time license fee and a separate fee to cover past patent prosecution costs, which the Company recorded as a research and development expense in 2016. The Company is required to reimburse the University of Michigan for costs incurred in applying for, prosecuting and maintaining patents, and pay up to an aggregate of approximately $1,000 upon the achievement of certain milestones. There were no milestones achieved during the years ended </w:t>
      </w:r>
      <w:r>
        <w:rPr>
          <w:rFonts w:ascii="Arial" w:cs="Arial" w:eastAsia="Arial" w:hAnsi="Arial"/>
          <w:sz w:val="18"/>
          <w:szCs w:val="18"/>
          <w:color w:val="212529"/>
        </w:rPr>
        <w:t>December 31, 2021</w:t>
      </w:r>
      <w:r>
        <w:rPr>
          <w:rFonts w:ascii="Arial" w:cs="Arial" w:eastAsia="Arial" w:hAnsi="Arial"/>
          <w:sz w:val="18"/>
          <w:szCs w:val="18"/>
          <w:color w:val="auto"/>
        </w:rPr>
        <w:t>, 2020, and 2019. The Company must also pay a royalty of a low single digit percentage on future sales by the Company or its sublicensees of products developed using the licensed rights, with a minimum annual royalty after certain milestones are achieved. In addition, the Company must pay an annual maintenance fee in any year in which the minimum annual royalty is not reached.</w:t>
      </w:r>
    </w:p>
    <w:p>
      <w:pPr>
        <w:spacing w:after="0" w:line="19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Under the agreement, the University of Michigan reserves for itself and its affiliates the right to use the licensed rights for non-commercial research, public service, internal and educational purposes and the right to grant the same limited non-commercial rights to other non-profit research institutions.</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license agreement remains in effect until the expiration of the last-to-expire patent licensed under the agreement. The University of Michigan may terminate the agreement upon the Company’s uncured material breach of the agreement, including failure to make required payments under the agreement or to achieve certain milestones, or if the Company becomes insolvent or bankrupt. The Company may terminate the license agreement at any time upon providing sixty days’ written notice to the University of Michigan.</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Company recorded and research and development expense in the amount of $37, $35 and $39 for the years ended </w:t>
      </w:r>
      <w:r>
        <w:rPr>
          <w:rFonts w:ascii="Arial" w:cs="Arial" w:eastAsia="Arial" w:hAnsi="Arial"/>
          <w:sz w:val="18"/>
          <w:szCs w:val="18"/>
          <w:color w:val="212529"/>
        </w:rPr>
        <w:t>December 31, 2021</w:t>
      </w:r>
      <w:r>
        <w:rPr>
          <w:rFonts w:ascii="Arial" w:cs="Arial" w:eastAsia="Arial" w:hAnsi="Arial"/>
          <w:sz w:val="18"/>
          <w:szCs w:val="18"/>
          <w:color w:val="auto"/>
        </w:rPr>
        <w:t>, 2020, and 2019, respectively, under the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Harvard College License Agreements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2016, the Company entered into a license agreement with the President and Fellows of Harvard College, (“Harvard College”), under which the Company obtained a non-exclusive, royalty-bearing, sublicensable, worldwide license to use certain intellectual property owned by Harvard College to develop, manufacture, and commercialize products for use in the treatment of Duchenne.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0" w:name="page171"/>
    <w:bookmarkEnd w:id="170"/>
    <w:p>
      <w:pPr>
        <w:spacing w:after="0" w:line="291" w:lineRule="auto"/>
        <w:rPr>
          <w:sz w:val="20"/>
          <w:szCs w:val="20"/>
          <w:color w:val="auto"/>
        </w:rPr>
      </w:pPr>
      <w:r>
        <w:rPr>
          <w:rFonts w:ascii="Arial" w:cs="Arial" w:eastAsia="Arial" w:hAnsi="Arial"/>
          <w:sz w:val="16"/>
          <w:szCs w:val="16"/>
          <w:color w:val="auto"/>
        </w:rPr>
        <w:t xml:space="preserve">In consideration for the rights granted by the agreement, the Company paid a one-time, non-refundable license fee, which was recorded as a research and development expense in 2016. The Company is required to pay an annual license maintenance fee until certain milestones are achieved, after which time the annual maintenance fee will increase annually. Such annual maintenance fee will further increase if the Company grants certain rights to a sublicensee or strategic partner with whom the Company collaborates on the development and commercialization of licensed products. The annual maintenance fee is creditable against royalty payments. The Company also must pay a milestone payment within thirty days after achieving certain milestones. There were no milestones achieved during the years ended </w:t>
      </w:r>
      <w:r>
        <w:rPr>
          <w:rFonts w:ascii="Arial" w:cs="Arial" w:eastAsia="Arial" w:hAnsi="Arial"/>
          <w:sz w:val="16"/>
          <w:szCs w:val="16"/>
          <w:color w:val="212529"/>
        </w:rPr>
        <w:t>December 31, 2021, 2020, and 2019</w:t>
      </w:r>
      <w:r>
        <w:rPr>
          <w:rFonts w:ascii="Arial" w:cs="Arial" w:eastAsia="Arial" w:hAnsi="Arial"/>
          <w:sz w:val="16"/>
          <w:szCs w:val="16"/>
          <w:color w:val="auto"/>
        </w:rPr>
        <w:t>. The Company must pay a royalty of a low single digit percentage on future sales by the Company or its sublicensees of products developed using the licensed technology.</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license agreement remains in effect for an initial term of fifteen years, with automatic three-year renewal periods thereafter unless one of the parties provides notice of non-renewal. The Company may terminate the license agreement at any time upon providing sixty days’ written notice to Harvard College. Harvard College may terminate the agreement in the event the Company becomes bankrupt or insolvent. Both Harvard College and the Company may also terminate the agreement for an uncured material breach of the agreement by the other party.</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The Company recorded research and development expense in the amount of $10, $0 and $10 for the years ended </w:t>
      </w:r>
      <w:r>
        <w:rPr>
          <w:rFonts w:ascii="Arial" w:cs="Arial" w:eastAsia="Arial" w:hAnsi="Arial"/>
          <w:sz w:val="18"/>
          <w:szCs w:val="18"/>
          <w:color w:val="212529"/>
        </w:rPr>
        <w:t>December 31, 2021</w:t>
      </w:r>
      <w:r>
        <w:rPr>
          <w:rFonts w:ascii="Arial" w:cs="Arial" w:eastAsia="Arial" w:hAnsi="Arial"/>
          <w:sz w:val="18"/>
          <w:szCs w:val="18"/>
          <w:color w:val="auto"/>
        </w:rPr>
        <w:t>, 2020, and 2019, respectively, under the agreement.</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August 2017, the Company entered into another license agreement with Harvard College, under which the Company obtained a non-exclusive, royalty-bearing, sublicensable, worldwide license to use certain intellectual property owned by Harvard College to develop, manufacture, and commercialize products for use in the treatment of Duchenne.</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consideration for the rights granted by the agreement, the Company paid a one-time, non-refundable license fee, which was recorded as a research and development expense in 2017. The Company is required to pay an annual license maintenance fee until certain milestones are achieved, after which time the annual maintenance fee will increase annually. Such annual maintenance fee will further increase if the Company grants certain rights to a sublicensee or strategic partner with whom the Company collaborates on the development and commercialization of licensed products. The annual maintenance fee is creditable against royalty payments. The Company also must pay a milestone payment within thirty days after achieving certain milestones. There were no milestones achieved during the years ended </w:t>
      </w:r>
      <w:r>
        <w:rPr>
          <w:rFonts w:ascii="Arial" w:cs="Arial" w:eastAsia="Arial" w:hAnsi="Arial"/>
          <w:sz w:val="16"/>
          <w:szCs w:val="16"/>
          <w:color w:val="212529"/>
        </w:rPr>
        <w:t>December 31, 2021</w:t>
      </w:r>
      <w:r>
        <w:rPr>
          <w:rFonts w:ascii="Arial" w:cs="Arial" w:eastAsia="Arial" w:hAnsi="Arial"/>
          <w:sz w:val="16"/>
          <w:szCs w:val="16"/>
          <w:color w:val="auto"/>
        </w:rPr>
        <w:t>, 2020, and 2019. The Company must pay a royalty of a low single digit percentage on future sales by the Company or its sublicensees of products developed using the licensed technology.</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license agreement remains in effect for an initial term of fifteen years, with automatic three-year renewal periods thereafter unless one of the parties provides notice of non-renewal. The Company may terminate the license agreement at any time upon providing sixty days’ written notice to Harvard College. Harvard College may terminate the agreement in the event the Company becomes bankrupt or insolvent. Both Harvard College and the Company may also terminate the agreement for an uncured material breach of the agreement by the other party.</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The Company recorded research and development expense in the amount of $5, $0 and $5 for the years ended </w:t>
      </w:r>
      <w:r>
        <w:rPr>
          <w:rFonts w:ascii="Arial" w:cs="Arial" w:eastAsia="Arial" w:hAnsi="Arial"/>
          <w:sz w:val="18"/>
          <w:szCs w:val="18"/>
          <w:color w:val="212529"/>
        </w:rPr>
        <w:t>December 31, 2021</w:t>
      </w:r>
      <w:r>
        <w:rPr>
          <w:rFonts w:ascii="Arial" w:cs="Arial" w:eastAsia="Arial" w:hAnsi="Arial"/>
          <w:sz w:val="18"/>
          <w:szCs w:val="18"/>
          <w:color w:val="auto"/>
        </w:rPr>
        <w:t>, 2020, and 2019, respectively, under the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License Agreements</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2016, the Company entered into a license agreement with Life Technologies Corporation (“Life Technologies”). In consideration for obtaining a non-exclusive, royalty-free, worldwide license to use certain technologies and associated know-how to develop product candidates, the Company paid a one-time, non-refundable license fee. This fee was recorded as a research and development expense in 2016. The license agreement will remain effective in perpetuity unless earlier terminated. Life Technologies has the right to terminate the agreement upon the Company’s material, uncured breach of the agreement or in the event that it determines that continued performance of the agreement may violate any laws. The Company is obligated to diligently pursue regulatory approval necessary for the development, manufacture and sale of the licensed products. The Company has the right to terminate the agreement at any time upon providing thirty days’ written notice to Life Technologies.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share were calculated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numerator for basic and diluted net loss per share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60" w:type="dxa"/>
            <w:vAlign w:val="bottom"/>
            <w:gridSpan w:val="11"/>
          </w:tcPr>
          <w:p>
            <w:pPr>
              <w:jc w:val="center"/>
              <w:ind w:right="24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02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center"/>
              <w:ind w:right="97"/>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(72,188)</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(88,290)</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(117,223)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The denominator is as follows:</w:t>
            </w: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gridSpan w:val="11"/>
          </w:tcPr>
          <w:p>
            <w:pPr>
              <w:ind w:left="38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180"/>
        </w:trPr>
        <w:tc>
          <w:tcPr>
            <w:tcW w:w="11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1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stock outstanding, basic and</w:t>
            </w:r>
          </w:p>
        </w:tc>
        <w:tc>
          <w:tcPr>
            <w:tcW w:w="2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1"/>
              </w:rPr>
              <w:t>104,612,043</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49,675,603</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39,326,983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3"/>
              </w:rPr>
              <w:t>Weighted average pre-funded warrants to purchase common stock</w:t>
            </w: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2,158,329</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2,261,544</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962,307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1"/>
              </w:rPr>
              <w:t>106,770,372</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51,937,147</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40,289,290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 is as follows:</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60" w:type="dxa"/>
            <w:vAlign w:val="bottom"/>
            <w:gridSpan w:val="11"/>
          </w:tcPr>
          <w:p>
            <w:pPr>
              <w:jc w:val="center"/>
              <w:ind w:right="24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02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center"/>
              <w:ind w:right="97"/>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(0.68)</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potential common stock equivalents, presented based on amounts outstanding at each period end, were excluded from the calculation of diluted net loss per share for the periods indicated because including them would have had an anti-dilutive effect:</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8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w w:val="93"/>
              </w:rPr>
              <w:t>For the Year Ended 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shares of common stock</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6,012,636</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3,117,775</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2,610,975</w:t>
            </w:r>
          </w:p>
        </w:tc>
        <w:tc>
          <w:tcPr>
            <w:tcW w:w="8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509,694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918,395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245,100</w:t>
            </w:r>
          </w:p>
        </w:tc>
        <w:tc>
          <w:tcPr>
            <w:tcW w:w="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Unvested shares of common stock</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70,052</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352,952</w:t>
            </w:r>
          </w:p>
        </w:tc>
        <w:tc>
          <w:tcPr>
            <w:tcW w:w="80" w:type="dxa"/>
            <w:vAlign w:val="bottom"/>
            <w:shd w:val="clear" w:color="auto" w:fill="CFF0FC"/>
          </w:tcPr>
          <w:p>
            <w:pPr>
              <w:spacing w:after="0"/>
              <w:rPr>
                <w:sz w:val="19"/>
                <w:szCs w:val="19"/>
                <w:color w:val="auto"/>
              </w:rPr>
            </w:pPr>
          </w:p>
        </w:tc>
      </w:tr>
      <w:tr>
        <w:trPr>
          <w:trHeight w:val="223"/>
        </w:trPr>
        <w:tc>
          <w:tcPr>
            <w:tcW w:w="5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6,522,330</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4,106,222</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3,209,027</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recorded no tax benefit for the years ended December 31, 2021 and 2020 for the net operating losses incurred due to its uncertainty of realizing a benefit from those items.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 reconciliation of income taxes computed using the U.S. federal statutory rate to that reflected in operations as of December 31, 2021 and 2020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920" w:type="dxa"/>
            <w:vAlign w:val="bottom"/>
            <w:tcBorders>
              <w:bottom w:val="single" w:sz="8" w:color="CFF0FC"/>
            </w:tcBorders>
          </w:tcPr>
          <w:p>
            <w:pPr>
              <w:spacing w:after="0"/>
              <w:rPr>
                <w:sz w:val="14"/>
                <w:szCs w:val="14"/>
                <w:color w:val="auto"/>
              </w:rPr>
            </w:pPr>
          </w:p>
        </w:tc>
        <w:tc>
          <w:tcPr>
            <w:tcW w:w="17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December 31, 2021</w:t>
            </w:r>
          </w:p>
        </w:tc>
        <w:tc>
          <w:tcPr>
            <w:tcW w:w="58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December 31, 2020</w:t>
            </w:r>
          </w:p>
        </w:tc>
        <w:tc>
          <w:tcPr>
            <w:tcW w:w="240" w:type="dxa"/>
            <w:vAlign w:val="bottom"/>
            <w:tcBorders>
              <w:bottom w:val="single" w:sz="8" w:color="CFF0FC"/>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w w:val="99"/>
              </w:rPr>
              <w:t>Income tax computed at federal statutory tax rate</w:t>
            </w:r>
          </w:p>
        </w:tc>
        <w:tc>
          <w:tcPr>
            <w:tcW w:w="17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21.0%</w:t>
            </w: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3560" w:type="dxa"/>
            <w:vAlign w:val="bottom"/>
            <w:gridSpan w:val="3"/>
          </w:tcPr>
          <w:p>
            <w:pPr>
              <w:jc w:val="right"/>
              <w:ind w:right="440"/>
              <w:spacing w:after="0"/>
              <w:rPr>
                <w:sz w:val="20"/>
                <w:szCs w:val="20"/>
                <w:color w:val="auto"/>
              </w:rPr>
            </w:pPr>
            <w:r>
              <w:rPr>
                <w:rFonts w:ascii="Arial" w:cs="Arial" w:eastAsia="Arial" w:hAnsi="Arial"/>
                <w:sz w:val="18"/>
                <w:szCs w:val="18"/>
                <w:color w:val="auto"/>
              </w:rPr>
              <w:t>6.4%</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356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0.5%</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Tax credits</w:t>
            </w:r>
          </w:p>
        </w:tc>
        <w:tc>
          <w:tcPr>
            <w:tcW w:w="3560" w:type="dxa"/>
            <w:vAlign w:val="bottom"/>
            <w:gridSpan w:val="3"/>
          </w:tcPr>
          <w:p>
            <w:pPr>
              <w:jc w:val="right"/>
              <w:ind w:right="440"/>
              <w:spacing w:after="0"/>
              <w:rPr>
                <w:sz w:val="20"/>
                <w:szCs w:val="20"/>
                <w:color w:val="auto"/>
              </w:rPr>
            </w:pPr>
            <w:r>
              <w:rPr>
                <w:rFonts w:ascii="Arial" w:cs="Arial" w:eastAsia="Arial" w:hAnsi="Arial"/>
                <w:sz w:val="18"/>
                <w:szCs w:val="18"/>
                <w:color w:val="auto"/>
              </w:rPr>
              <w:t>12.1%</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Change in deferred tax rate</w:t>
            </w:r>
          </w:p>
        </w:tc>
        <w:tc>
          <w:tcPr>
            <w:tcW w:w="356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0.3%</w:t>
            </w: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Stock compensation cancelations</w:t>
            </w:r>
          </w:p>
        </w:tc>
        <w:tc>
          <w:tcPr>
            <w:tcW w:w="3560" w:type="dxa"/>
            <w:vAlign w:val="bottom"/>
            <w:gridSpan w:val="3"/>
          </w:tcPr>
          <w:p>
            <w:pPr>
              <w:jc w:val="right"/>
              <w:ind w:right="380"/>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56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0.1%</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Valuation allowance</w:t>
            </w:r>
          </w:p>
        </w:tc>
        <w:tc>
          <w:tcPr>
            <w:tcW w:w="1720" w:type="dxa"/>
            <w:vAlign w:val="bottom"/>
          </w:tcPr>
          <w:p>
            <w:pPr>
              <w:spacing w:after="0"/>
              <w:rPr>
                <w:sz w:val="19"/>
                <w:szCs w:val="19"/>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rPr>
              <w:t>(38.5)%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1720" w:type="dxa"/>
            <w:vAlign w:val="bottom"/>
            <w:vMerge w:val="restart"/>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920" w:type="dxa"/>
            <w:vAlign w:val="bottom"/>
            <w:shd w:val="clear" w:color="auto" w:fill="CFF0FC"/>
          </w:tcPr>
          <w:p>
            <w:pPr>
              <w:spacing w:after="0"/>
              <w:rPr>
                <w:sz w:val="19"/>
                <w:szCs w:val="19"/>
                <w:color w:val="auto"/>
              </w:rPr>
            </w:pPr>
          </w:p>
        </w:tc>
        <w:tc>
          <w:tcPr>
            <w:tcW w:w="1720" w:type="dxa"/>
            <w:vAlign w:val="bottom"/>
            <w:vMerge w:val="continue"/>
            <w:shd w:val="clear" w:color="auto" w:fill="CFF0FC"/>
          </w:tcPr>
          <w:p>
            <w:pPr>
              <w:spacing w:after="0"/>
              <w:rPr>
                <w:sz w:val="19"/>
                <w:szCs w:val="19"/>
                <w:color w:val="auto"/>
              </w:rPr>
            </w:pPr>
          </w:p>
        </w:tc>
        <w:tc>
          <w:tcPr>
            <w:tcW w:w="18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0.0%</w:t>
            </w: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560" w:type="dxa"/>
            <w:vAlign w:val="bottom"/>
            <w:gridSpan w:val="3"/>
          </w:tcPr>
          <w:p>
            <w:pPr>
              <w:jc w:val="right"/>
              <w:ind w:right="2820"/>
              <w:spacing w:after="0"/>
              <w:rPr>
                <w:sz w:val="20"/>
                <w:szCs w:val="20"/>
                <w:color w:val="auto"/>
              </w:rPr>
            </w:pPr>
            <w:r>
              <w:rPr>
                <w:rFonts w:ascii="Arial" w:cs="Arial" w:eastAsia="Arial" w:hAnsi="Arial"/>
                <w:sz w:val="18"/>
                <w:szCs w:val="18"/>
                <w:color w:val="auto"/>
              </w:rPr>
              <w:t>F-28</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2" w:name="page173"/>
    <w:bookmarkEnd w:id="172"/>
    <w:p>
      <w:pPr>
        <w:ind w:right="20"/>
        <w:spacing w:after="0" w:line="259" w:lineRule="auto"/>
        <w:rPr>
          <w:sz w:val="20"/>
          <w:szCs w:val="20"/>
          <w:color w:val="auto"/>
        </w:rPr>
      </w:pPr>
      <w:r>
        <w:rPr>
          <w:rFonts w:ascii="Arial" w:cs="Arial" w:eastAsia="Arial" w:hAnsi="Arial"/>
          <w:sz w:val="18"/>
          <w:szCs w:val="18"/>
          <w:color w:val="auto"/>
        </w:rPr>
        <w:t>The Company established deferred tax assets and liabilities on identified book to tax temporary differences as of the date of conversion to a C-corporation. Deferred income taxes reflect the net tax effects of these temporary differences between the carrying amounts of assets and liabilities for financial reporting purposes and the amounts used for income tax purposes. Significant components of the Company’s net deferred tax assets as of December 31, 2021 and 2020 are as follows:</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9"/>
              </w:rPr>
              <w:t>December 31, 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9"/>
              </w:rPr>
              <w:t>December 31, 2020</w:t>
            </w: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340" w:type="dxa"/>
            <w:vAlign w:val="bottom"/>
          </w:tcPr>
          <w:p>
            <w:pPr>
              <w:ind w:left="240"/>
              <w:spacing w:after="0"/>
              <w:rPr>
                <w:sz w:val="20"/>
                <w:szCs w:val="20"/>
                <w:color w:val="auto"/>
              </w:rPr>
            </w:pPr>
            <w:r>
              <w:rPr>
                <w:rFonts w:ascii="Arial" w:cs="Arial" w:eastAsia="Arial" w:hAnsi="Arial"/>
                <w:sz w:val="18"/>
                <w:szCs w:val="18"/>
                <w:color w:val="auto"/>
              </w:rPr>
              <w:t>Tax loss carryforwards</w:t>
            </w:r>
          </w:p>
        </w:tc>
        <w:tc>
          <w:tcPr>
            <w:tcW w:w="1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60,405</w:t>
            </w:r>
          </w:p>
        </w:tc>
        <w:tc>
          <w:tcPr>
            <w:tcW w:w="50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53,321</w:t>
            </w:r>
          </w:p>
        </w:tc>
        <w:tc>
          <w:tcPr>
            <w:tcW w:w="100" w:type="dxa"/>
            <w:vAlign w:val="bottom"/>
          </w:tcPr>
          <w:p>
            <w:pPr>
              <w:spacing w:after="0"/>
              <w:rPr>
                <w:sz w:val="19"/>
                <w:szCs w:val="19"/>
                <w:color w:val="auto"/>
              </w:rPr>
            </w:pPr>
          </w:p>
        </w:tc>
      </w:tr>
      <w:tr>
        <w:trPr>
          <w:trHeight w:val="229"/>
        </w:trPr>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 carryforwards</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36,905</w:t>
            </w: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28,154</w:t>
            </w:r>
          </w:p>
        </w:tc>
        <w:tc>
          <w:tcPr>
            <w:tcW w:w="100" w:type="dxa"/>
            <w:vAlign w:val="bottom"/>
            <w:shd w:val="clear" w:color="auto" w:fill="CFF0FC"/>
          </w:tcPr>
          <w:p>
            <w:pPr>
              <w:spacing w:after="0"/>
              <w:rPr>
                <w:sz w:val="19"/>
                <w:szCs w:val="19"/>
                <w:color w:val="auto"/>
              </w:rPr>
            </w:pPr>
          </w:p>
        </w:tc>
      </w:tr>
      <w:tr>
        <w:trPr>
          <w:trHeight w:val="230"/>
        </w:trPr>
        <w:tc>
          <w:tcPr>
            <w:tcW w:w="3340" w:type="dxa"/>
            <w:vAlign w:val="bottom"/>
          </w:tcPr>
          <w:p>
            <w:pPr>
              <w:ind w:left="240"/>
              <w:spacing w:after="0"/>
              <w:rPr>
                <w:sz w:val="20"/>
                <w:szCs w:val="20"/>
                <w:color w:val="auto"/>
              </w:rPr>
            </w:pPr>
            <w:r>
              <w:rPr>
                <w:rFonts w:ascii="Arial" w:cs="Arial" w:eastAsia="Arial" w:hAnsi="Arial"/>
                <w:sz w:val="18"/>
                <w:szCs w:val="18"/>
                <w:color w:val="auto"/>
              </w:rPr>
              <w:t>Deferred expenses</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420</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r>
      <w:tr>
        <w:trPr>
          <w:trHeight w:val="229"/>
        </w:trPr>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FF0FC"/>
          </w:tcPr>
          <w:p>
            <w:pPr>
              <w:spacing w:after="0"/>
              <w:rPr>
                <w:sz w:val="19"/>
                <w:szCs w:val="19"/>
                <w:color w:val="auto"/>
              </w:rPr>
            </w:pPr>
          </w:p>
        </w:tc>
      </w:tr>
      <w:tr>
        <w:trPr>
          <w:trHeight w:val="230"/>
        </w:trPr>
        <w:tc>
          <w:tcPr>
            <w:tcW w:w="3340" w:type="dxa"/>
            <w:vAlign w:val="bottom"/>
          </w:tcPr>
          <w:p>
            <w:pPr>
              <w:ind w:left="240"/>
              <w:spacing w:after="0"/>
              <w:rPr>
                <w:sz w:val="20"/>
                <w:szCs w:val="20"/>
                <w:color w:val="auto"/>
              </w:rPr>
            </w:pPr>
            <w:r>
              <w:rPr>
                <w:rFonts w:ascii="Arial" w:cs="Arial" w:eastAsia="Arial" w:hAnsi="Arial"/>
                <w:sz w:val="18"/>
                <w:szCs w:val="18"/>
                <w:color w:val="auto"/>
              </w:rPr>
              <w:t>Stock compensation</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7,821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5,909</w:t>
            </w:r>
          </w:p>
        </w:tc>
        <w:tc>
          <w:tcPr>
            <w:tcW w:w="100" w:type="dxa"/>
            <w:vAlign w:val="bottom"/>
          </w:tcPr>
          <w:p>
            <w:pPr>
              <w:spacing w:after="0"/>
              <w:rPr>
                <w:sz w:val="19"/>
                <w:szCs w:val="19"/>
                <w:color w:val="auto"/>
              </w:rPr>
            </w:pPr>
          </w:p>
        </w:tc>
      </w:tr>
      <w:tr>
        <w:trPr>
          <w:trHeight w:val="229"/>
        </w:trPr>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19,919</w:t>
            </w: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12,034</w:t>
            </w:r>
          </w:p>
        </w:tc>
        <w:tc>
          <w:tcPr>
            <w:tcW w:w="100" w:type="dxa"/>
            <w:vAlign w:val="bottom"/>
            <w:shd w:val="clear" w:color="auto" w:fill="CFF0FC"/>
          </w:tcPr>
          <w:p>
            <w:pPr>
              <w:spacing w:after="0"/>
              <w:rPr>
                <w:sz w:val="19"/>
                <w:szCs w:val="19"/>
                <w:color w:val="auto"/>
              </w:rPr>
            </w:pPr>
          </w:p>
        </w:tc>
      </w:tr>
      <w:tr>
        <w:trPr>
          <w:trHeight w:val="229"/>
        </w:trPr>
        <w:tc>
          <w:tcPr>
            <w:tcW w:w="334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224</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w:t>
            </w: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r>
      <w:tr>
        <w:trPr>
          <w:trHeight w:val="223"/>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13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128,882</w:t>
            </w:r>
          </w:p>
        </w:tc>
        <w:tc>
          <w:tcPr>
            <w:tcW w:w="5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101,756</w:t>
            </w:r>
          </w:p>
        </w:tc>
        <w:tc>
          <w:tcPr>
            <w:tcW w:w="100" w:type="dxa"/>
            <w:vAlign w:val="bottom"/>
            <w:tcBorders>
              <w:bottom w:val="single" w:sz="8" w:color="CFF0FC"/>
            </w:tcBorders>
          </w:tcPr>
          <w:p>
            <w:pPr>
              <w:spacing w:after="0"/>
              <w:rPr>
                <w:sz w:val="19"/>
                <w:szCs w:val="19"/>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(128,570)</w:t>
            </w: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(100,740)</w:t>
            </w:r>
          </w:p>
        </w:tc>
        <w:tc>
          <w:tcPr>
            <w:tcW w:w="100" w:type="dxa"/>
            <w:vAlign w:val="bottom"/>
            <w:shd w:val="clear" w:color="auto" w:fill="CFF0FC"/>
          </w:tcPr>
          <w:p>
            <w:pPr>
              <w:spacing w:after="0"/>
              <w:rPr>
                <w:sz w:val="19"/>
                <w:szCs w:val="19"/>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Right of use asset</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(972)</w:t>
            </w:r>
          </w:p>
        </w:tc>
      </w:tr>
      <w:tr>
        <w:trPr>
          <w:trHeight w:val="229"/>
        </w:trPr>
        <w:tc>
          <w:tcPr>
            <w:tcW w:w="334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1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5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Net deferred taxes</w:t>
            </w:r>
          </w:p>
        </w:tc>
        <w:tc>
          <w:tcPr>
            <w:tcW w:w="13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December 31, 2021, the Company has federal net operating loss carryforwards of $219,928 which may be available to offset future taxable income and do not expire, but are limited in their usage to an annual deduction equal to 80% of annual taxable income. In addition, as of December 31, 2021, the Company has state net operating loss carryforwards of approximately $218,052 which may be available to offset future taxable income and begin to expire in 2038. The Company also had federal and state tax credits of $34,606 and $2,910, respectively, which may be used to offset future tax liability and each of which begin to expire in 2033. The Company’s ability to utilize these federal and state carryforwards may be limited in the future if the Company experiences an ownership change pursuant to Internal Revenue Code Section 382. Ownership changes, as defined in the Internal Revenue Code, including those resulting from the issuance of common stock in connection with the Company’s public offerings, may limit the amount of net operating loss and tax credit carryforwards that can be utilized to offset future taxable income or tax liability.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74"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A valuation allowance is recorded against deferred tax assets if it is more likely than not that some or all of the deferred tax assets will not be realized. The Company has evaluated the positive and negative evidence bearing upon the realizability of the deferred tax assets. The Company concluded, in accordance with the applicable accounting standards, that it is more likely than not that the Company will not realize the benefit of its deferred tax assets. Accordingly, the Company has recorded a full valuation allowance against its deferred tax assets.</w:t>
      </w:r>
    </w:p>
    <w:p>
      <w:pPr>
        <w:spacing w:after="0" w:line="17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C-Corporation tax years beginning with the year ended December 31, 2018 are open under statute. Any tax credit or net operating loss carryforward can be adjusted in future periods after the respective year of generation’s statute of limitation has closed.</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December 31, 2021 and 2020, the Company did not have unrecognized tax benefits. The Company recognizes interest and penalties related to income taxes as a component of income tax expense. As of December 31, 2021 and 2020, no interest and penalties have been recorded.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15. Defined Contribution Plan</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plan covers substantially all employees who meet minimum age and service requirements and allows participants to defer a portion of their annual compensation on a pretax basis. Company contributions to the plan may be made at the discretion of the Company’s Board of Directors. The Company made $241 of contributions during the year ended December 31, 2021. The company had made no contributions to the plan during the years ended December 31, 2020 and December 31, 2019.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w:t>
      </w:r>
    </w:p>
    <w:p>
      <w:pPr>
        <w:spacing w:after="0" w:line="35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 2021, the Company did not incur any restructuring expense. The company paid $62 during the first quarter of 2021 related to restructuring accrued as of December 31, 2020.</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January 2020, the Company’s Board of Directors approved a restructuring plan to reduce operating costs and better align the Company’s workforce with the needs of its business following the Company’s November 2019 announcement that the SGT-001 IGNITE DMD trial was placed on clinical hold by the FDA.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Under the restructuring plan, the Company made changes to its management team and reduced headcount by approximately 30 percent. Affected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employees were eligible to receive severance payments and outplacement services in connection with the restructuring plan. During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the Company recorded aggregate restructuring charges of $1,944 related to severance payments and other employee-related costs.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does not expect to incur any additional significant costs associated with this restructuring. During the year ended December 31, 2020, $1,882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restructuring charges were paid.</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shows the total amount expected to be incurred and the liability related to the 2020 restructuring for the years ended December 31, 2021 and December 31, 2020:</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One-Time Employee</w:t>
            </w:r>
          </w:p>
        </w:tc>
      </w:tr>
      <w:tr>
        <w:trPr>
          <w:trHeight w:val="171"/>
        </w:trPr>
        <w:tc>
          <w:tcPr>
            <w:tcW w:w="40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Termination Benefits</w:t>
            </w: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Accrued restructuring costs as of December 31, 2019</w:t>
            </w:r>
          </w:p>
        </w:tc>
        <w:tc>
          <w:tcPr>
            <w:tcW w:w="2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w w:val="98"/>
              </w:rPr>
              <w:t>Restructuring charges incurred during the period</w:t>
            </w: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1,944</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paid during the period</w:t>
            </w:r>
          </w:p>
        </w:tc>
        <w:tc>
          <w:tcPr>
            <w:tcW w:w="2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(1,882)</w:t>
            </w:r>
          </w:p>
        </w:tc>
      </w:tr>
      <w:tr>
        <w:trPr>
          <w:trHeight w:val="223"/>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Accrued restructuring costs as of December 31, 2020</w:t>
            </w:r>
          </w:p>
        </w:tc>
        <w:tc>
          <w:tcPr>
            <w:tcW w:w="28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Restructuring charges incurred during the period</w:t>
            </w:r>
          </w:p>
        </w:tc>
        <w:tc>
          <w:tcPr>
            <w:tcW w:w="2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Amounts paid during the period</w:t>
            </w: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Accrued restructuring costs as of December 31, 2021</w:t>
            </w:r>
          </w:p>
        </w:tc>
        <w:tc>
          <w:tcPr>
            <w:tcW w:w="28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31"/>
        </w:trPr>
        <w:tc>
          <w:tcPr>
            <w:tcW w:w="4060" w:type="dxa"/>
            <w:vAlign w:val="bottom"/>
          </w:tcPr>
          <w:p>
            <w:pPr>
              <w:spacing w:after="0"/>
              <w:rPr>
                <w:sz w:val="24"/>
                <w:szCs w:val="24"/>
                <w:color w:val="auto"/>
              </w:rPr>
            </w:pPr>
          </w:p>
        </w:tc>
        <w:tc>
          <w:tcPr>
            <w:tcW w:w="3040" w:type="dxa"/>
            <w:vAlign w:val="bottom"/>
            <w:gridSpan w:val="2"/>
          </w:tcPr>
          <w:p>
            <w:pPr>
              <w:jc w:val="right"/>
              <w:ind w:right="2367"/>
              <w:spacing w:after="0"/>
              <w:rPr>
                <w:sz w:val="20"/>
                <w:szCs w:val="20"/>
                <w:color w:val="auto"/>
              </w:rPr>
            </w:pPr>
            <w:r>
              <w:rPr>
                <w:rFonts w:ascii="Arial" w:cs="Arial" w:eastAsia="Arial" w:hAnsi="Arial"/>
                <w:sz w:val="18"/>
                <w:szCs w:val="18"/>
                <w:color w:val="auto"/>
              </w:rPr>
              <w:t>F-30</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00"/>
          </w:cols>
          <w:pgMar w:left="320" w:top="526" w:right="37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color w:val="auto"/>
        </w:rPr>
        <w:t>Exhibit 10.3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88" w:lineRule="exact"/>
        <w:rPr>
          <w:sz w:val="20"/>
          <w:szCs w:val="20"/>
          <w:color w:val="auto"/>
        </w:rPr>
      </w:pPr>
    </w:p>
    <w:p>
      <w:pPr>
        <w:ind w:right="580" w:firstLine="864"/>
        <w:spacing w:after="0" w:line="274" w:lineRule="auto"/>
        <w:rPr>
          <w:sz w:val="20"/>
          <w:szCs w:val="20"/>
          <w:color w:val="auto"/>
        </w:rPr>
      </w:pPr>
      <w:r>
        <w:rPr>
          <w:rFonts w:ascii="Arial" w:cs="Arial" w:eastAsia="Arial" w:hAnsi="Arial"/>
          <w:sz w:val="21"/>
          <w:szCs w:val="21"/>
          <w:color w:val="auto"/>
        </w:rPr>
        <w:t>THIS EMPLOYMENT AGREEMENT (the “Agreement”), is made as of January 25, 2019 by and between Solid Biosciences Inc. (the “Company”), and Dr. Joel Schneider (the “Executive”) (together, the “Parties”).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right="340" w:firstLine="864"/>
        <w:spacing w:after="0" w:line="250" w:lineRule="auto"/>
        <w:rPr>
          <w:sz w:val="20"/>
          <w:szCs w:val="20"/>
          <w:color w:val="auto"/>
        </w:rPr>
      </w:pPr>
      <w:r>
        <w:rPr>
          <w:rFonts w:ascii="Arial" w:cs="Arial" w:eastAsia="Arial" w:hAnsi="Arial"/>
          <w:sz w:val="22"/>
          <w:szCs w:val="22"/>
          <w:color w:val="auto"/>
        </w:rPr>
        <w:t>WHEREAS, the Company desires to continue to employ the Executive as its Chief Technology Officer and Head of Exploratory Research and Development; and</w:t>
      </w:r>
    </w:p>
    <w:p>
      <w:pPr>
        <w:spacing w:after="0" w:line="175" w:lineRule="exact"/>
        <w:rPr>
          <w:sz w:val="20"/>
          <w:szCs w:val="20"/>
          <w:color w:val="auto"/>
        </w:rPr>
      </w:pPr>
    </w:p>
    <w:p>
      <w:pPr>
        <w:jc w:val="both"/>
        <w:ind w:right="220" w:firstLine="864"/>
        <w:spacing w:after="0" w:line="238" w:lineRule="auto"/>
        <w:rPr>
          <w:sz w:val="20"/>
          <w:szCs w:val="20"/>
          <w:color w:val="auto"/>
        </w:rPr>
      </w:pPr>
      <w:r>
        <w:rPr>
          <w:rFonts w:ascii="Arial" w:cs="Arial" w:eastAsia="Arial" w:hAnsi="Arial"/>
          <w:sz w:val="22"/>
          <w:szCs w:val="22"/>
          <w:color w:val="auto"/>
        </w:rPr>
        <w:t>WHEREAS, the Company and the Executive are party to a letter agreement dated December 17, 2013 (the “Existing Agreement”) and desire to amend and restate the Existing Agreement with the exception of Exhibit A, as amended, attached to the Existing Agreement (the “Restrictive Covenant Agreement”), which shall not be so amended or restated and shall remain in full force and effect; and</w:t>
      </w:r>
    </w:p>
    <w:p>
      <w:pPr>
        <w:spacing w:after="0" w:line="185" w:lineRule="exact"/>
        <w:rPr>
          <w:sz w:val="20"/>
          <w:szCs w:val="20"/>
          <w:color w:val="auto"/>
        </w:rPr>
      </w:pPr>
    </w:p>
    <w:p>
      <w:pPr>
        <w:ind w:right="40" w:firstLine="864"/>
        <w:spacing w:after="0" w:line="250" w:lineRule="auto"/>
        <w:rPr>
          <w:sz w:val="20"/>
          <w:szCs w:val="20"/>
          <w:color w:val="auto"/>
        </w:rPr>
      </w:pPr>
      <w:r>
        <w:rPr>
          <w:rFonts w:ascii="Arial" w:cs="Arial" w:eastAsia="Arial" w:hAnsi="Arial"/>
          <w:sz w:val="22"/>
          <w:szCs w:val="22"/>
          <w:color w:val="auto"/>
        </w:rPr>
        <w:t>WHEREAS, the Executive has agreed to continue employment with the Company on the terms and conditions set forth in this Agreement;</w:t>
      </w:r>
    </w:p>
    <w:p>
      <w:pPr>
        <w:spacing w:after="0" w:line="175" w:lineRule="exact"/>
        <w:rPr>
          <w:sz w:val="20"/>
          <w:szCs w:val="20"/>
          <w:color w:val="auto"/>
        </w:rPr>
      </w:pPr>
    </w:p>
    <w:p>
      <w:pPr>
        <w:ind w:right="220" w:firstLine="864"/>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of the Parties herein contained, the Parties hereto agree as follows:</w:t>
      </w:r>
    </w:p>
    <w:p>
      <w:pPr>
        <w:spacing w:after="0" w:line="175" w:lineRule="exact"/>
        <w:rPr>
          <w:sz w:val="20"/>
          <w:szCs w:val="20"/>
          <w:color w:val="auto"/>
        </w:rPr>
      </w:pPr>
    </w:p>
    <w:p>
      <w:pPr>
        <w:ind w:right="80" w:firstLine="8"/>
        <w:spacing w:after="0"/>
        <w:tabs>
          <w:tab w:leader="none" w:pos="216" w:val="left"/>
        </w:tabs>
        <w:numPr>
          <w:ilvl w:val="0"/>
          <w:numId w:val="87"/>
        </w:numPr>
        <w:rPr>
          <w:rFonts w:ascii="Arial" w:cs="Arial" w:eastAsia="Arial" w:hAnsi="Arial"/>
          <w:sz w:val="22"/>
          <w:szCs w:val="22"/>
          <w:color w:val="auto"/>
        </w:rPr>
      </w:pPr>
      <w:r>
        <w:rPr>
          <w:rFonts w:ascii="Arial" w:cs="Arial" w:eastAsia="Arial" w:hAnsi="Arial"/>
          <w:sz w:val="22"/>
          <w:szCs w:val="22"/>
          <w:i w:val="1"/>
          <w:iCs w:val="1"/>
          <w:color w:val="auto"/>
        </w:rPr>
        <w:t>Agreement</w:t>
      </w:r>
      <w:r>
        <w:rPr>
          <w:rFonts w:ascii="Arial" w:cs="Arial" w:eastAsia="Arial" w:hAnsi="Arial"/>
          <w:sz w:val="22"/>
          <w:szCs w:val="22"/>
          <w:color w:val="auto"/>
        </w:rPr>
        <w:t>. This Agreement shall be effective as of the date first set forth above (the “Effective Date”). Following the</w:t>
      </w:r>
      <w:r>
        <w:rPr>
          <w:rFonts w:ascii="Arial" w:cs="Arial" w:eastAsia="Arial" w:hAnsi="Arial"/>
          <w:sz w:val="22"/>
          <w:szCs w:val="22"/>
          <w:i w:val="1"/>
          <w:iCs w:val="1"/>
          <w:color w:val="auto"/>
        </w:rPr>
        <w:t xml:space="preserve"> </w:t>
      </w:r>
      <w:r>
        <w:rPr>
          <w:rFonts w:ascii="Arial" w:cs="Arial" w:eastAsia="Arial" w:hAnsi="Arial"/>
          <w:sz w:val="22"/>
          <w:szCs w:val="22"/>
          <w:color w:val="auto"/>
        </w:rPr>
        <w:t>Effective Date, the Executive shall continue to be an employee of the Company until such employment relationship is terminated in accordance with Section 6 hereof (the “Term of Employment”).</w:t>
      </w:r>
    </w:p>
    <w:p>
      <w:pPr>
        <w:spacing w:after="0" w:line="186" w:lineRule="exact"/>
        <w:rPr>
          <w:rFonts w:ascii="Arial" w:cs="Arial" w:eastAsia="Arial" w:hAnsi="Arial"/>
          <w:sz w:val="22"/>
          <w:szCs w:val="22"/>
          <w:color w:val="auto"/>
        </w:rPr>
      </w:pPr>
    </w:p>
    <w:p>
      <w:pPr>
        <w:ind w:right="60" w:firstLine="8"/>
        <w:spacing w:after="0"/>
        <w:tabs>
          <w:tab w:leader="none" w:pos="216" w:val="left"/>
        </w:tabs>
        <w:numPr>
          <w:ilvl w:val="0"/>
          <w:numId w:val="87"/>
        </w:numPr>
        <w:rPr>
          <w:rFonts w:ascii="Arial" w:cs="Arial" w:eastAsia="Arial" w:hAnsi="Arial"/>
          <w:sz w:val="22"/>
          <w:szCs w:val="22"/>
          <w:color w:val="auto"/>
        </w:rPr>
      </w:pPr>
      <w:r>
        <w:rPr>
          <w:rFonts w:ascii="Arial" w:cs="Arial" w:eastAsia="Arial" w:hAnsi="Arial"/>
          <w:sz w:val="22"/>
          <w:szCs w:val="22"/>
          <w:i w:val="1"/>
          <w:iCs w:val="1"/>
          <w:color w:val="auto"/>
        </w:rPr>
        <w:t>Position</w:t>
      </w:r>
      <w:r>
        <w:rPr>
          <w:rFonts w:ascii="Arial" w:cs="Arial" w:eastAsia="Arial" w:hAnsi="Arial"/>
          <w:sz w:val="22"/>
          <w:szCs w:val="22"/>
          <w:color w:val="auto"/>
        </w:rPr>
        <w:t>. During the Term of Employment, the Executive shall serve as the Chief Technology Officer and Head of Exploratory</w:t>
      </w:r>
      <w:r>
        <w:rPr>
          <w:rFonts w:ascii="Arial" w:cs="Arial" w:eastAsia="Arial" w:hAnsi="Arial"/>
          <w:sz w:val="22"/>
          <w:szCs w:val="22"/>
          <w:i w:val="1"/>
          <w:iCs w:val="1"/>
          <w:color w:val="auto"/>
        </w:rPr>
        <w:t xml:space="preserve"> </w:t>
      </w:r>
      <w:r>
        <w:rPr>
          <w:rFonts w:ascii="Arial" w:cs="Arial" w:eastAsia="Arial" w:hAnsi="Arial"/>
          <w:sz w:val="22"/>
          <w:szCs w:val="22"/>
          <w:color w:val="auto"/>
        </w:rPr>
        <w:t>Research and Development of the Company, working out of the Company’s office in Cambridge, Massachusetts, and travelling as reasonably required by the Executive’s job duties.</w:t>
      </w:r>
    </w:p>
    <w:p>
      <w:pPr>
        <w:spacing w:after="0" w:line="186" w:lineRule="exact"/>
        <w:rPr>
          <w:rFonts w:ascii="Arial" w:cs="Arial" w:eastAsia="Arial" w:hAnsi="Arial"/>
          <w:sz w:val="22"/>
          <w:szCs w:val="22"/>
          <w:color w:val="auto"/>
        </w:rPr>
      </w:pPr>
    </w:p>
    <w:p>
      <w:pPr>
        <w:ind w:right="60" w:firstLine="8"/>
        <w:spacing w:after="0" w:line="244" w:lineRule="auto"/>
        <w:tabs>
          <w:tab w:leader="none" w:pos="216" w:val="left"/>
        </w:tabs>
        <w:numPr>
          <w:ilvl w:val="0"/>
          <w:numId w:val="87"/>
        </w:numPr>
        <w:rPr>
          <w:rFonts w:ascii="Arial" w:cs="Arial" w:eastAsia="Arial" w:hAnsi="Arial"/>
          <w:sz w:val="21"/>
          <w:szCs w:val="21"/>
          <w:color w:val="auto"/>
        </w:rPr>
      </w:pPr>
      <w:r>
        <w:rPr>
          <w:rFonts w:ascii="Arial" w:cs="Arial" w:eastAsia="Arial" w:hAnsi="Arial"/>
          <w:sz w:val="21"/>
          <w:szCs w:val="21"/>
          <w:i w:val="1"/>
          <w:iCs w:val="1"/>
          <w:color w:val="auto"/>
        </w:rPr>
        <w:t>Scope of Employment</w:t>
      </w:r>
      <w:r>
        <w:rPr>
          <w:rFonts w:ascii="Arial" w:cs="Arial" w:eastAsia="Arial" w:hAnsi="Arial"/>
          <w:sz w:val="21"/>
          <w:szCs w:val="21"/>
          <w:color w:val="auto"/>
        </w:rPr>
        <w:t>. During the Term of Employment, the Executive shall be responsible for the performance of those duties</w:t>
      </w:r>
      <w:r>
        <w:rPr>
          <w:rFonts w:ascii="Arial" w:cs="Arial" w:eastAsia="Arial" w:hAnsi="Arial"/>
          <w:sz w:val="21"/>
          <w:szCs w:val="21"/>
          <w:i w:val="1"/>
          <w:iCs w:val="1"/>
          <w:color w:val="auto"/>
        </w:rPr>
        <w:t xml:space="preserve"> </w:t>
      </w:r>
      <w:r>
        <w:rPr>
          <w:rFonts w:ascii="Arial" w:cs="Arial" w:eastAsia="Arial" w:hAnsi="Arial"/>
          <w:sz w:val="21"/>
          <w:szCs w:val="21"/>
          <w:color w:val="auto"/>
        </w:rPr>
        <w:t>consistent with the Executive’s position as Chief Technology Officer and Head of Exploratory Research and Development. The Executive shall report to the Chief Executive Officer of the Company and/or the Company’s board of directors (the “Board”)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up to two other companies or community, charitable or industry organizations will be permitted only with the express approval of the Chief Executive Officer, provided that such activities do not create a conflict of interest or otherwise interfere with the Executive’s performance of the Executive’s duties hereunder. Membership on boards of directors of any other companies or community, charitable or industry organizations will be permitted only with the express approval of the Board. The Executive agrees to abide by the rules, regulations, instructions, personnel practices and policies of the Company and any changes therein that may be adopted from time to time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5" w:name="page176"/>
    <w:bookmarkEnd w:id="175"/>
    <w:p>
      <w:pPr>
        <w:ind w:left="-8" w:right="500" w:firstLine="8"/>
        <w:spacing w:after="0" w:line="250" w:lineRule="auto"/>
        <w:tabs>
          <w:tab w:leader="none" w:pos="208" w:val="left"/>
        </w:tabs>
        <w:numPr>
          <w:ilvl w:val="0"/>
          <w:numId w:val="88"/>
        </w:numPr>
        <w:rPr>
          <w:rFonts w:ascii="Arial" w:cs="Arial" w:eastAsia="Arial" w:hAnsi="Arial"/>
          <w:sz w:val="22"/>
          <w:szCs w:val="22"/>
          <w:color w:val="auto"/>
        </w:rPr>
      </w:pPr>
      <w:r>
        <w:rPr>
          <w:rFonts w:ascii="Arial" w:cs="Arial" w:eastAsia="Arial" w:hAnsi="Arial"/>
          <w:sz w:val="22"/>
          <w:szCs w:val="22"/>
          <w:i w:val="1"/>
          <w:iCs w:val="1"/>
          <w:color w:val="auto"/>
        </w:rPr>
        <w:t>Compensation</w:t>
      </w:r>
      <w:r>
        <w:rPr>
          <w:rFonts w:ascii="Arial" w:cs="Arial" w:eastAsia="Arial" w:hAnsi="Arial"/>
          <w:sz w:val="22"/>
          <w:szCs w:val="22"/>
          <w:color w:val="auto"/>
        </w:rPr>
        <w:t>. As full compensation for all services rendered by the Executive to the Company and any affiliate thereof,</w:t>
      </w:r>
      <w:r>
        <w:rPr>
          <w:rFonts w:ascii="Arial" w:cs="Arial" w:eastAsia="Arial" w:hAnsi="Arial"/>
          <w:sz w:val="22"/>
          <w:szCs w:val="22"/>
          <w:i w:val="1"/>
          <w:iCs w:val="1"/>
          <w:color w:val="auto"/>
        </w:rPr>
        <w:t xml:space="preserve"> </w:t>
      </w:r>
      <w:r>
        <w:rPr>
          <w:rFonts w:ascii="Arial" w:cs="Arial" w:eastAsia="Arial" w:hAnsi="Arial"/>
          <w:sz w:val="22"/>
          <w:szCs w:val="22"/>
          <w:color w:val="auto"/>
        </w:rPr>
        <w:t>during the Term of Employment, the Company will provide to the Executive the following:</w:t>
      </w:r>
    </w:p>
    <w:p>
      <w:pPr>
        <w:spacing w:after="0" w:line="174" w:lineRule="exact"/>
        <w:rPr>
          <w:rFonts w:ascii="Arial" w:cs="Arial" w:eastAsia="Arial" w:hAnsi="Arial"/>
          <w:sz w:val="22"/>
          <w:szCs w:val="22"/>
          <w:color w:val="auto"/>
        </w:rPr>
      </w:pPr>
    </w:p>
    <w:p>
      <w:pPr>
        <w:ind w:left="-8" w:right="440" w:firstLine="872"/>
        <w:spacing w:after="0" w:line="252" w:lineRule="auto"/>
        <w:tabs>
          <w:tab w:leader="none" w:pos="1149" w:val="left"/>
        </w:tabs>
        <w:numPr>
          <w:ilvl w:val="1"/>
          <w:numId w:val="88"/>
        </w:numPr>
        <w:rPr>
          <w:rFonts w:ascii="Arial" w:cs="Arial" w:eastAsia="Arial" w:hAnsi="Arial"/>
          <w:sz w:val="21"/>
          <w:szCs w:val="21"/>
          <w:color w:val="auto"/>
        </w:rPr>
      </w:pPr>
      <w:r>
        <w:rPr>
          <w:rFonts w:ascii="Arial" w:cs="Arial" w:eastAsia="Arial" w:hAnsi="Arial"/>
          <w:sz w:val="21"/>
          <w:szCs w:val="21"/>
          <w:i w:val="1"/>
          <w:iCs w:val="1"/>
          <w:color w:val="auto"/>
        </w:rPr>
        <w:t>Base Salary</w:t>
      </w:r>
      <w:r>
        <w:rPr>
          <w:rFonts w:ascii="Arial" w:cs="Arial" w:eastAsia="Arial" w:hAnsi="Arial"/>
          <w:sz w:val="21"/>
          <w:szCs w:val="21"/>
          <w:color w:val="auto"/>
        </w:rPr>
        <w:t>. Effective as of January 1, 2019, the Executive shall receive a base salary at the annualized rate of</w:t>
      </w:r>
      <w:r>
        <w:rPr>
          <w:rFonts w:ascii="Arial" w:cs="Arial" w:eastAsia="Arial" w:hAnsi="Arial"/>
          <w:sz w:val="21"/>
          <w:szCs w:val="21"/>
          <w:i w:val="1"/>
          <w:iCs w:val="1"/>
          <w:color w:val="auto"/>
        </w:rPr>
        <w:t xml:space="preserve"> </w:t>
      </w:r>
      <w:r>
        <w:rPr>
          <w:rFonts w:ascii="Arial" w:cs="Arial" w:eastAsia="Arial" w:hAnsi="Arial"/>
          <w:sz w:val="21"/>
          <w:szCs w:val="21"/>
          <w:color w:val="auto"/>
        </w:rPr>
        <w:t>$330,000.00 (the “Base Salary”). The Executive’s Base Salary shall be paid in equal installments in accordance with the Company’s regularly established payroll procedures. The Executive’s Base Salary will be reviewed from time to time by the Board and is subject to change in the discretion of the Board.</w:t>
      </w:r>
    </w:p>
    <w:p>
      <w:pPr>
        <w:spacing w:after="0" w:line="173" w:lineRule="exact"/>
        <w:rPr>
          <w:rFonts w:ascii="Arial" w:cs="Arial" w:eastAsia="Arial" w:hAnsi="Arial"/>
          <w:sz w:val="21"/>
          <w:szCs w:val="21"/>
          <w:color w:val="auto"/>
        </w:rPr>
      </w:pPr>
    </w:p>
    <w:p>
      <w:pPr>
        <w:ind w:left="-8" w:right="80" w:firstLine="872"/>
        <w:spacing w:after="0" w:line="245" w:lineRule="auto"/>
        <w:tabs>
          <w:tab w:leader="none" w:pos="1161" w:val="left"/>
        </w:tabs>
        <w:numPr>
          <w:ilvl w:val="1"/>
          <w:numId w:val="88"/>
        </w:numPr>
        <w:rPr>
          <w:rFonts w:ascii="Arial" w:cs="Arial" w:eastAsia="Arial" w:hAnsi="Arial"/>
          <w:sz w:val="21"/>
          <w:szCs w:val="21"/>
          <w:color w:val="auto"/>
        </w:rPr>
      </w:pPr>
      <w:r>
        <w:rPr>
          <w:rFonts w:ascii="Arial" w:cs="Arial" w:eastAsia="Arial" w:hAnsi="Arial"/>
          <w:sz w:val="21"/>
          <w:szCs w:val="21"/>
          <w:i w:val="1"/>
          <w:iCs w:val="1"/>
          <w:color w:val="auto"/>
        </w:rPr>
        <w:t>Annual Discretionary Bonus</w:t>
      </w:r>
      <w:r>
        <w:rPr>
          <w:rFonts w:ascii="Arial" w:cs="Arial" w:eastAsia="Arial" w:hAnsi="Arial"/>
          <w:sz w:val="21"/>
          <w:szCs w:val="21"/>
          <w:color w:val="auto"/>
        </w:rPr>
        <w:t>. Effective as of January 1, 2019, the Executive will be eligible to earn an annual</w:t>
      </w:r>
      <w:r>
        <w:rPr>
          <w:rFonts w:ascii="Arial" w:cs="Arial" w:eastAsia="Arial" w:hAnsi="Arial"/>
          <w:sz w:val="21"/>
          <w:szCs w:val="21"/>
          <w:i w:val="1"/>
          <w:iCs w:val="1"/>
          <w:color w:val="auto"/>
        </w:rPr>
        <w:t xml:space="preserve"> </w:t>
      </w:r>
      <w:r>
        <w:rPr>
          <w:rFonts w:ascii="Arial" w:cs="Arial" w:eastAsia="Arial" w:hAnsi="Arial"/>
          <w:sz w:val="21"/>
          <w:szCs w:val="21"/>
          <w:color w:val="auto"/>
        </w:rPr>
        <w:t>performance bonus of up to 40% of the Executive’s Base Salary (the “Target Bonus”), based upon the Board’s assessment of the Executive’s performance and the Company’s attainment of targeted goals as set by the Board in its sole discretion.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Executive’s bonus eligibility will be reviewed from time to time by the Board and is subject to change in the discretion of the Board.</w:t>
      </w:r>
    </w:p>
    <w:p>
      <w:pPr>
        <w:spacing w:after="0" w:line="184" w:lineRule="exact"/>
        <w:rPr>
          <w:rFonts w:ascii="Arial" w:cs="Arial" w:eastAsia="Arial" w:hAnsi="Arial"/>
          <w:sz w:val="21"/>
          <w:szCs w:val="21"/>
          <w:color w:val="auto"/>
        </w:rPr>
      </w:pPr>
    </w:p>
    <w:p>
      <w:pPr>
        <w:ind w:left="-8" w:right="160" w:firstLine="872"/>
        <w:spacing w:after="0" w:line="250" w:lineRule="auto"/>
        <w:tabs>
          <w:tab w:leader="none" w:pos="1149" w:val="left"/>
        </w:tabs>
        <w:numPr>
          <w:ilvl w:val="1"/>
          <w:numId w:val="88"/>
        </w:numPr>
        <w:rPr>
          <w:rFonts w:ascii="Arial" w:cs="Arial" w:eastAsia="Arial" w:hAnsi="Arial"/>
          <w:sz w:val="22"/>
          <w:szCs w:val="22"/>
          <w:color w:val="auto"/>
        </w:rPr>
      </w:pPr>
      <w:r>
        <w:rPr>
          <w:rFonts w:ascii="Arial" w:cs="Arial" w:eastAsia="Arial" w:hAnsi="Arial"/>
          <w:sz w:val="22"/>
          <w:szCs w:val="22"/>
          <w:i w:val="1"/>
          <w:iCs w:val="1"/>
          <w:color w:val="auto"/>
        </w:rPr>
        <w:t>Equity Award</w:t>
      </w:r>
      <w:r>
        <w:rPr>
          <w:rFonts w:ascii="Arial" w:cs="Arial" w:eastAsia="Arial" w:hAnsi="Arial"/>
          <w:sz w:val="22"/>
          <w:szCs w:val="22"/>
          <w:color w:val="auto"/>
        </w:rPr>
        <w:t>. The Executive will be eligible to receive equity awards, if any, at such times and on such terms and</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conditions as the Board shall, in its sole discretion, determine.</w:t>
      </w:r>
    </w:p>
    <w:p>
      <w:pPr>
        <w:spacing w:after="0" w:line="174" w:lineRule="exact"/>
        <w:rPr>
          <w:rFonts w:ascii="Arial" w:cs="Arial" w:eastAsia="Arial" w:hAnsi="Arial"/>
          <w:sz w:val="22"/>
          <w:szCs w:val="22"/>
          <w:color w:val="auto"/>
        </w:rPr>
      </w:pPr>
    </w:p>
    <w:p>
      <w:pPr>
        <w:ind w:left="-8" w:right="60" w:firstLine="872"/>
        <w:spacing w:after="0"/>
        <w:tabs>
          <w:tab w:leader="none" w:pos="1161" w:val="left"/>
        </w:tabs>
        <w:numPr>
          <w:ilvl w:val="1"/>
          <w:numId w:val="88"/>
        </w:numPr>
        <w:rPr>
          <w:rFonts w:ascii="Arial" w:cs="Arial" w:eastAsia="Arial" w:hAnsi="Arial"/>
          <w:sz w:val="22"/>
          <w:szCs w:val="22"/>
          <w:color w:val="auto"/>
        </w:rPr>
      </w:pPr>
      <w:r>
        <w:rPr>
          <w:rFonts w:ascii="Arial" w:cs="Arial" w:eastAsia="Arial" w:hAnsi="Arial"/>
          <w:sz w:val="22"/>
          <w:szCs w:val="22"/>
          <w:i w:val="1"/>
          <w:iCs w:val="1"/>
          <w:color w:val="auto"/>
        </w:rPr>
        <w:t>Paid Time Off</w:t>
      </w:r>
      <w:r>
        <w:rPr>
          <w:rFonts w:ascii="Arial" w:cs="Arial" w:eastAsia="Arial" w:hAnsi="Arial"/>
          <w:sz w:val="22"/>
          <w:szCs w:val="22"/>
          <w:color w:val="auto"/>
        </w:rPr>
        <w:t>. The Executive shall receive paid vacation time plus sick time, consistent with the Company’s</w:t>
      </w:r>
      <w:r>
        <w:rPr>
          <w:rFonts w:ascii="Arial" w:cs="Arial" w:eastAsia="Arial" w:hAnsi="Arial"/>
          <w:sz w:val="22"/>
          <w:szCs w:val="22"/>
          <w:i w:val="1"/>
          <w:iCs w:val="1"/>
          <w:color w:val="auto"/>
        </w:rPr>
        <w:t xml:space="preserve"> </w:t>
      </w:r>
      <w:r>
        <w:rPr>
          <w:rFonts w:ascii="Arial" w:cs="Arial" w:eastAsia="Arial" w:hAnsi="Arial"/>
          <w:sz w:val="22"/>
          <w:szCs w:val="22"/>
          <w:color w:val="auto"/>
        </w:rPr>
        <w:t>policies as in effect from time to time. In addition, the Executive shall receive paid time off for Company holidays which are set annually and in accordance with Company policy.</w:t>
      </w:r>
    </w:p>
    <w:p>
      <w:pPr>
        <w:spacing w:after="0" w:line="186" w:lineRule="exact"/>
        <w:rPr>
          <w:rFonts w:ascii="Arial" w:cs="Arial" w:eastAsia="Arial" w:hAnsi="Arial"/>
          <w:sz w:val="22"/>
          <w:szCs w:val="22"/>
          <w:color w:val="auto"/>
        </w:rPr>
      </w:pPr>
    </w:p>
    <w:p>
      <w:pPr>
        <w:jc w:val="both"/>
        <w:ind w:left="-8" w:right="40" w:firstLine="872"/>
        <w:spacing w:after="0" w:line="236" w:lineRule="auto"/>
        <w:tabs>
          <w:tab w:leader="none" w:pos="1149" w:val="left"/>
        </w:tabs>
        <w:numPr>
          <w:ilvl w:val="1"/>
          <w:numId w:val="88"/>
        </w:numPr>
        <w:rPr>
          <w:rFonts w:ascii="Arial" w:cs="Arial" w:eastAsia="Arial" w:hAnsi="Arial"/>
          <w:sz w:val="22"/>
          <w:szCs w:val="22"/>
          <w:color w:val="auto"/>
        </w:rPr>
      </w:pPr>
      <w:r>
        <w:rPr>
          <w:rFonts w:ascii="Arial" w:cs="Arial" w:eastAsia="Arial" w:hAnsi="Arial"/>
          <w:sz w:val="22"/>
          <w:szCs w:val="22"/>
          <w:i w:val="1"/>
          <w:iCs w:val="1"/>
          <w:color w:val="auto"/>
        </w:rPr>
        <w:t>Benefits</w:t>
      </w:r>
      <w:r>
        <w:rPr>
          <w:rFonts w:ascii="Arial" w:cs="Arial" w:eastAsia="Arial" w:hAnsi="Arial"/>
          <w:sz w:val="22"/>
          <w:szCs w:val="22"/>
          <w:color w:val="auto"/>
        </w:rPr>
        <w:t>. Subject to eligibility requirements and the Company’s polices, the Executive shall have the right, on the</w:t>
      </w:r>
      <w:r>
        <w:rPr>
          <w:rFonts w:ascii="Arial" w:cs="Arial" w:eastAsia="Arial" w:hAnsi="Arial"/>
          <w:sz w:val="22"/>
          <w:szCs w:val="22"/>
          <w:i w:val="1"/>
          <w:iCs w:val="1"/>
          <w:color w:val="auto"/>
        </w:rPr>
        <w:t xml:space="preserve"> </w:t>
      </w:r>
      <w:r>
        <w:rPr>
          <w:rFonts w:ascii="Arial" w:cs="Arial" w:eastAsia="Arial" w:hAnsi="Arial"/>
          <w:sz w:val="22"/>
          <w:szCs w:val="22"/>
          <w:color w:val="auto"/>
        </w:rPr>
        <w:t>same basis as other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w:t>
      </w:r>
    </w:p>
    <w:p>
      <w:pPr>
        <w:spacing w:after="0" w:line="187" w:lineRule="exact"/>
        <w:rPr>
          <w:rFonts w:ascii="Arial" w:cs="Arial" w:eastAsia="Arial" w:hAnsi="Arial"/>
          <w:sz w:val="22"/>
          <w:szCs w:val="22"/>
          <w:color w:val="auto"/>
        </w:rPr>
      </w:pPr>
    </w:p>
    <w:p>
      <w:pPr>
        <w:ind w:left="1132" w:hanging="268"/>
        <w:spacing w:after="0"/>
        <w:tabs>
          <w:tab w:leader="none" w:pos="1132" w:val="left"/>
        </w:tabs>
        <w:numPr>
          <w:ilvl w:val="1"/>
          <w:numId w:val="88"/>
        </w:numPr>
        <w:rPr>
          <w:rFonts w:ascii="Arial" w:cs="Arial" w:eastAsia="Arial" w:hAnsi="Arial"/>
          <w:sz w:val="19"/>
          <w:szCs w:val="19"/>
          <w:color w:val="auto"/>
        </w:rPr>
      </w:pPr>
      <w:r>
        <w:rPr>
          <w:rFonts w:ascii="Arial" w:cs="Arial" w:eastAsia="Arial" w:hAnsi="Arial"/>
          <w:sz w:val="19"/>
          <w:szCs w:val="19"/>
          <w:i w:val="1"/>
          <w:iCs w:val="1"/>
          <w:color w:val="auto"/>
        </w:rPr>
        <w:t>Withholdings</w:t>
      </w:r>
      <w:r>
        <w:rPr>
          <w:rFonts w:ascii="Arial" w:cs="Arial" w:eastAsia="Arial" w:hAnsi="Arial"/>
          <w:sz w:val="19"/>
          <w:szCs w:val="19"/>
          <w:color w:val="auto"/>
        </w:rPr>
        <w:t>. All compensation payable to the Executive shall be subject to applicable taxes and withholdings.</w:t>
      </w:r>
    </w:p>
    <w:p>
      <w:pPr>
        <w:spacing w:after="0" w:line="240" w:lineRule="exact"/>
        <w:rPr>
          <w:rFonts w:ascii="Arial" w:cs="Arial" w:eastAsia="Arial" w:hAnsi="Arial"/>
          <w:sz w:val="19"/>
          <w:szCs w:val="19"/>
          <w:color w:val="auto"/>
        </w:rPr>
      </w:pPr>
    </w:p>
    <w:p>
      <w:pPr>
        <w:ind w:left="-8" w:right="200" w:firstLine="8"/>
        <w:spacing w:after="0" w:line="250" w:lineRule="auto"/>
        <w:tabs>
          <w:tab w:leader="none" w:pos="208" w:val="left"/>
        </w:tabs>
        <w:numPr>
          <w:ilvl w:val="0"/>
          <w:numId w:val="88"/>
        </w:numPr>
        <w:rPr>
          <w:rFonts w:ascii="Arial" w:cs="Arial" w:eastAsia="Arial" w:hAnsi="Arial"/>
          <w:sz w:val="22"/>
          <w:szCs w:val="22"/>
          <w:color w:val="auto"/>
        </w:rPr>
      </w:pPr>
      <w:r>
        <w:rPr>
          <w:rFonts w:ascii="Arial" w:cs="Arial" w:eastAsia="Arial" w:hAnsi="Arial"/>
          <w:sz w:val="22"/>
          <w:szCs w:val="22"/>
          <w:i w:val="1"/>
          <w:iCs w:val="1"/>
          <w:color w:val="auto"/>
        </w:rPr>
        <w:t>Expenses</w:t>
      </w:r>
      <w:r>
        <w:rPr>
          <w:rFonts w:ascii="Arial" w:cs="Arial" w:eastAsia="Arial" w:hAnsi="Arial"/>
          <w:sz w:val="22"/>
          <w:szCs w:val="22"/>
          <w:color w:val="auto"/>
        </w:rPr>
        <w:t>. The Executive will be reimbursed for his actual, necessary and reasonable business expense pursuant to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policy, subject to the provisions of Section 3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74" w:lineRule="exact"/>
        <w:rPr>
          <w:rFonts w:ascii="Arial" w:cs="Arial" w:eastAsia="Arial" w:hAnsi="Arial"/>
          <w:sz w:val="22"/>
          <w:szCs w:val="22"/>
          <w:color w:val="auto"/>
        </w:rPr>
      </w:pPr>
    </w:p>
    <w:p>
      <w:pPr>
        <w:ind w:left="-8" w:firstLine="8"/>
        <w:spacing w:after="0" w:line="250" w:lineRule="auto"/>
        <w:tabs>
          <w:tab w:leader="none" w:pos="208" w:val="left"/>
        </w:tabs>
        <w:numPr>
          <w:ilvl w:val="0"/>
          <w:numId w:val="88"/>
        </w:numPr>
        <w:rPr>
          <w:rFonts w:ascii="Arial" w:cs="Arial" w:eastAsia="Arial" w:hAnsi="Arial"/>
          <w:sz w:val="22"/>
          <w:szCs w:val="22"/>
          <w:color w:val="auto"/>
        </w:rPr>
      </w:pPr>
      <w:r>
        <w:rPr>
          <w:rFonts w:ascii="Arial" w:cs="Arial" w:eastAsia="Arial" w:hAnsi="Arial"/>
          <w:sz w:val="22"/>
          <w:szCs w:val="22"/>
          <w:i w:val="1"/>
          <w:iCs w:val="1"/>
          <w:color w:val="auto"/>
        </w:rPr>
        <w:t>Employment Termination</w:t>
      </w:r>
      <w:r>
        <w:rPr>
          <w:rFonts w:ascii="Arial" w:cs="Arial" w:eastAsia="Arial" w:hAnsi="Arial"/>
          <w:sz w:val="22"/>
          <w:szCs w:val="22"/>
          <w:color w:val="auto"/>
        </w:rPr>
        <w:t>. This Agreement and the employment of the Executive shall terminate upon the occurrence of any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488950</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72"/>
          </w:cols>
          <w:pgMar w:left="328" w:top="361" w:right="399" w:bottom="1440" w:gutter="0" w:footer="0" w:header="0"/>
        </w:sectPr>
      </w:pPr>
    </w:p>
    <w:bookmarkStart w:id="176" w:name="page177"/>
    <w:bookmarkEnd w:id="176"/>
    <w:p>
      <w:pPr>
        <w:ind w:left="-858" w:right="160" w:firstLine="872"/>
        <w:spacing w:after="0" w:line="282" w:lineRule="auto"/>
        <w:tabs>
          <w:tab w:leader="none" w:pos="299" w:val="left"/>
        </w:tabs>
        <w:numPr>
          <w:ilvl w:val="1"/>
          <w:numId w:val="89"/>
        </w:numPr>
        <w:rPr>
          <w:rFonts w:ascii="Arial" w:cs="Arial" w:eastAsia="Arial" w:hAnsi="Arial"/>
          <w:sz w:val="19"/>
          <w:szCs w:val="19"/>
          <w:color w:val="auto"/>
        </w:rPr>
      </w:pPr>
      <w:r>
        <w:rPr>
          <w:rFonts w:ascii="Arial" w:cs="Arial" w:eastAsia="Arial" w:hAnsi="Arial"/>
          <w:sz w:val="19"/>
          <w:szCs w:val="19"/>
          <w:color w:val="auto"/>
        </w:rPr>
        <w:t>Upon the death of the Executive or at the election of the Company due to the Executive’s “Disability”.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during any twelve-month period. The Company shall determine in good faith and in its sole discretion whether the Executive is unable to perform the services provided for herein.</w:t>
      </w:r>
    </w:p>
    <w:p>
      <w:pPr>
        <w:spacing w:after="0" w:line="147" w:lineRule="exact"/>
        <w:rPr>
          <w:rFonts w:ascii="Arial" w:cs="Arial" w:eastAsia="Arial" w:hAnsi="Arial"/>
          <w:sz w:val="19"/>
          <w:szCs w:val="19"/>
          <w:color w:val="auto"/>
        </w:rPr>
      </w:pPr>
    </w:p>
    <w:p>
      <w:pPr>
        <w:ind w:left="-858" w:right="300" w:firstLine="872"/>
        <w:spacing w:after="0"/>
        <w:tabs>
          <w:tab w:leader="none" w:pos="311" w:val="left"/>
        </w:tabs>
        <w:numPr>
          <w:ilvl w:val="1"/>
          <w:numId w:val="89"/>
        </w:numPr>
        <w:rPr>
          <w:rFonts w:ascii="Arial" w:cs="Arial" w:eastAsia="Arial" w:hAnsi="Arial"/>
          <w:sz w:val="22"/>
          <w:szCs w:val="22"/>
          <w:color w:val="auto"/>
        </w:rPr>
      </w:pPr>
      <w:r>
        <w:rPr>
          <w:rFonts w:ascii="Arial" w:cs="Arial" w:eastAsia="Arial" w:hAnsi="Arial"/>
          <w:sz w:val="22"/>
          <w:szCs w:val="22"/>
          <w:color w:val="auto"/>
        </w:rPr>
        <w:t>At the election of the Company, with or without “Cause” (as defined below), immediately upon written notice by the Company to the Executive. As used in this Agreement, “Cause” shall mean a finding by the Company’s Chief Executive Officer or the Board that the Executive:</w:t>
      </w:r>
    </w:p>
    <w:p>
      <w:pPr>
        <w:spacing w:after="0" w:line="186" w:lineRule="exact"/>
        <w:rPr>
          <w:rFonts w:ascii="Arial" w:cs="Arial" w:eastAsia="Arial" w:hAnsi="Arial"/>
          <w:sz w:val="22"/>
          <w:szCs w:val="22"/>
          <w:color w:val="auto"/>
        </w:rPr>
      </w:pPr>
    </w:p>
    <w:p>
      <w:pPr>
        <w:ind w:left="842" w:right="240" w:hanging="842"/>
        <w:spacing w:after="0" w:line="250" w:lineRule="auto"/>
        <w:tabs>
          <w:tab w:leader="none" w:pos="842" w:val="left"/>
        </w:tabs>
        <w:numPr>
          <w:ilvl w:val="0"/>
          <w:numId w:val="90"/>
        </w:numPr>
        <w:rPr>
          <w:rFonts w:ascii="Arial" w:cs="Arial" w:eastAsia="Arial" w:hAnsi="Arial"/>
          <w:sz w:val="22"/>
          <w:szCs w:val="22"/>
          <w:color w:val="auto"/>
        </w:rPr>
      </w:pPr>
      <w:r>
        <w:rPr>
          <w:rFonts w:ascii="Arial" w:cs="Arial" w:eastAsia="Arial" w:hAnsi="Arial"/>
          <w:sz w:val="22"/>
          <w:szCs w:val="22"/>
          <w:color w:val="auto"/>
        </w:rPr>
        <w:t>performed his duties, in the good faith opinion of the Company’s Chief Executive Officer or the Board, in a grossly negligent or reckless manner or with willful malfeasance;</w:t>
      </w:r>
    </w:p>
    <w:p>
      <w:pPr>
        <w:spacing w:after="0" w:line="174" w:lineRule="exact"/>
        <w:rPr>
          <w:rFonts w:ascii="Arial" w:cs="Arial" w:eastAsia="Arial" w:hAnsi="Arial"/>
          <w:sz w:val="22"/>
          <w:szCs w:val="22"/>
          <w:color w:val="auto"/>
        </w:rPr>
      </w:pPr>
    </w:p>
    <w:p>
      <w:pPr>
        <w:ind w:left="842" w:hanging="842"/>
        <w:spacing w:after="0"/>
        <w:tabs>
          <w:tab w:leader="none" w:pos="842" w:val="left"/>
        </w:tabs>
        <w:numPr>
          <w:ilvl w:val="0"/>
          <w:numId w:val="90"/>
        </w:numPr>
        <w:rPr>
          <w:rFonts w:ascii="Arial" w:cs="Arial" w:eastAsia="Arial" w:hAnsi="Arial"/>
          <w:sz w:val="22"/>
          <w:szCs w:val="22"/>
          <w:color w:val="auto"/>
        </w:rPr>
      </w:pPr>
      <w:r>
        <w:rPr>
          <w:rFonts w:ascii="Arial" w:cs="Arial" w:eastAsia="Arial" w:hAnsi="Arial"/>
          <w:sz w:val="22"/>
          <w:szCs w:val="22"/>
          <w:color w:val="auto"/>
        </w:rPr>
        <w:t>exhibited habitual drunkenness or engaged in substance abuse;</w:t>
      </w:r>
    </w:p>
    <w:p>
      <w:pPr>
        <w:spacing w:after="0" w:line="206" w:lineRule="exact"/>
        <w:rPr>
          <w:rFonts w:ascii="Arial" w:cs="Arial" w:eastAsia="Arial" w:hAnsi="Arial"/>
          <w:sz w:val="22"/>
          <w:szCs w:val="22"/>
          <w:color w:val="auto"/>
        </w:rPr>
      </w:pPr>
    </w:p>
    <w:p>
      <w:pPr>
        <w:ind w:left="842" w:hanging="842"/>
        <w:spacing w:after="0"/>
        <w:tabs>
          <w:tab w:leader="none" w:pos="842" w:val="left"/>
        </w:tabs>
        <w:numPr>
          <w:ilvl w:val="0"/>
          <w:numId w:val="90"/>
        </w:numPr>
        <w:rPr>
          <w:rFonts w:ascii="Arial" w:cs="Arial" w:eastAsia="Arial" w:hAnsi="Arial"/>
          <w:sz w:val="22"/>
          <w:szCs w:val="22"/>
          <w:color w:val="auto"/>
        </w:rPr>
      </w:pPr>
      <w:r>
        <w:rPr>
          <w:rFonts w:ascii="Arial" w:cs="Arial" w:eastAsia="Arial" w:hAnsi="Arial"/>
          <w:sz w:val="22"/>
          <w:szCs w:val="22"/>
          <w:color w:val="auto"/>
        </w:rPr>
        <w:t>committed any material violation of any state or federal law relating to the workplace environment (including, without limitation, laws relating to sexual harassment or age, sex or other prohibited discrimination) or any material violation of any material Company policy;</w:t>
      </w:r>
    </w:p>
    <w:p>
      <w:pPr>
        <w:spacing w:after="0" w:line="186" w:lineRule="exact"/>
        <w:rPr>
          <w:rFonts w:ascii="Arial" w:cs="Arial" w:eastAsia="Arial" w:hAnsi="Arial"/>
          <w:sz w:val="22"/>
          <w:szCs w:val="22"/>
          <w:color w:val="auto"/>
        </w:rPr>
      </w:pPr>
    </w:p>
    <w:p>
      <w:pPr>
        <w:ind w:left="842" w:hanging="842"/>
        <w:spacing w:after="0" w:line="234" w:lineRule="auto"/>
        <w:tabs>
          <w:tab w:leader="none" w:pos="842"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willfully failed or refused to perform in the usual manner at the usual time those duties which he regularly and routinely performed in connection with the business of the Company or such other duties reasonably related to the capacity in which the Executive is employed hereunder which may be assigned to the Executive by the Company’s Chief Executive Officer or the Board, which failure or refusal continues for a period of more than seven (7) days after written notice thereof has been provided to the Executive by the Company’s Chief Executive Officer or the Board, such notice to set forth in reasonable detail the nature of such failure or refusal;</w:t>
      </w:r>
    </w:p>
    <w:p>
      <w:pPr>
        <w:spacing w:after="0" w:line="190" w:lineRule="exact"/>
        <w:rPr>
          <w:rFonts w:ascii="Arial" w:cs="Arial" w:eastAsia="Arial" w:hAnsi="Arial"/>
          <w:sz w:val="22"/>
          <w:szCs w:val="22"/>
          <w:color w:val="auto"/>
        </w:rPr>
      </w:pPr>
    </w:p>
    <w:p>
      <w:pPr>
        <w:ind w:left="842" w:right="400" w:hanging="842"/>
        <w:spacing w:after="0" w:line="250" w:lineRule="auto"/>
        <w:tabs>
          <w:tab w:leader="none" w:pos="842" w:val="left"/>
        </w:tabs>
        <w:numPr>
          <w:ilvl w:val="0"/>
          <w:numId w:val="90"/>
        </w:numPr>
        <w:rPr>
          <w:rFonts w:ascii="Arial" w:cs="Arial" w:eastAsia="Arial" w:hAnsi="Arial"/>
          <w:sz w:val="22"/>
          <w:szCs w:val="22"/>
          <w:color w:val="auto"/>
        </w:rPr>
      </w:pPr>
      <w:r>
        <w:rPr>
          <w:rFonts w:ascii="Arial" w:cs="Arial" w:eastAsia="Arial" w:hAnsi="Arial"/>
          <w:sz w:val="22"/>
          <w:szCs w:val="22"/>
          <w:color w:val="auto"/>
        </w:rPr>
        <w:t>performed any material action when specifically and reasonably instructed not to do so by the Company’s Chief Executive Officer or the Board;</w:t>
      </w:r>
    </w:p>
    <w:p>
      <w:pPr>
        <w:spacing w:after="0" w:line="174" w:lineRule="exact"/>
        <w:rPr>
          <w:rFonts w:ascii="Arial" w:cs="Arial" w:eastAsia="Arial" w:hAnsi="Arial"/>
          <w:sz w:val="22"/>
          <w:szCs w:val="22"/>
          <w:color w:val="auto"/>
        </w:rPr>
      </w:pPr>
    </w:p>
    <w:p>
      <w:pPr>
        <w:ind w:left="842" w:right="40" w:hanging="842"/>
        <w:spacing w:after="0"/>
        <w:tabs>
          <w:tab w:leader="none" w:pos="842" w:val="left"/>
        </w:tabs>
        <w:numPr>
          <w:ilvl w:val="0"/>
          <w:numId w:val="90"/>
        </w:numPr>
        <w:rPr>
          <w:rFonts w:ascii="Arial" w:cs="Arial" w:eastAsia="Arial" w:hAnsi="Arial"/>
          <w:sz w:val="22"/>
          <w:szCs w:val="22"/>
          <w:color w:val="auto"/>
        </w:rPr>
      </w:pPr>
      <w:r>
        <w:rPr>
          <w:rFonts w:ascii="Arial" w:cs="Arial" w:eastAsia="Arial" w:hAnsi="Arial"/>
          <w:sz w:val="22"/>
          <w:szCs w:val="22"/>
          <w:color w:val="auto"/>
        </w:rPr>
        <w:t>committed any fraud or used or appropriated for his personal use or benefit any funds, properties or opportunities of the Company not authorized by the Company’s Chief Executive Officer or the Board to be so used or appropriated; or</w:t>
      </w:r>
    </w:p>
    <w:p>
      <w:pPr>
        <w:spacing w:after="0" w:line="186" w:lineRule="exact"/>
        <w:rPr>
          <w:rFonts w:ascii="Arial" w:cs="Arial" w:eastAsia="Arial" w:hAnsi="Arial"/>
          <w:sz w:val="22"/>
          <w:szCs w:val="22"/>
          <w:color w:val="auto"/>
        </w:rPr>
      </w:pPr>
    </w:p>
    <w:p>
      <w:pPr>
        <w:ind w:left="842" w:right="300" w:hanging="842"/>
        <w:spacing w:after="0" w:line="250" w:lineRule="auto"/>
        <w:tabs>
          <w:tab w:leader="none" w:pos="842" w:val="left"/>
        </w:tabs>
        <w:numPr>
          <w:ilvl w:val="0"/>
          <w:numId w:val="90"/>
        </w:numPr>
        <w:rPr>
          <w:rFonts w:ascii="Arial" w:cs="Arial" w:eastAsia="Arial" w:hAnsi="Arial"/>
          <w:sz w:val="22"/>
          <w:szCs w:val="22"/>
          <w:color w:val="auto"/>
        </w:rPr>
      </w:pPr>
      <w:r>
        <w:rPr>
          <w:rFonts w:ascii="Arial" w:cs="Arial" w:eastAsia="Arial" w:hAnsi="Arial"/>
          <w:sz w:val="22"/>
          <w:szCs w:val="22"/>
          <w:color w:val="auto"/>
        </w:rPr>
        <w:t>was convicted of, or pled guilty or “no contest” to, any felony or any other crime related to the Executive’s employment or involving moral turpitude.</w:t>
      </w:r>
    </w:p>
    <w:p>
      <w:pPr>
        <w:spacing w:after="0" w:line="174" w:lineRule="exact"/>
        <w:rPr>
          <w:rFonts w:ascii="Arial" w:cs="Arial" w:eastAsia="Arial" w:hAnsi="Arial"/>
          <w:sz w:val="22"/>
          <w:szCs w:val="22"/>
          <w:color w:val="auto"/>
        </w:rPr>
      </w:pPr>
    </w:p>
    <w:p>
      <w:pPr>
        <w:ind w:left="-858" w:right="160" w:firstLine="872"/>
        <w:spacing w:after="0" w:line="297" w:lineRule="auto"/>
        <w:tabs>
          <w:tab w:leader="none" w:pos="299" w:val="left"/>
        </w:tabs>
        <w:numPr>
          <w:ilvl w:val="1"/>
          <w:numId w:val="90"/>
        </w:numPr>
        <w:rPr>
          <w:rFonts w:ascii="Arial" w:cs="Arial" w:eastAsia="Arial" w:hAnsi="Arial"/>
          <w:sz w:val="19"/>
          <w:szCs w:val="19"/>
          <w:color w:val="auto"/>
        </w:rPr>
      </w:pPr>
      <w:r>
        <w:rPr>
          <w:rFonts w:ascii="Arial" w:cs="Arial" w:eastAsia="Arial" w:hAnsi="Arial"/>
          <w:sz w:val="19"/>
          <w:szCs w:val="19"/>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462915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2"/>
          </w:cols>
          <w:pgMar w:left="1178" w:top="361" w:right="339" w:bottom="1440" w:gutter="0" w:footer="0" w:header="0"/>
        </w:sectPr>
      </w:pPr>
    </w:p>
    <w:bookmarkStart w:id="177" w:name="page178"/>
    <w:bookmarkEnd w:id="177"/>
    <w:p>
      <w:pPr>
        <w:ind w:left="1700" w:hanging="842"/>
        <w:spacing w:after="0"/>
        <w:tabs>
          <w:tab w:leader="none" w:pos="17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 material diminution in the nature or scope of Executive’s duties, responsibilities, or authority;</w:t>
      </w:r>
    </w:p>
    <w:p>
      <w:pPr>
        <w:spacing w:after="0" w:line="206" w:lineRule="exact"/>
        <w:rPr>
          <w:rFonts w:ascii="Arial" w:cs="Arial" w:eastAsia="Arial" w:hAnsi="Arial"/>
          <w:sz w:val="22"/>
          <w:szCs w:val="22"/>
          <w:color w:val="auto"/>
        </w:rPr>
      </w:pPr>
    </w:p>
    <w:p>
      <w:pPr>
        <w:ind w:left="1700" w:hanging="842"/>
        <w:spacing w:after="0"/>
        <w:tabs>
          <w:tab w:leader="none" w:pos="17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 material diminution of the Executive’s base compensation;</w:t>
      </w:r>
    </w:p>
    <w:p>
      <w:pPr>
        <w:spacing w:after="0" w:line="206" w:lineRule="exact"/>
        <w:rPr>
          <w:rFonts w:ascii="Arial" w:cs="Arial" w:eastAsia="Arial" w:hAnsi="Arial"/>
          <w:sz w:val="22"/>
          <w:szCs w:val="22"/>
          <w:color w:val="auto"/>
        </w:rPr>
      </w:pPr>
    </w:p>
    <w:p>
      <w:pPr>
        <w:ind w:left="1700" w:right="80" w:hanging="842"/>
        <w:spacing w:after="0" w:line="250" w:lineRule="auto"/>
        <w:tabs>
          <w:tab w:leader="none" w:pos="17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Company’s requiring Executive to relocate Executive’s primary office more than fifty (50) miles from the Executive’s then-current primary office; or</w:t>
      </w:r>
    </w:p>
    <w:p>
      <w:pPr>
        <w:spacing w:after="0" w:line="174" w:lineRule="exact"/>
        <w:rPr>
          <w:rFonts w:ascii="Arial" w:cs="Arial" w:eastAsia="Arial" w:hAnsi="Arial"/>
          <w:sz w:val="22"/>
          <w:szCs w:val="22"/>
          <w:color w:val="auto"/>
        </w:rPr>
      </w:pPr>
    </w:p>
    <w:p>
      <w:pPr>
        <w:ind w:left="1700" w:hanging="842"/>
        <w:spacing w:after="0"/>
        <w:tabs>
          <w:tab w:leader="none" w:pos="170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any material breach of this Agreement by the Company not otherwise covered by this paragraph;</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85" w:lineRule="exact"/>
        <w:rPr>
          <w:sz w:val="20"/>
          <w:szCs w:val="20"/>
          <w:color w:val="auto"/>
        </w:rPr>
      </w:pPr>
    </w:p>
    <w:p>
      <w:pPr>
        <w:ind w:left="220" w:hanging="212"/>
        <w:spacing w:after="0"/>
        <w:tabs>
          <w:tab w:leader="none" w:pos="220" w:val="left"/>
        </w:tabs>
        <w:numPr>
          <w:ilvl w:val="0"/>
          <w:numId w:val="92"/>
        </w:numPr>
        <w:rPr>
          <w:rFonts w:ascii="Arial" w:cs="Arial" w:eastAsia="Arial" w:hAnsi="Arial"/>
          <w:sz w:val="22"/>
          <w:szCs w:val="22"/>
          <w:color w:val="auto"/>
        </w:rPr>
      </w:pPr>
      <w:r>
        <w:rPr>
          <w:rFonts w:ascii="Arial" w:cs="Arial" w:eastAsia="Arial" w:hAnsi="Arial"/>
          <w:sz w:val="22"/>
          <w:szCs w:val="22"/>
          <w:i w:val="1"/>
          <w:iCs w:val="1"/>
          <w:color w:val="auto"/>
        </w:rPr>
        <w:t>Effect of 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00" w:firstLine="872"/>
        <w:spacing w:after="0" w:line="272" w:lineRule="auto"/>
        <w:tabs>
          <w:tab w:leader="none" w:pos="1207" w:val="left"/>
        </w:tabs>
        <w:numPr>
          <w:ilvl w:val="1"/>
          <w:numId w:val="92"/>
        </w:numPr>
        <w:rPr>
          <w:rFonts w:ascii="Arial" w:cs="Arial" w:eastAsia="Arial" w:hAnsi="Arial"/>
          <w:sz w:val="19"/>
          <w:szCs w:val="19"/>
          <w:color w:val="auto"/>
        </w:rPr>
      </w:pPr>
      <w:r>
        <w:rPr>
          <w:rFonts w:ascii="Arial" w:cs="Arial" w:eastAsia="Arial" w:hAnsi="Arial"/>
          <w:sz w:val="19"/>
          <w:szCs w:val="19"/>
          <w:i w:val="1"/>
          <w:iCs w:val="1"/>
          <w:color w:val="auto"/>
        </w:rPr>
        <w:t>All Terminations Other Than by the Company Without Cause or by the Executive With Good Reason</w:t>
      </w:r>
      <w:r>
        <w:rPr>
          <w:rFonts w:ascii="Arial" w:cs="Arial" w:eastAsia="Arial" w:hAnsi="Arial"/>
          <w:sz w:val="19"/>
          <w:szCs w:val="19"/>
          <w:color w:val="auto"/>
        </w:rPr>
        <w:t>. If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employment is terminated under any circumstances other than a Qualifying Termination (as defined below) (including a voluntary termination by the Executive without Good Reason pursuant to Section 6(c), a termination by the Company for Cause pursuant to Section 6(b) or due to the Executive’s death or Disability pursuant to Section 6(a)),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accrued but unused paid time off through and including the effective date of such termination,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55" w:lineRule="exact"/>
        <w:rPr>
          <w:rFonts w:ascii="Arial" w:cs="Arial" w:eastAsia="Arial" w:hAnsi="Arial"/>
          <w:sz w:val="19"/>
          <w:szCs w:val="19"/>
          <w:color w:val="auto"/>
        </w:rPr>
      </w:pPr>
    </w:p>
    <w:p>
      <w:pPr>
        <w:ind w:firstLine="872"/>
        <w:spacing w:after="0" w:line="246" w:lineRule="auto"/>
        <w:tabs>
          <w:tab w:leader="none" w:pos="1169" w:val="left"/>
        </w:tabs>
        <w:numPr>
          <w:ilvl w:val="1"/>
          <w:numId w:val="92"/>
        </w:numPr>
        <w:rPr>
          <w:rFonts w:ascii="Arial" w:cs="Arial" w:eastAsia="Arial" w:hAnsi="Arial"/>
          <w:sz w:val="21"/>
          <w:szCs w:val="21"/>
          <w:color w:val="auto"/>
        </w:rPr>
      </w:pPr>
      <w:r>
        <w:rPr>
          <w:rFonts w:ascii="Arial" w:cs="Arial" w:eastAsia="Arial" w:hAnsi="Arial"/>
          <w:sz w:val="21"/>
          <w:szCs w:val="21"/>
          <w:i w:val="1"/>
          <w:iCs w:val="1"/>
          <w:color w:val="auto"/>
        </w:rPr>
        <w:t xml:space="preserve">Termination by the Company Without Cause or by the Executive With Good Reason Prior to or More Than Twelve Months Following a Change in Control. </w:t>
      </w:r>
      <w:r>
        <w:rPr>
          <w:rFonts w:ascii="Arial" w:cs="Arial" w:eastAsia="Arial" w:hAnsi="Arial"/>
          <w:sz w:val="21"/>
          <w:szCs w:val="21"/>
          <w:color w:val="auto"/>
        </w:rPr>
        <w:t>If the Executive’s employment is terminated by the Company without Cause pursuant to</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Section 6(b) or by the Executive with Good Reason pursuant to Section 6(c) (in either case, a “Qualifying Termination”) prior to or more than twelve (12) months following a Change in Control (as defined below), the Executive shall be entitled to the Accrued Obligations. In addition, and subject to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conditions of Section 7(d), the Company shall: (i) continue to pay to the Executive, in accordance with the Company’s regularly established payroll procedures, the Executive’s Base Salary for a period of twelve (12) months and (ii) provided the Executive is eligible for and timely elects to continue receiving group medical insurance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8" w:name="page179"/>
    <w:bookmarkEnd w:id="178"/>
    <w:p>
      <w:pPr>
        <w:ind w:right="180"/>
        <w:spacing w:after="0" w:line="287" w:lineRule="auto"/>
        <w:rPr>
          <w:sz w:val="20"/>
          <w:szCs w:val="20"/>
          <w:color w:val="auto"/>
        </w:rPr>
      </w:pPr>
      <w:r>
        <w:rPr>
          <w:rFonts w:ascii="Arial" w:cs="Arial" w:eastAsia="Arial" w:hAnsi="Arial"/>
          <w:sz w:val="19"/>
          <w:szCs w:val="19"/>
          <w:color w:val="auto"/>
        </w:rPr>
        <w:t>“COBRA”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143" w:lineRule="exact"/>
        <w:rPr>
          <w:sz w:val="20"/>
          <w:szCs w:val="20"/>
          <w:color w:val="auto"/>
        </w:rPr>
      </w:pPr>
    </w:p>
    <w:p>
      <w:pPr>
        <w:ind w:right="40" w:firstLine="872"/>
        <w:spacing w:after="0" w:line="271" w:lineRule="auto"/>
        <w:tabs>
          <w:tab w:leader="none" w:pos="1157" w:val="left"/>
        </w:tabs>
        <w:numPr>
          <w:ilvl w:val="0"/>
          <w:numId w:val="93"/>
        </w:numPr>
        <w:rPr>
          <w:rFonts w:ascii="Arial" w:cs="Arial" w:eastAsia="Arial" w:hAnsi="Arial"/>
          <w:sz w:val="19"/>
          <w:szCs w:val="19"/>
          <w:color w:val="auto"/>
        </w:rPr>
      </w:pPr>
      <w:r>
        <w:rPr>
          <w:rFonts w:ascii="Arial" w:cs="Arial" w:eastAsia="Arial" w:hAnsi="Arial"/>
          <w:sz w:val="19"/>
          <w:szCs w:val="19"/>
          <w:i w:val="1"/>
          <w:iCs w:val="1"/>
          <w:color w:val="auto"/>
        </w:rPr>
        <w:t xml:space="preserve">Termination by the Company Without Cause or by the Executive With Good Reason Within Twelve Months Following a Change in Control. </w:t>
      </w:r>
      <w:r>
        <w:rPr>
          <w:rFonts w:ascii="Arial" w:cs="Arial" w:eastAsia="Arial" w:hAnsi="Arial"/>
          <w:sz w:val="19"/>
          <w:szCs w:val="19"/>
          <w:color w:val="auto"/>
        </w:rPr>
        <w:t>If a Qualifying Termination occurs within twelve (12) months following a Change in Control,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then the Executive shall be entitled to the Accrued Obligations. In addition, and subject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conditions of Section 7(d), the Company shall: (i) continue to pay to the Executive, in accordance with the Company’s regularly established payroll procedures, the Executive’s Base Salary for a period of twelve (12) months; (ii) pay to the Executive, in a single lump sum on the Payment Date (as defined below) an amount equal to 100% of the Executive’s Target Bonus for the year in which termination occurs or the Executive’s Target Bonus immediately prior to the Change in Control, if higher,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 unvested time-based equity awards shall vest and become fully exercisable or non-forfeitable as of the termination date (collectively, the “Change in Control Severance Benefits”).</w:t>
      </w:r>
    </w:p>
    <w:p>
      <w:pPr>
        <w:spacing w:after="0" w:line="164" w:lineRule="exact"/>
        <w:rPr>
          <w:rFonts w:ascii="Arial" w:cs="Arial" w:eastAsia="Arial" w:hAnsi="Arial"/>
          <w:sz w:val="19"/>
          <w:szCs w:val="19"/>
          <w:color w:val="auto"/>
        </w:rPr>
      </w:pPr>
    </w:p>
    <w:p>
      <w:pPr>
        <w:ind w:firstLine="872"/>
        <w:spacing w:after="0" w:line="244" w:lineRule="auto"/>
        <w:tabs>
          <w:tab w:leader="none" w:pos="1169" w:val="left"/>
        </w:tabs>
        <w:numPr>
          <w:ilvl w:val="0"/>
          <w:numId w:val="93"/>
        </w:numPr>
        <w:rPr>
          <w:rFonts w:ascii="Arial" w:cs="Arial" w:eastAsia="Arial" w:hAnsi="Arial"/>
          <w:sz w:val="21"/>
          <w:szCs w:val="21"/>
          <w:color w:val="auto"/>
        </w:rPr>
      </w:pPr>
      <w:r>
        <w:rPr>
          <w:rFonts w:ascii="Arial" w:cs="Arial" w:eastAsia="Arial" w:hAnsi="Arial"/>
          <w:sz w:val="21"/>
          <w:szCs w:val="21"/>
          <w:i w:val="1"/>
          <w:iCs w:val="1"/>
          <w:color w:val="auto"/>
        </w:rPr>
        <w:t>Severance and Release of Claims Agreement</w:t>
      </w:r>
      <w:r>
        <w:rPr>
          <w:rFonts w:ascii="Arial" w:cs="Arial" w:eastAsia="Arial" w:hAnsi="Arial"/>
          <w:sz w:val="21"/>
          <w:szCs w:val="21"/>
          <w:color w:val="auto"/>
        </w:rPr>
        <w:t>. As a condition of the Executive’s receipt of the Severance Benefits or</w:t>
      </w:r>
      <w:r>
        <w:rPr>
          <w:rFonts w:ascii="Arial" w:cs="Arial" w:eastAsia="Arial" w:hAnsi="Arial"/>
          <w:sz w:val="21"/>
          <w:szCs w:val="21"/>
          <w:i w:val="1"/>
          <w:iCs w:val="1"/>
          <w:color w:val="auto"/>
        </w:rPr>
        <w:t xml:space="preserve"> </w:t>
      </w:r>
      <w:r>
        <w:rPr>
          <w:rFonts w:ascii="Arial" w:cs="Arial" w:eastAsia="Arial" w:hAnsi="Arial"/>
          <w:sz w:val="21"/>
          <w:szCs w:val="21"/>
          <w:color w:val="auto"/>
        </w:rPr>
        <w:t>the Change in Control Severance Benefits, as applicable, the 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(or shorter period as may be directed by the Company)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w:t>
      </w:r>
    </w:p>
    <w:p>
      <w:pPr>
        <w:spacing w:after="0" w:line="188" w:lineRule="exact"/>
        <w:rPr>
          <w:rFonts w:ascii="Arial" w:cs="Arial" w:eastAsia="Arial" w:hAnsi="Arial"/>
          <w:sz w:val="21"/>
          <w:szCs w:val="21"/>
          <w:color w:val="auto"/>
        </w:rPr>
      </w:pPr>
    </w:p>
    <w:p>
      <w:pPr>
        <w:jc w:val="both"/>
        <w:ind w:right="160" w:firstLine="872"/>
        <w:spacing w:after="0" w:line="287" w:lineRule="auto"/>
        <w:tabs>
          <w:tab w:leader="none" w:pos="1157" w:val="left"/>
        </w:tabs>
        <w:numPr>
          <w:ilvl w:val="0"/>
          <w:numId w:val="93"/>
        </w:numPr>
        <w:rPr>
          <w:rFonts w:ascii="Arial" w:cs="Arial" w:eastAsia="Arial" w:hAnsi="Arial"/>
          <w:sz w:val="19"/>
          <w:szCs w:val="19"/>
          <w:color w:val="auto"/>
        </w:rPr>
      </w:pPr>
      <w:r>
        <w:rPr>
          <w:rFonts w:ascii="Arial" w:cs="Arial" w:eastAsia="Arial" w:hAnsi="Arial"/>
          <w:sz w:val="19"/>
          <w:szCs w:val="19"/>
          <w:i w:val="1"/>
          <w:iCs w:val="1"/>
          <w:color w:val="auto"/>
        </w:rPr>
        <w:t>Change in Control Definition</w:t>
      </w:r>
      <w:r>
        <w:rPr>
          <w:rFonts w:ascii="Arial" w:cs="Arial" w:eastAsia="Arial" w:hAnsi="Arial"/>
          <w:sz w:val="19"/>
          <w:szCs w:val="19"/>
          <w:color w:val="auto"/>
        </w:rPr>
        <w:t>. For purposes of this Agreement, “Change in Control” shall mean the occurrence of</w:t>
      </w:r>
      <w:r>
        <w:rPr>
          <w:rFonts w:ascii="Arial" w:cs="Arial" w:eastAsia="Arial" w:hAnsi="Arial"/>
          <w:sz w:val="19"/>
          <w:szCs w:val="19"/>
          <w:i w:val="1"/>
          <w:iCs w:val="1"/>
          <w:color w:val="auto"/>
        </w:rPr>
        <w:t xml:space="preserve"> </w:t>
      </w:r>
      <w:r>
        <w:rPr>
          <w:rFonts w:ascii="Arial" w:cs="Arial" w:eastAsia="Arial" w:hAnsi="Arial"/>
          <w:sz w:val="19"/>
          <w:szCs w:val="19"/>
          <w:color w:val="auto"/>
        </w:rPr>
        <w:t>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79" w:name="page180"/>
    <w:bookmarkEnd w:id="179"/>
    <w:p>
      <w:pPr>
        <w:spacing w:after="0" w:line="268" w:lineRule="auto"/>
        <w:rPr>
          <w:sz w:val="20"/>
          <w:szCs w:val="20"/>
          <w:color w:val="auto"/>
        </w:rPr>
      </w:pPr>
      <w:r>
        <w:rPr>
          <w:rFonts w:ascii="Arial" w:cs="Arial" w:eastAsia="Arial" w:hAnsi="Arial"/>
          <w:sz w:val="19"/>
          <w:szCs w:val="19"/>
          <w:color w:val="auto"/>
        </w:rPr>
        <w:t>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80" w:name="page181"/>
    <w:bookmarkEnd w:id="180"/>
    <w:p>
      <w:pPr>
        <w:ind w:firstLine="8"/>
        <w:spacing w:after="0"/>
        <w:tabs>
          <w:tab w:leader="none" w:pos="216" w:val="left"/>
        </w:tabs>
        <w:numPr>
          <w:ilvl w:val="0"/>
          <w:numId w:val="94"/>
        </w:numPr>
        <w:rPr>
          <w:rFonts w:ascii="Arial" w:cs="Arial" w:eastAsia="Arial" w:hAnsi="Arial"/>
          <w:sz w:val="22"/>
          <w:szCs w:val="22"/>
          <w:color w:val="auto"/>
        </w:rPr>
      </w:pPr>
      <w:r>
        <w:rPr>
          <w:rFonts w:ascii="Arial" w:cs="Arial" w:eastAsia="Arial" w:hAnsi="Arial"/>
          <w:sz w:val="22"/>
          <w:szCs w:val="22"/>
          <w:i w:val="1"/>
          <w:iCs w:val="1"/>
          <w:color w:val="auto"/>
        </w:rPr>
        <w:t>Modified Section 280G Cutback</w:t>
      </w:r>
      <w:r>
        <w:rPr>
          <w:rFonts w:ascii="Arial" w:cs="Arial" w:eastAsia="Arial" w:hAnsi="Arial"/>
          <w:sz w:val="22"/>
          <w:szCs w:val="22"/>
          <w:color w:val="auto"/>
        </w:rPr>
        <w:t>. Notwithstanding any other provision of this Agreement, except as set forth in Section 8(b), in</w:t>
      </w:r>
      <w:r>
        <w:rPr>
          <w:rFonts w:ascii="Arial" w:cs="Arial" w:eastAsia="Arial" w:hAnsi="Arial"/>
          <w:sz w:val="22"/>
          <w:szCs w:val="22"/>
          <w:i w:val="1"/>
          <w:iCs w:val="1"/>
          <w:color w:val="auto"/>
        </w:rPr>
        <w:t xml:space="preserve"> </w:t>
      </w:r>
      <w:r>
        <w:rPr>
          <w:rFonts w:ascii="Arial" w:cs="Arial" w:eastAsia="Arial" w:hAnsi="Arial"/>
          <w:sz w:val="22"/>
          <w:szCs w:val="22"/>
          <w:color w:val="auto"/>
        </w:rPr>
        <w:t>the event that the Company undergoes a “Change in Ownership or Control” (as defined below), the following provisions shall apply:</w:t>
      </w:r>
    </w:p>
    <w:p>
      <w:pPr>
        <w:spacing w:after="0" w:line="186" w:lineRule="exact"/>
        <w:rPr>
          <w:rFonts w:ascii="Arial" w:cs="Arial" w:eastAsia="Arial" w:hAnsi="Arial"/>
          <w:sz w:val="22"/>
          <w:szCs w:val="22"/>
          <w:color w:val="auto"/>
        </w:rPr>
      </w:pPr>
    </w:p>
    <w:p>
      <w:pPr>
        <w:ind w:right="220" w:firstLine="872"/>
        <w:spacing w:after="0" w:line="279" w:lineRule="auto"/>
        <w:tabs>
          <w:tab w:leader="none" w:pos="1157"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Company shall not be obligated to provide to the Executive any portion of any “Contingent Compensation Payments” (as defined below) that the Executive would otherwise be entitled to receive to the extent necessary to eliminate any “excess parachute payments” (as defined in Section 280G(b)(1) of the Code) for the Executive. For purposes of this Section 8, the Contingent Compensation Payments so eliminated shall be referred to as the “Eliminated Payments” and the aggregate amount (determined in accordance with Treasury Regulation Section 1.280G-1, Q/A-30 or any successor provision) of the Contingent Compensation Payments so eliminated shall be referred to as the “Eliminated Amount.”</w:t>
      </w:r>
    </w:p>
    <w:p>
      <w:pPr>
        <w:spacing w:after="0" w:line="150" w:lineRule="exact"/>
        <w:rPr>
          <w:rFonts w:ascii="Arial" w:cs="Arial" w:eastAsia="Arial" w:hAnsi="Arial"/>
          <w:sz w:val="19"/>
          <w:szCs w:val="19"/>
          <w:color w:val="auto"/>
        </w:rPr>
      </w:pPr>
    </w:p>
    <w:p>
      <w:pPr>
        <w:ind w:right="20" w:firstLine="872"/>
        <w:spacing w:after="0" w:line="269" w:lineRule="auto"/>
        <w:tabs>
          <w:tab w:leader="none" w:pos="1169" w:val="left"/>
        </w:tabs>
        <w:numPr>
          <w:ilvl w:val="1"/>
          <w:numId w:val="94"/>
        </w:numPr>
        <w:rPr>
          <w:rFonts w:ascii="Arial" w:cs="Arial" w:eastAsia="Arial" w:hAnsi="Arial"/>
          <w:sz w:val="19"/>
          <w:szCs w:val="19"/>
          <w:color w:val="auto"/>
        </w:rPr>
      </w:pPr>
      <w:r>
        <w:rPr>
          <w:rFonts w:ascii="Arial" w:cs="Arial" w:eastAsia="Arial" w:hAnsi="Arial"/>
          <w:sz w:val="19"/>
          <w:szCs w:val="19"/>
          <w:color w:val="auto"/>
        </w:rPr>
        <w:t>Notwithstanding the provisions of Section 8(a), no such reduction in Contingent Compensation Payments shall be made if (1) the Eliminated Amount (computed without regard to this sentence) exceeds (2) 100% of the aggregate present value (determined in accordance with Treasury Regulation Section 1.280G-1, Q/A-31 and Q/A-32 or any successor provisions) of the amount of any additional taxes that would be incurred by the Executive if the Eliminated Payments (determined without regard to this sentence) were paid to the Executive (including state and federal income taxes on the Eliminated Payments, the excise tax imposed by Section 4999 of the Code payable with respect to all of the Contingent Compensation Payments in excess of the Executive’s “base amount” (as defined in Section 280G(b)(3) of the Code), and any withholding taxes). The override of such reduction in Contingent Compensation Payments pursuant to this Section 8(b) shall be referred to as a “Section 8(b)</w:t>
      </w:r>
    </w:p>
    <w:p>
      <w:pPr>
        <w:spacing w:after="0" w:line="2" w:lineRule="exact"/>
        <w:rPr>
          <w:rFonts w:ascii="Arial" w:cs="Arial" w:eastAsia="Arial" w:hAnsi="Arial"/>
          <w:sz w:val="19"/>
          <w:szCs w:val="19"/>
          <w:color w:val="auto"/>
        </w:rPr>
      </w:pPr>
    </w:p>
    <w:p>
      <w:pPr>
        <w:ind w:right="280"/>
        <w:spacing w:after="0" w:line="234" w:lineRule="auto"/>
        <w:rPr>
          <w:rFonts w:ascii="Arial" w:cs="Arial" w:eastAsia="Arial" w:hAnsi="Arial"/>
          <w:sz w:val="19"/>
          <w:szCs w:val="19"/>
          <w:color w:val="auto"/>
        </w:rPr>
      </w:pPr>
      <w:r>
        <w:rPr>
          <w:rFonts w:ascii="Arial" w:cs="Arial" w:eastAsia="Arial" w:hAnsi="Arial"/>
          <w:sz w:val="22"/>
          <w:szCs w:val="22"/>
          <w:color w:val="auto"/>
        </w:rPr>
        <w:t>Override.” For purpose of this paragraph, if any federal or state income taxes would be attributable to the receipt of any Eliminated Payment, the amount of such taxes shall be computed by multiplying the amount of the Eliminated Payment by the maximum combined federal and state income tax rate provided by law.</w:t>
      </w:r>
    </w:p>
    <w:p>
      <w:pPr>
        <w:spacing w:after="0" w:line="187" w:lineRule="exact"/>
        <w:rPr>
          <w:rFonts w:ascii="Arial" w:cs="Arial" w:eastAsia="Arial" w:hAnsi="Arial"/>
          <w:sz w:val="19"/>
          <w:szCs w:val="19"/>
          <w:color w:val="auto"/>
        </w:rPr>
      </w:pPr>
    </w:p>
    <w:p>
      <w:pPr>
        <w:ind w:left="1160" w:hanging="288"/>
        <w:spacing w:after="0"/>
        <w:tabs>
          <w:tab w:leader="none" w:pos="1160" w:val="left"/>
        </w:tabs>
        <w:numPr>
          <w:ilvl w:val="1"/>
          <w:numId w:val="94"/>
        </w:numPr>
        <w:rPr>
          <w:rFonts w:ascii="Arial" w:cs="Arial" w:eastAsia="Arial" w:hAnsi="Arial"/>
          <w:sz w:val="22"/>
          <w:szCs w:val="22"/>
          <w:color w:val="auto"/>
        </w:rPr>
      </w:pPr>
      <w:r>
        <w:rPr>
          <w:rFonts w:ascii="Arial" w:cs="Arial" w:eastAsia="Arial" w:hAnsi="Arial"/>
          <w:sz w:val="22"/>
          <w:szCs w:val="22"/>
          <w:color w:val="auto"/>
        </w:rPr>
        <w:t>For purposes of this Section 8 the following terms shall have the following respective meanings:</w:t>
      </w:r>
    </w:p>
    <w:p>
      <w:pPr>
        <w:spacing w:after="0" w:line="206" w:lineRule="exact"/>
        <w:rPr>
          <w:rFonts w:ascii="Arial" w:cs="Arial" w:eastAsia="Arial" w:hAnsi="Arial"/>
          <w:sz w:val="22"/>
          <w:szCs w:val="22"/>
          <w:color w:val="auto"/>
        </w:rPr>
      </w:pPr>
    </w:p>
    <w:p>
      <w:pPr>
        <w:ind w:left="880" w:right="500" w:firstLine="789"/>
        <w:spacing w:after="0"/>
        <w:tabs>
          <w:tab w:leader="none" w:pos="1935" w:val="left"/>
        </w:tabs>
        <w:numPr>
          <w:ilvl w:val="2"/>
          <w:numId w:val="94"/>
        </w:numPr>
        <w:rPr>
          <w:rFonts w:ascii="Arial" w:cs="Arial" w:eastAsia="Arial" w:hAnsi="Arial"/>
          <w:sz w:val="22"/>
          <w:szCs w:val="22"/>
          <w:color w:val="auto"/>
        </w:rPr>
      </w:pPr>
      <w:r>
        <w:rPr>
          <w:rFonts w:ascii="Arial" w:cs="Arial" w:eastAsia="Arial" w:hAnsi="Arial"/>
          <w:sz w:val="22"/>
          <w:szCs w:val="22"/>
          <w:color w:val="auto"/>
        </w:rPr>
        <w:t>“Change in Ownership or Control” shall mean a change in the ownership or effective control of the Company or in the ownership of a substantial portion of the assets of the Company determined in accordance with Section 280G(b)(2) of the Code.</w:t>
      </w:r>
    </w:p>
    <w:p>
      <w:pPr>
        <w:spacing w:after="0" w:line="186" w:lineRule="exact"/>
        <w:rPr>
          <w:rFonts w:ascii="Arial" w:cs="Arial" w:eastAsia="Arial" w:hAnsi="Arial"/>
          <w:sz w:val="22"/>
          <w:szCs w:val="22"/>
          <w:color w:val="auto"/>
        </w:rPr>
      </w:pPr>
    </w:p>
    <w:p>
      <w:pPr>
        <w:jc w:val="both"/>
        <w:ind w:left="880" w:right="180" w:firstLine="789"/>
        <w:spacing w:after="0" w:line="238" w:lineRule="auto"/>
        <w:tabs>
          <w:tab w:leader="none" w:pos="1995" w:val="left"/>
        </w:tabs>
        <w:numPr>
          <w:ilvl w:val="2"/>
          <w:numId w:val="94"/>
        </w:numPr>
        <w:rPr>
          <w:rFonts w:ascii="Arial" w:cs="Arial" w:eastAsia="Arial" w:hAnsi="Arial"/>
          <w:sz w:val="22"/>
          <w:szCs w:val="22"/>
          <w:color w:val="auto"/>
        </w:rPr>
      </w:pPr>
      <w:r>
        <w:rPr>
          <w:rFonts w:ascii="Arial" w:cs="Arial" w:eastAsia="Arial" w:hAnsi="Arial"/>
          <w:sz w:val="22"/>
          <w:szCs w:val="22"/>
          <w:color w:val="auto"/>
        </w:rPr>
        <w:t>“Contingent Compensation Payment” shall mean any payment (or benefit) in the nature of compensation that is made or made available (under this Agreement or otherwise) to or for the benefit of a “disqualified individual” (as defined in Section 280G(c) of the Code) and that is contingent (within the meaning of Section 280G(b)(2)(A)(i) of the Code) on a Change in Ownership or Control of the Company.</w:t>
      </w:r>
    </w:p>
    <w:p>
      <w:pPr>
        <w:spacing w:after="0" w:line="184" w:lineRule="exact"/>
        <w:rPr>
          <w:rFonts w:ascii="Arial" w:cs="Arial" w:eastAsia="Arial" w:hAnsi="Arial"/>
          <w:sz w:val="22"/>
          <w:szCs w:val="22"/>
          <w:color w:val="auto"/>
        </w:rPr>
      </w:pPr>
    </w:p>
    <w:p>
      <w:pPr>
        <w:ind w:right="260" w:firstLine="872"/>
        <w:spacing w:after="0" w:line="287" w:lineRule="auto"/>
        <w:tabs>
          <w:tab w:leader="none" w:pos="1169" w:val="left"/>
        </w:tabs>
        <w:numPr>
          <w:ilvl w:val="1"/>
          <w:numId w:val="94"/>
        </w:numPr>
        <w:rPr>
          <w:rFonts w:ascii="Arial" w:cs="Arial" w:eastAsia="Arial" w:hAnsi="Arial"/>
          <w:sz w:val="19"/>
          <w:szCs w:val="19"/>
          <w:color w:val="auto"/>
        </w:rPr>
      </w:pPr>
      <w:r>
        <w:rPr>
          <w:rFonts w:ascii="Arial" w:cs="Arial" w:eastAsia="Arial" w:hAnsi="Arial"/>
          <w:sz w:val="19"/>
          <w:szCs w:val="19"/>
          <w:color w:val="auto"/>
        </w:rPr>
        <w:t>Any payments or other benefits otherwise due to the Executive following a Change in Ownership or Control that could reasonably be characterized (as determined by the Company) as Contingent Compensation Payments (the “Potential Payments”) shall not be made until the dates provided for in this Section 8(d). Within thirty (30) days after each date on which the Executive first becomes entitled to receive (whether or not then due) a Contingent Compensation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1" w:name="page182"/>
    <w:bookmarkEnd w:id="181"/>
    <w:p>
      <w:pPr>
        <w:spacing w:after="0" w:line="270" w:lineRule="auto"/>
        <w:rPr>
          <w:sz w:val="20"/>
          <w:szCs w:val="20"/>
          <w:color w:val="auto"/>
        </w:rPr>
      </w:pPr>
      <w:r>
        <w:rPr>
          <w:rFonts w:ascii="Arial" w:cs="Arial" w:eastAsia="Arial" w:hAnsi="Arial"/>
          <w:sz w:val="19"/>
          <w:szCs w:val="19"/>
          <w:color w:val="auto"/>
        </w:rPr>
        <w:t>relating to such Change in Ownership or Control, the Company shall determine and notify the Executive (with reasonable detail regarding the basis for its determinations) (1) which Potential Payments constitute Contingent Compensation Payments, (2) the Eliminated Amount and (3) whether the Section 8(b) Override is applicable. Within thirty (30) days after delivery of such notice to the Executive, the Executive shall deliver a response to the Company (the “Executive Response”) stating either (A) that the Executive agrees with the Company’s determination pursuant to the preceding sentence or (B) that the Executive disagrees with such determination, in which case the Executive shall set forth (x) which Potential Payments should be characterized as Contingent Compensation Payments, (y) the Eliminated Amount, and (z) whether the Section 8(b) Override is applicable. In the event that the Executive fails to deliver an Executive Response on or before the required date, the Company’s initial determination shall be final. If the Executive states in the Executive Response that the Executive agrees with the Company’s determination, the Company shall make the Potential Payments to the Executive within three (3) business days following delivery to the Company of the Executive Response (except for any Potential Payments which are not due to be made until after such date, which Potential Payments shall be made on the date on which they are due). If the Executive states in the Executive Response that the Executive disagree with the Company’s determination, then, for a period of sixty (60) days following delivery of the Executive Response, the Executive and the Company shall use good faith efforts to resolve such dispute. If such dispute is not resolved within such 60-day period, such dispute shall be settled exclusively by arbitration in Cambridge, Massachusetts, in accordance with the rules of the American Arbitration Association then in effect. Judgment may be entered on the arbitrator’s award in any court having jurisdiction. The Company shall, within three (3) business days following delivery to the Company of the Executive Response, make to the Executive those Potential Payments as to which there is no dispute between the Company and the Executive regarding whether they should be made (except for any such Potential Payments which are not due to be made until after such date, which Potential Payments shall be made on the date on which they are due). The balance of the Potential Payments shall be made within three (3) business days following the resolution of such dispute.</w:t>
      </w:r>
    </w:p>
    <w:p>
      <w:pPr>
        <w:spacing w:after="0" w:line="157" w:lineRule="exact"/>
        <w:rPr>
          <w:sz w:val="20"/>
          <w:szCs w:val="20"/>
          <w:color w:val="auto"/>
        </w:rPr>
      </w:pPr>
    </w:p>
    <w:p>
      <w:pPr>
        <w:ind w:right="20" w:firstLine="872"/>
        <w:spacing w:after="0" w:line="272" w:lineRule="auto"/>
        <w:tabs>
          <w:tab w:leader="none" w:pos="1157"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Contingent Compensation Payments to be treated as Eliminated Payments shall be determined by the Company by determining the “Contingent Compensation Payment Ratio” (as defined below) for each Contingent Compensation Payment and then reducing the Contingent Compensation Payments in order beginning with the Contingent Compensation Payment with the highest Contingent Compensation Payment Ratio. For Contingent Compensation Payments with the same Contingent Compensation Payment Ratio, such Contingent Compensation Payment shall be reduced based on the time of payment of such Contingent Compensation Payments with amounts having later payment dates being reduced first. For Contingent Compensation Payments with the same Contingent Compensation Payment Ratio and the same time of payment, such Contingent Compensation Payments shall be reduced on a pro rata basis (but not below zero) prior to reducing Contingent Compensation Payment with a lower Contingent Compensation Payment Ratio. The term “Contingent Compensation Payment Ratio” shall mean a fraction the numerator of which is the value of the applicable Contingent Compensation Payment that must be taken into account by the Executive for purposes of Section 4999(a) of the Code, and the denominator of which is the actual amount to be received by the Executive in respect of the applicable Contingent Compensation Payment. For example, in the case of an equity grant that is treated as contingent on the Change in Ownership or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2" w:name="page183"/>
    <w:bookmarkEnd w:id="182"/>
    <w:p>
      <w:pPr>
        <w:ind w:right="520"/>
        <w:spacing w:after="0" w:line="297" w:lineRule="auto"/>
        <w:rPr>
          <w:sz w:val="20"/>
          <w:szCs w:val="20"/>
          <w:color w:val="auto"/>
        </w:rPr>
      </w:pPr>
      <w:r>
        <w:rPr>
          <w:rFonts w:ascii="Arial" w:cs="Arial" w:eastAsia="Arial" w:hAnsi="Arial"/>
          <w:sz w:val="19"/>
          <w:szCs w:val="19"/>
          <w:color w:val="auto"/>
        </w:rPr>
        <w:t>because the time at which the payment is made or the payment vests is accelerated, the denominator shall be determined by reference to the fair market value of the equity at the acceleration date, and not in accordance with the methodology for determining the value of accelerated payments set forth in Treasury Regulation Section 1.280G-1 Q/A-24(b) or (c)).</w:t>
      </w:r>
    </w:p>
    <w:p>
      <w:pPr>
        <w:spacing w:after="0" w:line="134" w:lineRule="exact"/>
        <w:rPr>
          <w:sz w:val="20"/>
          <w:szCs w:val="20"/>
          <w:color w:val="auto"/>
        </w:rPr>
      </w:pPr>
    </w:p>
    <w:p>
      <w:pPr>
        <w:ind w:right="40" w:firstLine="872"/>
        <w:spacing w:after="0" w:line="328" w:lineRule="auto"/>
        <w:tabs>
          <w:tab w:leader="none" w:pos="1133"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provisions of this Section 8 are intended to apply to any and all payments or benefits available to the Executive under this Agreement or any other agreement or plan under which the Executive receives Contingent Compensation Payments.</w:t>
      </w:r>
    </w:p>
    <w:p>
      <w:pPr>
        <w:spacing w:after="0" w:line="104" w:lineRule="exact"/>
        <w:rPr>
          <w:rFonts w:ascii="Arial" w:cs="Arial" w:eastAsia="Arial" w:hAnsi="Arial"/>
          <w:sz w:val="19"/>
          <w:szCs w:val="19"/>
          <w:color w:val="auto"/>
        </w:rPr>
      </w:pPr>
    </w:p>
    <w:p>
      <w:pPr>
        <w:ind w:right="80" w:firstLine="8"/>
        <w:spacing w:after="0" w:line="297" w:lineRule="auto"/>
        <w:tabs>
          <w:tab w:leader="none" w:pos="216" w:val="left"/>
        </w:tabs>
        <w:numPr>
          <w:ilvl w:val="0"/>
          <w:numId w:val="97"/>
        </w:numPr>
        <w:rPr>
          <w:rFonts w:ascii="Arial" w:cs="Arial" w:eastAsia="Arial" w:hAnsi="Arial"/>
          <w:sz w:val="19"/>
          <w:szCs w:val="19"/>
          <w:color w:val="auto"/>
        </w:rPr>
      </w:pPr>
      <w:r>
        <w:rPr>
          <w:rFonts w:ascii="Arial" w:cs="Arial" w:eastAsia="Arial" w:hAnsi="Arial"/>
          <w:sz w:val="19"/>
          <w:szCs w:val="19"/>
          <w:i w:val="1"/>
          <w:iCs w:val="1"/>
          <w:color w:val="auto"/>
        </w:rPr>
        <w:t>Absence of Restrictions</w:t>
      </w:r>
      <w:r>
        <w:rPr>
          <w:rFonts w:ascii="Arial" w:cs="Arial" w:eastAsia="Arial" w:hAnsi="Arial"/>
          <w:sz w:val="19"/>
          <w:szCs w:val="19"/>
          <w:color w:val="auto"/>
        </w:rPr>
        <w:t>. The Executive represents and warrants that the Executive is not bound by any employment contracts,</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133" w:lineRule="exact"/>
        <w:rPr>
          <w:rFonts w:ascii="Arial" w:cs="Arial" w:eastAsia="Arial" w:hAnsi="Arial"/>
          <w:sz w:val="19"/>
          <w:szCs w:val="19"/>
          <w:color w:val="auto"/>
        </w:rPr>
      </w:pPr>
    </w:p>
    <w:p>
      <w:pPr>
        <w:ind w:right="160" w:firstLine="8"/>
        <w:spacing w:after="0" w:line="238" w:lineRule="auto"/>
        <w:tabs>
          <w:tab w:leader="none" w:pos="324" w:val="left"/>
        </w:tabs>
        <w:numPr>
          <w:ilvl w:val="0"/>
          <w:numId w:val="97"/>
        </w:numPr>
        <w:rPr>
          <w:rFonts w:ascii="Arial" w:cs="Arial" w:eastAsia="Arial" w:hAnsi="Arial"/>
          <w:sz w:val="22"/>
          <w:szCs w:val="22"/>
          <w:color w:val="auto"/>
        </w:rPr>
      </w:pPr>
      <w:r>
        <w:rPr>
          <w:rFonts w:ascii="Arial" w:cs="Arial" w:eastAsia="Arial" w:hAnsi="Arial"/>
          <w:sz w:val="22"/>
          <w:szCs w:val="22"/>
          <w:i w:val="1"/>
          <w:iCs w:val="1"/>
          <w:color w:val="auto"/>
        </w:rPr>
        <w:t>Notice</w:t>
      </w:r>
      <w:r>
        <w:rPr>
          <w:rFonts w:ascii="Arial" w:cs="Arial" w:eastAsia="Arial" w:hAnsi="Arial"/>
          <w:sz w:val="22"/>
          <w:szCs w:val="22"/>
          <w:color w:val="auto"/>
        </w:rPr>
        <w:t>. Any notice delivered under this Agreement shall be deemed duly delivered three (3) business days after it is sent by</w:t>
      </w:r>
      <w:r>
        <w:rPr>
          <w:rFonts w:ascii="Arial" w:cs="Arial" w:eastAsia="Arial" w:hAnsi="Arial"/>
          <w:sz w:val="22"/>
          <w:szCs w:val="22"/>
          <w:i w:val="1"/>
          <w:iCs w:val="1"/>
          <w:color w:val="auto"/>
        </w:rPr>
        <w:t xml:space="preserve"> </w:t>
      </w:r>
      <w:r>
        <w:rPr>
          <w:rFonts w:ascii="Arial" w:cs="Arial" w:eastAsia="Arial" w:hAnsi="Arial"/>
          <w:sz w:val="22"/>
          <w:szCs w:val="22"/>
          <w:color w:val="auto"/>
        </w:rPr>
        <w:t>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To Executive: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At the address set forth in the Executive’s personnel file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To Company: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Solid Biosciences Inc.</w:t>
      </w:r>
    </w:p>
    <w:p>
      <w:pPr>
        <w:ind w:left="880"/>
        <w:spacing w:after="0" w:line="238" w:lineRule="auto"/>
        <w:rPr>
          <w:sz w:val="20"/>
          <w:szCs w:val="20"/>
          <w:color w:val="auto"/>
        </w:rPr>
      </w:pPr>
      <w:r>
        <w:rPr>
          <w:rFonts w:ascii="Arial" w:cs="Arial" w:eastAsia="Arial" w:hAnsi="Arial"/>
          <w:sz w:val="22"/>
          <w:szCs w:val="22"/>
          <w:color w:val="auto"/>
        </w:rPr>
        <w:t>141 Portland Street</w:t>
      </w:r>
    </w:p>
    <w:p>
      <w:pPr>
        <w:ind w:left="880"/>
        <w:spacing w:after="0" w:line="230" w:lineRule="auto"/>
        <w:rPr>
          <w:sz w:val="20"/>
          <w:szCs w:val="20"/>
          <w:color w:val="auto"/>
        </w:rPr>
      </w:pPr>
      <w:r>
        <w:rPr>
          <w:rFonts w:ascii="Arial" w:cs="Arial" w:eastAsia="Arial" w:hAnsi="Arial"/>
          <w:sz w:val="22"/>
          <w:szCs w:val="22"/>
          <w:color w:val="auto"/>
        </w:rPr>
        <w:t>Fifth Floor</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Cambridge, MA 02139</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Either Party may change the address to which notices are to be delivered by giving notice of such change to the other Party in the manner set forth in this Section 10.</w:t>
      </w:r>
    </w:p>
    <w:p>
      <w:pPr>
        <w:spacing w:after="0" w:line="175" w:lineRule="exact"/>
        <w:rPr>
          <w:sz w:val="20"/>
          <w:szCs w:val="20"/>
          <w:color w:val="auto"/>
        </w:rPr>
      </w:pPr>
    </w:p>
    <w:p>
      <w:pPr>
        <w:ind w:firstLine="8"/>
        <w:spacing w:after="0" w:line="279" w:lineRule="auto"/>
        <w:tabs>
          <w:tab w:leader="none" w:pos="316" w:val="left"/>
        </w:tabs>
        <w:numPr>
          <w:ilvl w:val="0"/>
          <w:numId w:val="98"/>
        </w:numPr>
        <w:rPr>
          <w:rFonts w:ascii="Arial" w:cs="Arial" w:eastAsia="Arial" w:hAnsi="Arial"/>
          <w:sz w:val="19"/>
          <w:szCs w:val="19"/>
          <w:color w:val="auto"/>
        </w:rPr>
      </w:pPr>
      <w:r>
        <w:rPr>
          <w:rFonts w:ascii="Arial" w:cs="Arial" w:eastAsia="Arial" w:hAnsi="Arial"/>
          <w:sz w:val="19"/>
          <w:szCs w:val="19"/>
          <w:i w:val="1"/>
          <w:iCs w:val="1"/>
          <w:color w:val="auto"/>
        </w:rPr>
        <w:t>Applicable Law; Jury Trial Waiver</w:t>
      </w:r>
      <w:r>
        <w:rPr>
          <w:rFonts w:ascii="Arial" w:cs="Arial" w:eastAsia="Arial" w:hAnsi="Arial"/>
          <w:sz w:val="19"/>
          <w:szCs w:val="19"/>
          <w:color w:val="auto"/>
        </w:rPr>
        <w:t>. This Agreement shall be governed by and construed in accordance with the laws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State of Delaware (without reference to the conflict of laws provisions thereof). Any action, suit or other legal proceeding arising under or relating to any provision of this Agreement shall be commenced only in a court of the State of Delaware (or, if appropriate, a federal court located within the State of Delaware),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50" w:lineRule="exact"/>
        <w:rPr>
          <w:rFonts w:ascii="Arial" w:cs="Arial" w:eastAsia="Arial" w:hAnsi="Arial"/>
          <w:sz w:val="19"/>
          <w:szCs w:val="19"/>
          <w:color w:val="auto"/>
        </w:rPr>
      </w:pPr>
    </w:p>
    <w:p>
      <w:pPr>
        <w:ind w:right="80" w:firstLine="8"/>
        <w:spacing w:after="0" w:line="238" w:lineRule="auto"/>
        <w:tabs>
          <w:tab w:leader="none" w:pos="324" w:val="left"/>
        </w:tabs>
        <w:numPr>
          <w:ilvl w:val="0"/>
          <w:numId w:val="98"/>
        </w:numPr>
        <w:rPr>
          <w:rFonts w:ascii="Arial" w:cs="Arial" w:eastAsia="Arial" w:hAnsi="Arial"/>
          <w:sz w:val="22"/>
          <w:szCs w:val="22"/>
          <w:color w:val="auto"/>
        </w:rPr>
      </w:pPr>
      <w:r>
        <w:rPr>
          <w:rFonts w:ascii="Arial" w:cs="Arial" w:eastAsia="Arial" w:hAnsi="Arial"/>
          <w:sz w:val="22"/>
          <w:szCs w:val="22"/>
          <w:i w:val="1"/>
          <w:iCs w:val="1"/>
          <w:color w:val="auto"/>
        </w:rPr>
        <w:t>Successors and Assigns</w:t>
      </w:r>
      <w:r>
        <w:rPr>
          <w:rFonts w:ascii="Arial" w:cs="Arial" w:eastAsia="Arial" w:hAnsi="Arial"/>
          <w:sz w:val="22"/>
          <w:szCs w:val="22"/>
          <w:color w:val="auto"/>
        </w:rPr>
        <w:t>. This Agreement shall be binding upon and inure to the benefit of both Parties and their respective</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successors and assigns, including any corporation with which or into which the Company may be merged or which may succeed to its assets or business; provided, however, that the obligations of the Executive are personal and shall not be assigned by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83" w:name="page184"/>
    <w:bookmarkEnd w:id="183"/>
    <w:p>
      <w:pPr>
        <w:ind w:left="-8" w:firstLine="8"/>
        <w:spacing w:after="0"/>
        <w:tabs>
          <w:tab w:leader="none" w:pos="316" w:val="left"/>
        </w:tabs>
        <w:numPr>
          <w:ilvl w:val="0"/>
          <w:numId w:val="99"/>
        </w:numPr>
        <w:rPr>
          <w:rFonts w:ascii="Arial" w:cs="Arial" w:eastAsia="Arial" w:hAnsi="Arial"/>
          <w:sz w:val="22"/>
          <w:szCs w:val="22"/>
          <w:color w:val="auto"/>
        </w:rPr>
      </w:pPr>
      <w:r>
        <w:rPr>
          <w:rFonts w:ascii="Arial" w:cs="Arial" w:eastAsia="Arial" w:hAnsi="Arial"/>
          <w:sz w:val="22"/>
          <w:szCs w:val="22"/>
          <w:i w:val="1"/>
          <w:iCs w:val="1"/>
          <w:color w:val="auto"/>
        </w:rPr>
        <w:t>At-Will Employment</w:t>
      </w:r>
      <w:r>
        <w:rPr>
          <w:rFonts w:ascii="Arial" w:cs="Arial" w:eastAsia="Arial" w:hAnsi="Arial"/>
          <w:sz w:val="22"/>
          <w:szCs w:val="22"/>
          <w:color w:val="auto"/>
        </w:rPr>
        <w:t>. During the Term of Employment, the Executive will continue to be an at-will employee of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which means that, notwithstanding any other provision set forth herein, the employment relationship can be terminated by either Party for any reason, at any time, with or without prior notice and with or without Cause.</w:t>
      </w:r>
    </w:p>
    <w:p>
      <w:pPr>
        <w:spacing w:after="0" w:line="186" w:lineRule="exact"/>
        <w:rPr>
          <w:rFonts w:ascii="Arial" w:cs="Arial" w:eastAsia="Arial" w:hAnsi="Arial"/>
          <w:sz w:val="22"/>
          <w:szCs w:val="22"/>
          <w:color w:val="auto"/>
        </w:rPr>
      </w:pPr>
    </w:p>
    <w:p>
      <w:pPr>
        <w:ind w:left="-8" w:right="20" w:firstLine="8"/>
        <w:spacing w:after="0" w:line="238" w:lineRule="auto"/>
        <w:tabs>
          <w:tab w:leader="none" w:pos="316" w:val="left"/>
        </w:tabs>
        <w:numPr>
          <w:ilvl w:val="0"/>
          <w:numId w:val="99"/>
        </w:numPr>
        <w:rPr>
          <w:rFonts w:ascii="Arial" w:cs="Arial" w:eastAsia="Arial" w:hAnsi="Arial"/>
          <w:sz w:val="22"/>
          <w:szCs w:val="22"/>
          <w:color w:val="auto"/>
        </w:rPr>
      </w:pPr>
      <w:r>
        <w:rPr>
          <w:rFonts w:ascii="Arial" w:cs="Arial" w:eastAsia="Arial" w:hAnsi="Arial"/>
          <w:sz w:val="22"/>
          <w:szCs w:val="22"/>
          <w:i w:val="1"/>
          <w:iCs w:val="1"/>
          <w:color w:val="auto"/>
        </w:rPr>
        <w:t>Acknowledgment</w:t>
      </w:r>
      <w:r>
        <w:rPr>
          <w:rFonts w:ascii="Arial" w:cs="Arial" w:eastAsia="Arial" w:hAnsi="Arial"/>
          <w:sz w:val="22"/>
          <w:szCs w:val="22"/>
          <w:color w:val="auto"/>
        </w:rPr>
        <w:t>. The Executive states and represents that the Executive has had an opportunity to fully discuss and review</w:t>
      </w:r>
      <w:r>
        <w:rPr>
          <w:rFonts w:ascii="Arial" w:cs="Arial" w:eastAsia="Arial" w:hAnsi="Arial"/>
          <w:sz w:val="22"/>
          <w:szCs w:val="22"/>
          <w:i w:val="1"/>
          <w:iCs w:val="1"/>
          <w:color w:val="auto"/>
        </w:rPr>
        <w:t xml:space="preserve"> </w:t>
      </w:r>
      <w:r>
        <w:rPr>
          <w:rFonts w:ascii="Arial" w:cs="Arial" w:eastAsia="Arial" w:hAnsi="Arial"/>
          <w:sz w:val="22"/>
          <w:szCs w:val="22"/>
          <w:color w:val="auto"/>
        </w:rPr>
        <w:t>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84" w:lineRule="exact"/>
        <w:rPr>
          <w:rFonts w:ascii="Arial" w:cs="Arial" w:eastAsia="Arial" w:hAnsi="Arial"/>
          <w:sz w:val="22"/>
          <w:szCs w:val="22"/>
          <w:color w:val="auto"/>
        </w:rPr>
      </w:pPr>
    </w:p>
    <w:p>
      <w:pPr>
        <w:ind w:left="-8" w:right="140" w:firstLine="8"/>
        <w:spacing w:after="0" w:line="236" w:lineRule="auto"/>
        <w:tabs>
          <w:tab w:leader="none" w:pos="316" w:val="left"/>
        </w:tabs>
        <w:numPr>
          <w:ilvl w:val="0"/>
          <w:numId w:val="99"/>
        </w:numPr>
        <w:rPr>
          <w:rFonts w:ascii="Arial" w:cs="Arial" w:eastAsia="Arial" w:hAnsi="Arial"/>
          <w:sz w:val="22"/>
          <w:szCs w:val="22"/>
          <w:color w:val="auto"/>
        </w:rPr>
      </w:pPr>
      <w:r>
        <w:rPr>
          <w:rFonts w:ascii="Arial" w:cs="Arial" w:eastAsia="Arial" w:hAnsi="Arial"/>
          <w:sz w:val="22"/>
          <w:szCs w:val="22"/>
          <w:i w:val="1"/>
          <w:iCs w:val="1"/>
          <w:color w:val="auto"/>
        </w:rPr>
        <w:t>No Oral Modification, Waiver, Cancellation or Discharge</w:t>
      </w:r>
      <w:r>
        <w:rPr>
          <w:rFonts w:ascii="Arial" w:cs="Arial" w:eastAsia="Arial" w:hAnsi="Arial"/>
          <w:sz w:val="22"/>
          <w:szCs w:val="22"/>
          <w:color w:val="auto"/>
        </w:rPr>
        <w:t>. This Agreement may be amended or modified only by a written</w:t>
      </w:r>
      <w:r>
        <w:rPr>
          <w:rFonts w:ascii="Arial" w:cs="Arial" w:eastAsia="Arial" w:hAnsi="Arial"/>
          <w:sz w:val="22"/>
          <w:szCs w:val="22"/>
          <w:i w:val="1"/>
          <w:iCs w:val="1"/>
          <w:color w:val="auto"/>
        </w:rPr>
        <w:t xml:space="preserve"> </w:t>
      </w:r>
      <w:r>
        <w:rPr>
          <w:rFonts w:ascii="Arial" w:cs="Arial" w:eastAsia="Arial" w:hAnsi="Arial"/>
          <w:sz w:val="22"/>
          <w:szCs w:val="22"/>
          <w:color w:val="auto"/>
        </w:rPr>
        <w:t>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87" w:lineRule="exact"/>
        <w:rPr>
          <w:rFonts w:ascii="Arial" w:cs="Arial" w:eastAsia="Arial" w:hAnsi="Arial"/>
          <w:sz w:val="22"/>
          <w:szCs w:val="22"/>
          <w:color w:val="auto"/>
        </w:rPr>
      </w:pPr>
    </w:p>
    <w:p>
      <w:pPr>
        <w:jc w:val="both"/>
        <w:ind w:left="-8" w:right="60" w:firstLine="8"/>
        <w:spacing w:after="0" w:line="238" w:lineRule="auto"/>
        <w:tabs>
          <w:tab w:leader="none" w:pos="316" w:val="left"/>
        </w:tabs>
        <w:numPr>
          <w:ilvl w:val="0"/>
          <w:numId w:val="99"/>
        </w:numPr>
        <w:rPr>
          <w:rFonts w:ascii="Arial" w:cs="Arial" w:eastAsia="Arial" w:hAnsi="Arial"/>
          <w:sz w:val="22"/>
          <w:szCs w:val="22"/>
          <w:color w:val="auto"/>
        </w:rPr>
      </w:pPr>
      <w:r>
        <w:rPr>
          <w:rFonts w:ascii="Arial" w:cs="Arial" w:eastAsia="Arial" w:hAnsi="Arial"/>
          <w:sz w:val="22"/>
          <w:szCs w:val="22"/>
          <w:i w:val="1"/>
          <w:iCs w:val="1"/>
          <w:color w:val="auto"/>
        </w:rPr>
        <w:t>Captions and Pronouns</w:t>
      </w:r>
      <w:r>
        <w:rPr>
          <w:rFonts w:ascii="Arial" w:cs="Arial" w:eastAsia="Arial" w:hAnsi="Arial"/>
          <w:sz w:val="22"/>
          <w:szCs w:val="22"/>
          <w:color w:val="auto"/>
        </w:rPr>
        <w:t>. The captions of the sections of this Agreement are for convenience of reference only and in no way</w:t>
      </w:r>
      <w:r>
        <w:rPr>
          <w:rFonts w:ascii="Arial" w:cs="Arial" w:eastAsia="Arial" w:hAnsi="Arial"/>
          <w:sz w:val="22"/>
          <w:szCs w:val="22"/>
          <w:i w:val="1"/>
          <w:iCs w:val="1"/>
          <w:color w:val="auto"/>
        </w:rPr>
        <w:t xml:space="preserve"> </w:t>
      </w:r>
      <w:r>
        <w:rPr>
          <w:rFonts w:ascii="Arial" w:cs="Arial" w:eastAsia="Arial" w:hAnsi="Arial"/>
          <w:sz w:val="22"/>
          <w:szCs w:val="22"/>
          <w:color w:val="auto"/>
        </w:rPr>
        <w:t>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84" w:lineRule="exact"/>
        <w:rPr>
          <w:rFonts w:ascii="Arial" w:cs="Arial" w:eastAsia="Arial" w:hAnsi="Arial"/>
          <w:sz w:val="22"/>
          <w:szCs w:val="22"/>
          <w:color w:val="auto"/>
        </w:rPr>
      </w:pPr>
    </w:p>
    <w:p>
      <w:pPr>
        <w:ind w:left="-8" w:right="120" w:firstLine="8"/>
        <w:spacing w:after="0" w:line="238" w:lineRule="auto"/>
        <w:tabs>
          <w:tab w:leader="none" w:pos="316" w:val="left"/>
        </w:tabs>
        <w:numPr>
          <w:ilvl w:val="0"/>
          <w:numId w:val="99"/>
        </w:numPr>
        <w:rPr>
          <w:rFonts w:ascii="Arial" w:cs="Arial" w:eastAsia="Arial" w:hAnsi="Arial"/>
          <w:sz w:val="22"/>
          <w:szCs w:val="22"/>
          <w:color w:val="auto"/>
        </w:rPr>
      </w:pPr>
      <w:r>
        <w:rPr>
          <w:rFonts w:ascii="Arial" w:cs="Arial" w:eastAsia="Arial" w:hAnsi="Arial"/>
          <w:sz w:val="22"/>
          <w:szCs w:val="22"/>
          <w:i w:val="1"/>
          <w:iCs w:val="1"/>
          <w:color w:val="auto"/>
        </w:rPr>
        <w:t>Interpretation</w:t>
      </w:r>
      <w:r>
        <w:rPr>
          <w:rFonts w:ascii="Arial" w:cs="Arial" w:eastAsia="Arial" w:hAnsi="Arial"/>
          <w:sz w:val="22"/>
          <w:szCs w:val="22"/>
          <w:color w:val="auto"/>
        </w:rPr>
        <w:t>. The Parties agree that this Agreement will be construed without regard to any presumption or rule requiring</w:t>
      </w:r>
      <w:r>
        <w:rPr>
          <w:rFonts w:ascii="Arial" w:cs="Arial" w:eastAsia="Arial" w:hAnsi="Arial"/>
          <w:sz w:val="22"/>
          <w:szCs w:val="22"/>
          <w:i w:val="1"/>
          <w:iCs w:val="1"/>
          <w:color w:val="auto"/>
        </w:rPr>
        <w:t xml:space="preserve"> </w:t>
      </w:r>
      <w:r>
        <w:rPr>
          <w:rFonts w:ascii="Arial" w:cs="Arial" w:eastAsia="Arial" w:hAnsi="Arial"/>
          <w:sz w:val="22"/>
          <w:szCs w:val="22"/>
          <w:color w:val="auto"/>
        </w:rPr>
        <w:t>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84" w:lineRule="exact"/>
        <w:rPr>
          <w:rFonts w:ascii="Arial" w:cs="Arial" w:eastAsia="Arial" w:hAnsi="Arial"/>
          <w:sz w:val="22"/>
          <w:szCs w:val="22"/>
          <w:color w:val="auto"/>
        </w:rPr>
      </w:pPr>
    </w:p>
    <w:p>
      <w:pPr>
        <w:ind w:left="-8" w:right="100" w:firstLine="8"/>
        <w:spacing w:after="0" w:line="277" w:lineRule="auto"/>
        <w:tabs>
          <w:tab w:leader="none" w:pos="316"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Each provision of this Agreement must be interpreted in such manner as to be effective and valid under</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51" w:lineRule="exact"/>
        <w:rPr>
          <w:rFonts w:ascii="Arial" w:cs="Arial" w:eastAsia="Arial" w:hAnsi="Arial"/>
          <w:sz w:val="19"/>
          <w:szCs w:val="19"/>
          <w:color w:val="auto"/>
        </w:rPr>
      </w:pPr>
    </w:p>
    <w:p>
      <w:pPr>
        <w:jc w:val="both"/>
        <w:ind w:left="-8" w:right="180" w:firstLine="8"/>
        <w:spacing w:after="0" w:line="297" w:lineRule="auto"/>
        <w:tabs>
          <w:tab w:leader="none" w:pos="316"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Entire Agreement</w:t>
      </w:r>
      <w:r>
        <w:rPr>
          <w:rFonts w:ascii="Arial" w:cs="Arial" w:eastAsia="Arial" w:hAnsi="Arial"/>
          <w:sz w:val="19"/>
          <w:szCs w:val="19"/>
          <w:color w:val="auto"/>
        </w:rPr>
        <w:t>. This Agreement constitutes the entire agreement between the Parties and supersedes all prior agreements</w:t>
      </w:r>
      <w:r>
        <w:rPr>
          <w:rFonts w:ascii="Arial" w:cs="Arial" w:eastAsia="Arial" w:hAnsi="Arial"/>
          <w:sz w:val="19"/>
          <w:szCs w:val="19"/>
          <w:i w:val="1"/>
          <w:iCs w:val="1"/>
          <w:color w:val="auto"/>
        </w:rPr>
        <w:t xml:space="preserve"> </w:t>
      </w:r>
      <w:r>
        <w:rPr>
          <w:rFonts w:ascii="Arial" w:cs="Arial" w:eastAsia="Arial" w:hAnsi="Arial"/>
          <w:sz w:val="19"/>
          <w:szCs w:val="19"/>
          <w:color w:val="auto"/>
        </w:rPr>
        <w:t>and understandings, whether written or oral, relating to the subject matter of this Agreement, provided that, for the avoidance of doubt, the Restrictive Covenant Agreement is not amended hereby and remains in full force and effect.</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[Signatures on Page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508635</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61" w:right="339" w:bottom="1440" w:gutter="0" w:footer="0" w:header="0"/>
        </w:sectPr>
      </w:pPr>
    </w:p>
    <w:bookmarkStart w:id="184" w:name="page185"/>
    <w:bookmarkEnd w:id="184"/>
    <w:p>
      <w:pPr>
        <w:spacing w:after="0"/>
        <w:rPr>
          <w:sz w:val="20"/>
          <w:szCs w:val="20"/>
          <w:color w:val="auto"/>
        </w:rPr>
      </w:pPr>
      <w:r>
        <w:rPr>
          <w:rFonts w:ascii="Arial" w:cs="Arial" w:eastAsia="Arial" w:hAnsi="Arial"/>
          <w:sz w:val="19"/>
          <w:szCs w:val="19"/>
          <w:color w:val="auto"/>
        </w:rPr>
        <w:t>IN WITNESS WHEREOF, the Parties hereto have executed this Agreement as of the day and year set forth above.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SOLID BIOSCIENCES INC.</w:t>
      </w:r>
    </w:p>
    <w:p>
      <w:pPr>
        <w:spacing w:after="0" w:line="233" w:lineRule="exact"/>
        <w:rPr>
          <w:sz w:val="20"/>
          <w:szCs w:val="20"/>
          <w:color w:val="auto"/>
        </w:rPr>
      </w:pPr>
    </w:p>
    <w:tbl>
      <w:tblPr>
        <w:tblLayout w:type="fixed"/>
        <w:tblInd w:w="260" w:type="dxa"/>
        <w:tblCellMar>
          <w:top w:w="0" w:type="dxa"/>
          <w:left w:w="0" w:type="dxa"/>
          <w:bottom w:w="0" w:type="dxa"/>
          <w:right w:w="0" w:type="dxa"/>
        </w:tblCellMar>
      </w:tblPr>
      <w:tr>
        <w:trPr>
          <w:trHeight w:val="264"/>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440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Ilan Ganot</w:t>
            </w:r>
          </w:p>
        </w:tc>
      </w:tr>
      <w:tr>
        <w:trPr>
          <w:trHeight w:val="480"/>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440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Ilan Ganot</w:t>
            </w:r>
          </w:p>
        </w:tc>
      </w:tr>
      <w:tr>
        <w:trPr>
          <w:trHeight w:val="479"/>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440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CEO</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Joel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Dr. Joel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185" w:name="page186"/>
    <w:bookmarkEnd w:id="185"/>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Payments Subject to Section 409A</w:t>
      </w:r>
    </w:p>
    <w:p>
      <w:pPr>
        <w:spacing w:after="0" w:line="212" w:lineRule="exact"/>
        <w:rPr>
          <w:sz w:val="20"/>
          <w:szCs w:val="20"/>
          <w:color w:val="auto"/>
        </w:rPr>
      </w:pPr>
    </w:p>
    <w:p>
      <w:pPr>
        <w:ind w:left="-20" w:right="480" w:firstLine="872"/>
        <w:spacing w:after="0" w:line="252" w:lineRule="auto"/>
        <w:tabs>
          <w:tab w:leader="none" w:pos="1654" w:val="left"/>
        </w:tabs>
        <w:numPr>
          <w:ilvl w:val="0"/>
          <w:numId w:val="100"/>
        </w:numPr>
        <w:rPr>
          <w:rFonts w:ascii="Arial" w:cs="Arial" w:eastAsia="Arial" w:hAnsi="Arial"/>
          <w:sz w:val="21"/>
          <w:szCs w:val="21"/>
          <w:color w:val="auto"/>
        </w:rPr>
      </w:pPr>
      <w:r>
        <w:rPr>
          <w:rFonts w:ascii="Arial" w:cs="Arial" w:eastAsia="Arial" w:hAnsi="Arial"/>
          <w:sz w:val="21"/>
          <w:szCs w:val="21"/>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200" w:lineRule="exact"/>
        <w:rPr>
          <w:rFonts w:ascii="Arial" w:cs="Arial" w:eastAsia="Arial" w:hAnsi="Arial"/>
          <w:sz w:val="21"/>
          <w:szCs w:val="21"/>
          <w:color w:val="auto"/>
        </w:rPr>
      </w:pPr>
    </w:p>
    <w:p>
      <w:pPr>
        <w:ind w:left="860" w:right="220" w:firstLine="789"/>
        <w:spacing w:after="0" w:line="276" w:lineRule="auto"/>
        <w:tabs>
          <w:tab w:leader="none" w:pos="2545" w:val="left"/>
        </w:tabs>
        <w:numPr>
          <w:ilvl w:val="1"/>
          <w:numId w:val="100"/>
        </w:numPr>
        <w:rPr>
          <w:rFonts w:ascii="Arial" w:cs="Arial" w:eastAsia="Arial" w:hAnsi="Arial"/>
          <w:sz w:val="19"/>
          <w:szCs w:val="19"/>
          <w:color w:val="auto"/>
        </w:rPr>
      </w:pPr>
      <w:r>
        <w:rPr>
          <w:rFonts w:ascii="Arial" w:cs="Arial" w:eastAsia="Arial" w:hAnsi="Arial"/>
          <w:sz w:val="19"/>
          <w:szCs w:val="19"/>
          <w:color w:val="auto"/>
        </w:rPr>
        <w:t>It is intended that each installment of the severance payments provided under the Agreement shall be treated as a separate “payment” for purposes of Section 409A of the Internal Revenue Code (“Section</w:t>
      </w:r>
    </w:p>
    <w:p>
      <w:pPr>
        <w:spacing w:after="0" w:line="1" w:lineRule="exact"/>
        <w:rPr>
          <w:rFonts w:ascii="Arial" w:cs="Arial" w:eastAsia="Arial" w:hAnsi="Arial"/>
          <w:sz w:val="19"/>
          <w:szCs w:val="19"/>
          <w:color w:val="auto"/>
        </w:rPr>
      </w:pPr>
    </w:p>
    <w:p>
      <w:pPr>
        <w:ind w:left="860" w:right="420"/>
        <w:spacing w:after="0" w:line="236" w:lineRule="auto"/>
        <w:rPr>
          <w:rFonts w:ascii="Arial" w:cs="Arial" w:eastAsia="Arial" w:hAnsi="Arial"/>
          <w:sz w:val="19"/>
          <w:szCs w:val="19"/>
          <w:color w:val="auto"/>
        </w:rPr>
      </w:pPr>
      <w:r>
        <w:rPr>
          <w:rFonts w:ascii="Arial" w:cs="Arial" w:eastAsia="Arial" w:hAnsi="Arial"/>
          <w:sz w:val="22"/>
          <w:szCs w:val="22"/>
          <w:color w:val="auto"/>
        </w:rPr>
        <w:t>409A”). Neither the Company nor the Executive shall have the right to accelerate or defer the delivery of any such payments except to the extent specifically permitted or required by Section 409A.</w:t>
      </w:r>
    </w:p>
    <w:p>
      <w:pPr>
        <w:spacing w:after="0" w:line="213" w:lineRule="exact"/>
        <w:rPr>
          <w:rFonts w:ascii="Arial" w:cs="Arial" w:eastAsia="Arial" w:hAnsi="Arial"/>
          <w:sz w:val="19"/>
          <w:szCs w:val="19"/>
          <w:color w:val="auto"/>
        </w:rPr>
      </w:pPr>
    </w:p>
    <w:p>
      <w:pPr>
        <w:ind w:left="860" w:right="220" w:firstLine="789"/>
        <w:spacing w:after="0"/>
        <w:tabs>
          <w:tab w:leader="none" w:pos="2557" w:val="left"/>
        </w:tabs>
        <w:numPr>
          <w:ilvl w:val="1"/>
          <w:numId w:val="100"/>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213" w:lineRule="exact"/>
        <w:rPr>
          <w:rFonts w:ascii="Arial" w:cs="Arial" w:eastAsia="Arial" w:hAnsi="Arial"/>
          <w:sz w:val="22"/>
          <w:szCs w:val="22"/>
          <w:color w:val="auto"/>
        </w:rPr>
      </w:pPr>
    </w:p>
    <w:p>
      <w:pPr>
        <w:ind w:left="860" w:right="100" w:firstLine="789"/>
        <w:spacing w:after="0" w:line="250" w:lineRule="auto"/>
        <w:tabs>
          <w:tab w:leader="none" w:pos="2545" w:val="left"/>
        </w:tabs>
        <w:numPr>
          <w:ilvl w:val="1"/>
          <w:numId w:val="100"/>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a “specified employee” (within the meaning of Section 409A), then:</w:t>
      </w:r>
    </w:p>
    <w:p>
      <w:pPr>
        <w:spacing w:after="0" w:line="201" w:lineRule="exact"/>
        <w:rPr>
          <w:rFonts w:ascii="Arial" w:cs="Arial" w:eastAsia="Arial" w:hAnsi="Arial"/>
          <w:sz w:val="22"/>
          <w:szCs w:val="22"/>
          <w:color w:val="auto"/>
        </w:rPr>
      </w:pPr>
    </w:p>
    <w:p>
      <w:pPr>
        <w:ind w:left="2260" w:hanging="436"/>
        <w:spacing w:after="0" w:line="235" w:lineRule="auto"/>
        <w:tabs>
          <w:tab w:leader="none" w:pos="2260" w:val="left"/>
        </w:tabs>
        <w:numPr>
          <w:ilvl w:val="2"/>
          <w:numId w:val="100"/>
        </w:numPr>
        <w:rPr>
          <w:rFonts w:ascii="Arial" w:cs="Arial" w:eastAsia="Arial" w:hAnsi="Arial"/>
          <w:sz w:val="22"/>
          <w:szCs w:val="22"/>
          <w:color w:val="auto"/>
        </w:rPr>
      </w:pPr>
      <w:r>
        <w:rPr>
          <w:rFonts w:ascii="Arial" w:cs="Arial" w:eastAsia="Arial" w:hAnsi="Arial"/>
          <w:sz w:val="22"/>
          <w:szCs w:val="22"/>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214" w:lineRule="exact"/>
        <w:rPr>
          <w:rFonts w:ascii="Arial" w:cs="Arial" w:eastAsia="Arial" w:hAnsi="Arial"/>
          <w:sz w:val="22"/>
          <w:szCs w:val="22"/>
          <w:color w:val="auto"/>
        </w:rPr>
      </w:pPr>
    </w:p>
    <w:p>
      <w:pPr>
        <w:ind w:left="2260" w:right="60" w:hanging="436"/>
        <w:spacing w:after="0" w:line="273" w:lineRule="auto"/>
        <w:tabs>
          <w:tab w:leader="none" w:pos="2260" w:val="left"/>
        </w:tabs>
        <w:numPr>
          <w:ilvl w:val="2"/>
          <w:numId w:val="100"/>
        </w:numPr>
        <w:rPr>
          <w:rFonts w:ascii="Arial" w:cs="Arial" w:eastAsia="Arial" w:hAnsi="Arial"/>
          <w:sz w:val="19"/>
          <w:szCs w:val="19"/>
          <w:color w:val="auto"/>
        </w:rPr>
      </w:pPr>
      <w:r>
        <w:rPr>
          <w:rFonts w:ascii="Arial" w:cs="Arial" w:eastAsia="Arial" w:hAnsi="Arial"/>
          <w:sz w:val="19"/>
          <w:szCs w:val="19"/>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480060</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598" w:right="339" w:bottom="1440" w:gutter="0" w:footer="0" w:header="0"/>
        </w:sectPr>
      </w:pPr>
    </w:p>
    <w:bookmarkStart w:id="186" w:name="page187"/>
    <w:bookmarkEnd w:id="186"/>
    <w:p>
      <w:pPr>
        <w:ind w:left="2280"/>
        <w:spacing w:after="0" w:line="236" w:lineRule="auto"/>
        <w:rPr>
          <w:sz w:val="20"/>
          <w:szCs w:val="20"/>
          <w:color w:val="auto"/>
        </w:rPr>
      </w:pPr>
      <w:r>
        <w:rPr>
          <w:rFonts w:ascii="Arial" w:cs="Arial" w:eastAsia="Arial" w:hAnsi="Arial"/>
          <w:sz w:val="22"/>
          <w:szCs w:val="22"/>
          <w:color w:val="auto"/>
        </w:rPr>
        <w:t>provide for a deferral of compensation by reason of the application of Treasury Regulation 1.409A-1(b) (9)(iii)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214" w:lineRule="exact"/>
        <w:rPr>
          <w:sz w:val="20"/>
          <w:szCs w:val="20"/>
          <w:color w:val="auto"/>
        </w:rPr>
      </w:pPr>
    </w:p>
    <w:p>
      <w:pPr>
        <w:ind w:right="100" w:firstLine="872"/>
        <w:spacing w:after="0" w:line="252" w:lineRule="auto"/>
        <w:tabs>
          <w:tab w:leader="none" w:pos="1674"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200" w:lineRule="exact"/>
        <w:rPr>
          <w:rFonts w:ascii="Arial" w:cs="Arial" w:eastAsia="Arial" w:hAnsi="Arial"/>
          <w:sz w:val="21"/>
          <w:szCs w:val="21"/>
          <w:color w:val="auto"/>
        </w:rPr>
      </w:pPr>
    </w:p>
    <w:p>
      <w:pPr>
        <w:ind w:right="120" w:firstLine="872"/>
        <w:spacing w:after="0" w:line="277" w:lineRule="auto"/>
        <w:tabs>
          <w:tab w:leader="none" w:pos="167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78" w:lineRule="exact"/>
        <w:rPr>
          <w:rFonts w:ascii="Arial" w:cs="Arial" w:eastAsia="Arial" w:hAnsi="Arial"/>
          <w:sz w:val="19"/>
          <w:szCs w:val="19"/>
          <w:color w:val="auto"/>
        </w:rPr>
      </w:pPr>
    </w:p>
    <w:p>
      <w:pPr>
        <w:ind w:right="60" w:firstLine="872"/>
        <w:spacing w:after="0" w:line="297" w:lineRule="auto"/>
        <w:tabs>
          <w:tab w:leader="none" w:pos="167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60" w:lineRule="exact"/>
        <w:rPr>
          <w:rFonts w:ascii="Arial" w:cs="Arial" w:eastAsia="Arial" w:hAnsi="Arial"/>
          <w:sz w:val="19"/>
          <w:szCs w:val="19"/>
          <w:color w:val="auto"/>
        </w:rPr>
      </w:pPr>
    </w:p>
    <w:p>
      <w:pPr>
        <w:ind w:left="1680" w:hanging="808"/>
        <w:spacing w:after="0"/>
        <w:tabs>
          <w:tab w:leader="none" w:pos="168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Agreement is intended to comply with, or be exempt from, Section 409A and shall be interpreted</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accordingly.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240"/>
          </w:cols>
          <w:pgMar w:left="320" w:top="361"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Erin Brennan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On March 1, 2021, we entered into an employment agreement with Ms. Brennan, our Chief Legal Officer.</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Pursuant to her employment agreement, Ms. Brennan is being paid an annual base salary of $410,000 for 2021, which base salary will be reviewed by the board of directors from time to time and is subject to change in the discretion of the board of directors. Ms. Brennan is also eligible to earn an annual performance bonus, with a target bonus amount equal to up to 40% of her base salary, based upon the board’s assessment of her performance and the Company’s attainment of targeted goals as set by the board in its sole discretion. The bonus may be in the form of cash, equity award(s), or a combination of cash and equity.</w:t>
      </w:r>
    </w:p>
    <w:p>
      <w:pPr>
        <w:spacing w:after="0" w:line="18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Ms. Brennan is bound by proprietary rights, non-disclosure, developments, non-competition and non-solicitation obligations pursuant to the employment agreement. Under these restrictive covenants, she has agreed not to compete with us during her employment and for a period of one year after the termination of her employment, not to solicit our employees, consultants, or actual or prospective customers or business relations during her employment and for a period of one year after the termination of her employment, and to protect our confidential and proprietary information indefinitely.</w:t>
      </w:r>
    </w:p>
    <w:p>
      <w:pPr>
        <w:spacing w:after="0" w:line="15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Ms. Brennan’s employment agreement and her employment may be terminated: (1) upon her death or at our election due to her “disability”; (2) at our election, with or without “cause”; and (3) at her election, with or without “good reason” (as such terms are defined in her employment agreement).</w:t>
      </w:r>
    </w:p>
    <w:p>
      <w:pPr>
        <w:spacing w:after="0" w:line="1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the event of the termination of Ms. Brennan’s employment by us without cause, or by Ms. Brennan for good reason, prior to or more than twelve months following a “change in control” (as defined in her employment agreement), Ms. Brennan is entitled to receive her base salary that has accrued and to which she is entitled as of the termination date, to the extent consistent with Company policy, accrued but unused paid time off through and including the termination date, unreimbursed business expenses for which expenses she has timely submitted appropriate documentation, and other amounts or benefits to which she is entitled in accordance with the terms of the benefit plans then-sponsored by us, which we refer to collectively as the Brennan Accrued Obligations. In addition, subject to her execution and nonrevocation of a release of claims in our favor, Ms. Brennan is entitled to (1) continued payment of her base salary, in accordance with our regular payroll procedures, for a period of 12 months and (2) provided she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her date of termination.</w:t>
      </w:r>
    </w:p>
    <w:p>
      <w:pPr>
        <w:spacing w:after="0" w:line="11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the event of the termination of Ms. Brennan’s employment by us without cause, or by Ms. Brennan for good reason, within twelve months following a change in control, she is entitled to receive the Brennan Accrued Obligations. In addition, subject to her execution and nonrevocation of a release of claims in our favor, she is entitled to (1) continued payment of her base salary, in accordance with our regular payroll procedures, for a period of 12 months,</w:t>
      </w:r>
    </w:p>
    <w:p>
      <w:pPr>
        <w:spacing w:after="0" w:line="2" w:lineRule="exact"/>
        <w:rPr>
          <w:sz w:val="20"/>
          <w:szCs w:val="20"/>
          <w:color w:val="auto"/>
        </w:rPr>
      </w:pPr>
    </w:p>
    <w:p>
      <w:pPr>
        <w:ind w:right="60" w:firstLine="8"/>
        <w:spacing w:after="0" w:line="270" w:lineRule="auto"/>
        <w:tabs>
          <w:tab w:leader="none" w:pos="2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provided she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her date of termination, (3) a lump sum payment equal to 100% of her target bonus for the year in which her employment is terminated or, if higher, her target bonus immediately prior to the change in control and (4) full vesting acceleration of any then-unvested equity awards that vest based solely based on the passage of time held by Ms. Brennan, such that any such equity awards held by her become fully exercisable or non-forfeitable as of the termination date.</w:t>
      </w:r>
    </w:p>
    <w:p>
      <w:pPr>
        <w:spacing w:after="0" w:line="178"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If Ms. Brennan’s employment is terminated for any other reason, including as a result of her death or disability, for cause, or voluntarily by her without good reason, our obligations under the employment agreement cease immediately, and she is only entitled to receive the Brennan Accrued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8" w:name="page189"/>
    <w:bookmarkEnd w:id="188"/>
    <w:p>
      <w:pPr>
        <w:spacing w:after="0"/>
        <w:rPr>
          <w:sz w:val="20"/>
          <w:szCs w:val="20"/>
          <w:color w:val="auto"/>
        </w:rPr>
      </w:pPr>
      <w:r>
        <w:rPr>
          <w:rFonts w:ascii="Arial" w:cs="Arial" w:eastAsia="Arial" w:hAnsi="Arial"/>
          <w:sz w:val="19"/>
          <w:szCs w:val="19"/>
          <w:color w:val="auto"/>
        </w:rPr>
        <w:t>IN WITNESS WHEREOF, the Parties hereto have executed this Agreement as of the day and year set forth above.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SOLID BIOSCIENCES INC.</w:t>
      </w:r>
    </w:p>
    <w:p>
      <w:pPr>
        <w:spacing w:after="0" w:line="233" w:lineRule="exact"/>
        <w:rPr>
          <w:sz w:val="20"/>
          <w:szCs w:val="20"/>
          <w:color w:val="auto"/>
        </w:rPr>
      </w:pPr>
    </w:p>
    <w:tbl>
      <w:tblPr>
        <w:tblLayout w:type="fixed"/>
        <w:tblInd w:w="260" w:type="dxa"/>
        <w:tblCellMar>
          <w:top w:w="0" w:type="dxa"/>
          <w:left w:w="0" w:type="dxa"/>
          <w:bottom w:w="0" w:type="dxa"/>
          <w:right w:w="0" w:type="dxa"/>
        </w:tblCellMar>
      </w:tblPr>
      <w:tr>
        <w:trPr>
          <w:trHeight w:val="264"/>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440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/s/ Ilan Ganot</w:t>
            </w:r>
          </w:p>
        </w:tc>
      </w:tr>
      <w:tr>
        <w:trPr>
          <w:trHeight w:val="480"/>
        </w:trPr>
        <w:tc>
          <w:tcPr>
            <w:tcW w:w="960" w:type="dxa"/>
            <w:vAlign w:val="bottom"/>
          </w:tcPr>
          <w:p>
            <w:pPr>
              <w:spacing w:after="0"/>
              <w:rPr>
                <w:sz w:val="20"/>
                <w:szCs w:val="20"/>
                <w:color w:val="auto"/>
              </w:rPr>
            </w:pPr>
            <w:r>
              <w:rPr>
                <w:rFonts w:ascii="Arial" w:cs="Arial" w:eastAsia="Arial" w:hAnsi="Arial"/>
                <w:sz w:val="22"/>
                <w:szCs w:val="22"/>
                <w:color w:val="auto"/>
              </w:rPr>
              <w:t>Name:</w:t>
            </w:r>
          </w:p>
        </w:tc>
        <w:tc>
          <w:tcPr>
            <w:tcW w:w="440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Ilan Ganot</w:t>
            </w:r>
          </w:p>
        </w:tc>
      </w:tr>
      <w:tr>
        <w:trPr>
          <w:trHeight w:val="479"/>
        </w:trPr>
        <w:tc>
          <w:tcPr>
            <w:tcW w:w="960" w:type="dxa"/>
            <w:vAlign w:val="bottom"/>
          </w:tcPr>
          <w:p>
            <w:pPr>
              <w:spacing w:after="0"/>
              <w:rPr>
                <w:sz w:val="20"/>
                <w:szCs w:val="20"/>
                <w:color w:val="auto"/>
              </w:rPr>
            </w:pPr>
            <w:r>
              <w:rPr>
                <w:rFonts w:ascii="Arial" w:cs="Arial" w:eastAsia="Arial" w:hAnsi="Arial"/>
                <w:sz w:val="22"/>
                <w:szCs w:val="22"/>
                <w:color w:val="auto"/>
              </w:rPr>
              <w:t>Title:</w:t>
            </w:r>
          </w:p>
        </w:tc>
        <w:tc>
          <w:tcPr>
            <w:tcW w:w="440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CEO</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Erin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Erin Brennan</w:t>
      </w:r>
    </w:p>
    <w:p>
      <w:pPr>
        <w:sectPr>
          <w:pgSz w:w="11900" w:h="16838" w:orient="portrait"/>
          <w:cols w:equalWidth="0" w:num="1">
            <w:col w:w="10139"/>
          </w:cols>
          <w:pgMar w:left="320" w:top="604" w:right="1440" w:bottom="1440" w:gutter="0" w:footer="0" w:header="0"/>
        </w:sectPr>
      </w:pPr>
    </w:p>
    <w:bookmarkStart w:id="189" w:name="page190"/>
    <w:bookmarkEnd w:id="189"/>
    <w:p>
      <w:pPr>
        <w:jc w:val="right"/>
        <w:spacing w:after="0"/>
        <w:rPr>
          <w:sz w:val="20"/>
          <w:szCs w:val="20"/>
          <w:color w:val="auto"/>
        </w:rPr>
      </w:pPr>
      <w:r>
        <w:rPr>
          <w:rFonts w:ascii="Arial" w:cs="Arial" w:eastAsia="Arial" w:hAnsi="Arial"/>
          <w:sz w:val="20"/>
          <w:szCs w:val="20"/>
          <w:b w:val="1"/>
          <w:bCs w:val="1"/>
          <w:color w:val="auto"/>
        </w:rPr>
        <w:t>Exhibit 10.18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SOLID BIOSCIENCES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COMPENSATION POLICY</w:t>
      </w:r>
    </w:p>
    <w:p>
      <w:pPr>
        <w:spacing w:after="0" w:line="195" w:lineRule="exact"/>
        <w:rPr>
          <w:sz w:val="20"/>
          <w:szCs w:val="20"/>
          <w:color w:val="auto"/>
        </w:rPr>
      </w:pPr>
    </w:p>
    <w:p>
      <w:pPr>
        <w:ind w:right="520" w:firstLine="1037"/>
        <w:spacing w:after="0" w:line="260" w:lineRule="auto"/>
        <w:rPr>
          <w:sz w:val="20"/>
          <w:szCs w:val="20"/>
          <w:color w:val="auto"/>
        </w:rPr>
      </w:pPr>
      <w:r>
        <w:rPr>
          <w:rFonts w:ascii="Arial" w:cs="Arial" w:eastAsia="Arial" w:hAnsi="Arial"/>
          <w:sz w:val="20"/>
          <w:szCs w:val="20"/>
          <w:color w:val="auto"/>
        </w:rPr>
        <w:t>The non-employee directors of Solid Biosciences Inc. (the “Company”) shall receive the following compensation for their service as members of the Board of Directors of the Company (the “Board”).</w:t>
      </w:r>
    </w:p>
    <w:p>
      <w:pPr>
        <w:spacing w:after="0" w:line="90"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Director Compensation</w:t>
      </w:r>
    </w:p>
    <w:p>
      <w:pPr>
        <w:spacing w:after="0" w:line="195" w:lineRule="exact"/>
        <w:rPr>
          <w:sz w:val="20"/>
          <w:szCs w:val="20"/>
          <w:color w:val="auto"/>
        </w:rPr>
      </w:pPr>
    </w:p>
    <w:p>
      <w:pPr>
        <w:ind w:right="40" w:firstLine="1037"/>
        <w:spacing w:after="0" w:line="246" w:lineRule="auto"/>
        <w:rPr>
          <w:sz w:val="20"/>
          <w:szCs w:val="20"/>
          <w:color w:val="auto"/>
        </w:rPr>
      </w:pPr>
      <w:r>
        <w:rPr>
          <w:rFonts w:ascii="Arial" w:cs="Arial" w:eastAsia="Arial" w:hAnsi="Arial"/>
          <w:sz w:val="20"/>
          <w:szCs w:val="20"/>
          <w:color w:val="auto"/>
        </w:rPr>
        <w:t>Our goal is to provide compensation for our non-employee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non-employee directors with a mix of cash and equity-based compensation.</w:t>
      </w:r>
    </w:p>
    <w:p>
      <w:pPr>
        <w:spacing w:after="0" w:line="137" w:lineRule="exact"/>
        <w:rPr>
          <w:sz w:val="20"/>
          <w:szCs w:val="20"/>
          <w:color w:val="auto"/>
        </w:rPr>
      </w:pPr>
    </w:p>
    <w:p>
      <w:pPr>
        <w:ind w:left="1060"/>
        <w:spacing w:after="0"/>
        <w:rPr>
          <w:sz w:val="20"/>
          <w:szCs w:val="20"/>
          <w:color w:val="auto"/>
        </w:rPr>
      </w:pPr>
      <w:r>
        <w:rPr>
          <w:rFonts w:ascii="Arial" w:cs="Arial" w:eastAsia="Arial" w:hAnsi="Arial"/>
          <w:sz w:val="20"/>
          <w:szCs w:val="20"/>
          <w:b w:val="1"/>
          <w:bCs w:val="1"/>
          <w:i w:val="1"/>
          <w:iCs w:val="1"/>
          <w:color w:val="auto"/>
        </w:rPr>
        <w:t>Cash Compensation</w:t>
      </w:r>
    </w:p>
    <w:p>
      <w:pPr>
        <w:spacing w:after="0" w:line="175" w:lineRule="exact"/>
        <w:rPr>
          <w:sz w:val="20"/>
          <w:szCs w:val="20"/>
          <w:color w:val="auto"/>
        </w:rPr>
      </w:pPr>
    </w:p>
    <w:p>
      <w:pPr>
        <w:jc w:val="both"/>
        <w:ind w:right="420" w:firstLine="1037"/>
        <w:spacing w:after="0" w:line="250" w:lineRule="auto"/>
        <w:rPr>
          <w:sz w:val="20"/>
          <w:szCs w:val="20"/>
          <w:color w:val="auto"/>
        </w:rPr>
      </w:pPr>
      <w:r>
        <w:rPr>
          <w:rFonts w:ascii="Arial" w:cs="Arial" w:eastAsia="Arial" w:hAnsi="Arial"/>
          <w:sz w:val="20"/>
          <w:szCs w:val="20"/>
          <w:color w:val="auto"/>
        </w:rPr>
        <w:t>The fees that will be paid to our non-employee directors for service on the Board, and for service on each committee of the Board on which the director is then a member, and the fees that will be paid to the chairperson of each committee of the Board will be as follows:</w:t>
      </w:r>
    </w:p>
    <w:p>
      <w:pPr>
        <w:spacing w:after="0" w:line="88" w:lineRule="exact"/>
        <w:rPr>
          <w:sz w:val="20"/>
          <w:szCs w:val="20"/>
          <w:color w:val="auto"/>
        </w:rPr>
      </w:pPr>
    </w:p>
    <w:tbl>
      <w:tblPr>
        <w:tblLayout w:type="fixed"/>
        <w:tblInd w:w="30" w:type="dxa"/>
        <w:tblCellMar>
          <w:top w:w="0" w:type="dxa"/>
          <w:left w:w="0" w:type="dxa"/>
          <w:bottom w:w="0" w:type="dxa"/>
          <w:right w:w="0" w:type="dxa"/>
        </w:tblCellMar>
      </w:tblPr>
      <w:tr>
        <w:trPr>
          <w:trHeight w:val="220"/>
        </w:trPr>
        <w:tc>
          <w:tcPr>
            <w:tcW w:w="5400" w:type="dxa"/>
            <w:vAlign w:val="bottom"/>
            <w:tcBorders>
              <w:top w:val="single" w:sz="8" w:color="auto"/>
              <w:left w:val="single" w:sz="8" w:color="auto"/>
              <w:right w:val="single" w:sz="8" w:color="auto"/>
            </w:tcBorders>
          </w:tcPr>
          <w:p>
            <w:pPr>
              <w:spacing w:after="0"/>
              <w:rPr>
                <w:sz w:val="19"/>
                <w:szCs w:val="19"/>
                <w:color w:val="auto"/>
              </w:rPr>
            </w:pPr>
          </w:p>
        </w:tc>
        <w:tc>
          <w:tcPr>
            <w:tcW w:w="256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20"/>
                <w:szCs w:val="20"/>
                <w:b w:val="1"/>
                <w:bCs w:val="1"/>
                <w:color w:val="auto"/>
              </w:rPr>
              <w:t>Member Annual Fee</w:t>
            </w:r>
          </w:p>
        </w:tc>
        <w:tc>
          <w:tcPr>
            <w:tcW w:w="3260" w:type="dxa"/>
            <w:vAlign w:val="bottom"/>
            <w:tcBorders>
              <w:top w:val="single" w:sz="8" w:color="auto"/>
              <w:right w:val="single" w:sz="8" w:color="auto"/>
            </w:tcBorders>
          </w:tcPr>
          <w:p>
            <w:pPr>
              <w:ind w:left="440"/>
              <w:spacing w:after="0" w:line="220" w:lineRule="exact"/>
              <w:rPr>
                <w:sz w:val="20"/>
                <w:szCs w:val="20"/>
                <w:color w:val="auto"/>
              </w:rPr>
            </w:pPr>
            <w:r>
              <w:rPr>
                <w:rFonts w:ascii="Arial" w:cs="Arial" w:eastAsia="Arial" w:hAnsi="Arial"/>
                <w:sz w:val="20"/>
                <w:szCs w:val="20"/>
                <w:b w:val="1"/>
                <w:bCs w:val="1"/>
                <w:color w:val="auto"/>
              </w:rPr>
              <w:t>Chairperson Incremental</w:t>
            </w:r>
          </w:p>
        </w:tc>
        <w:tc>
          <w:tcPr>
            <w:tcW w:w="0" w:type="dxa"/>
            <w:vAlign w:val="bottom"/>
          </w:tcPr>
          <w:p>
            <w:pPr>
              <w:spacing w:after="0"/>
              <w:rPr>
                <w:sz w:val="1"/>
                <w:szCs w:val="1"/>
                <w:color w:val="auto"/>
              </w:rPr>
            </w:pPr>
          </w:p>
        </w:tc>
      </w:tr>
      <w:tr>
        <w:trPr>
          <w:trHeight w:val="252"/>
        </w:trPr>
        <w:tc>
          <w:tcPr>
            <w:tcW w:w="5400" w:type="dxa"/>
            <w:vAlign w:val="bottom"/>
            <w:tcBorders>
              <w:left w:val="single" w:sz="8" w:color="auto"/>
              <w:bottom w:val="single" w:sz="8" w:color="auto"/>
              <w:right w:val="single" w:sz="8" w:color="auto"/>
            </w:tcBorders>
          </w:tcPr>
          <w:p>
            <w:pPr>
              <w:spacing w:after="0"/>
              <w:rPr>
                <w:sz w:val="21"/>
                <w:szCs w:val="21"/>
                <w:color w:val="auto"/>
              </w:rPr>
            </w:pPr>
          </w:p>
        </w:tc>
        <w:tc>
          <w:tcPr>
            <w:tcW w:w="2560" w:type="dxa"/>
            <w:vAlign w:val="bottom"/>
            <w:tcBorders>
              <w:bottom w:val="single" w:sz="8" w:color="auto"/>
              <w:right w:val="single" w:sz="8" w:color="auto"/>
            </w:tcBorders>
            <w:vMerge w:val="continue"/>
          </w:tcPr>
          <w:p>
            <w:pPr>
              <w:spacing w:after="0"/>
              <w:rPr>
                <w:sz w:val="21"/>
                <w:szCs w:val="21"/>
                <w:color w:val="auto"/>
              </w:rPr>
            </w:pPr>
          </w:p>
        </w:tc>
        <w:tc>
          <w:tcPr>
            <w:tcW w:w="326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20"/>
                <w:szCs w:val="20"/>
                <w:b w:val="1"/>
                <w:bCs w:val="1"/>
                <w:color w:val="auto"/>
              </w:rPr>
              <w:t>Annual Fee</w:t>
            </w:r>
          </w:p>
        </w:tc>
        <w:tc>
          <w:tcPr>
            <w:tcW w:w="0" w:type="dxa"/>
            <w:vAlign w:val="bottom"/>
          </w:tcPr>
          <w:p>
            <w:pPr>
              <w:spacing w:after="0"/>
              <w:rPr>
                <w:sz w:val="1"/>
                <w:szCs w:val="1"/>
                <w:color w:val="auto"/>
              </w:rPr>
            </w:pPr>
          </w:p>
        </w:tc>
      </w:tr>
      <w:tr>
        <w:trPr>
          <w:trHeight w:val="183"/>
        </w:trPr>
        <w:tc>
          <w:tcPr>
            <w:tcW w:w="540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Board of Directors</w:t>
            </w:r>
          </w:p>
        </w:tc>
        <w:tc>
          <w:tcPr>
            <w:tcW w:w="256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20"/>
                <w:szCs w:val="20"/>
                <w:color w:val="auto"/>
              </w:rPr>
              <w:t>$40,000</w:t>
            </w:r>
          </w:p>
        </w:tc>
        <w:tc>
          <w:tcPr>
            <w:tcW w:w="326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20"/>
                <w:szCs w:val="20"/>
                <w:color w:val="auto"/>
              </w:rPr>
              <w:t>$35,000</w:t>
            </w:r>
          </w:p>
        </w:tc>
        <w:tc>
          <w:tcPr>
            <w:tcW w:w="0" w:type="dxa"/>
            <w:vAlign w:val="bottom"/>
          </w:tcPr>
          <w:p>
            <w:pPr>
              <w:spacing w:after="0"/>
              <w:rPr>
                <w:sz w:val="1"/>
                <w:szCs w:val="1"/>
                <w:color w:val="auto"/>
              </w:rPr>
            </w:pPr>
          </w:p>
        </w:tc>
      </w:tr>
      <w:tr>
        <w:trPr>
          <w:trHeight w:val="183"/>
        </w:trPr>
        <w:tc>
          <w:tcPr>
            <w:tcW w:w="540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Audit Committee</w:t>
            </w:r>
          </w:p>
        </w:tc>
        <w:tc>
          <w:tcPr>
            <w:tcW w:w="256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20"/>
                <w:szCs w:val="20"/>
                <w:color w:val="auto"/>
              </w:rPr>
              <w:t>$7,500</w:t>
            </w:r>
          </w:p>
        </w:tc>
        <w:tc>
          <w:tcPr>
            <w:tcW w:w="326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20"/>
                <w:szCs w:val="20"/>
                <w:color w:val="auto"/>
              </w:rPr>
              <w:t>$7,500</w:t>
            </w:r>
          </w:p>
        </w:tc>
        <w:tc>
          <w:tcPr>
            <w:tcW w:w="0" w:type="dxa"/>
            <w:vAlign w:val="bottom"/>
          </w:tcPr>
          <w:p>
            <w:pPr>
              <w:spacing w:after="0"/>
              <w:rPr>
                <w:sz w:val="1"/>
                <w:szCs w:val="1"/>
                <w:color w:val="auto"/>
              </w:rPr>
            </w:pPr>
          </w:p>
        </w:tc>
      </w:tr>
      <w:tr>
        <w:trPr>
          <w:trHeight w:val="183"/>
        </w:trPr>
        <w:tc>
          <w:tcPr>
            <w:tcW w:w="540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Clinical Committee</w:t>
            </w:r>
          </w:p>
        </w:tc>
        <w:tc>
          <w:tcPr>
            <w:tcW w:w="256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20"/>
                <w:szCs w:val="20"/>
                <w:color w:val="auto"/>
              </w:rPr>
              <w:t>$7,500</w:t>
            </w:r>
          </w:p>
        </w:tc>
        <w:tc>
          <w:tcPr>
            <w:tcW w:w="326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20"/>
                <w:szCs w:val="20"/>
                <w:color w:val="auto"/>
              </w:rPr>
              <w:t>$7,500</w:t>
            </w:r>
          </w:p>
        </w:tc>
        <w:tc>
          <w:tcPr>
            <w:tcW w:w="0" w:type="dxa"/>
            <w:vAlign w:val="bottom"/>
          </w:tcPr>
          <w:p>
            <w:pPr>
              <w:spacing w:after="0"/>
              <w:rPr>
                <w:sz w:val="1"/>
                <w:szCs w:val="1"/>
                <w:color w:val="auto"/>
              </w:rPr>
            </w:pPr>
          </w:p>
        </w:tc>
      </w:tr>
      <w:tr>
        <w:trPr>
          <w:trHeight w:val="183"/>
        </w:trPr>
        <w:tc>
          <w:tcPr>
            <w:tcW w:w="540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Compensation Committee</w:t>
            </w:r>
          </w:p>
        </w:tc>
        <w:tc>
          <w:tcPr>
            <w:tcW w:w="256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20"/>
                <w:szCs w:val="20"/>
                <w:color w:val="auto"/>
              </w:rPr>
              <w:t>$5,000</w:t>
            </w:r>
          </w:p>
        </w:tc>
        <w:tc>
          <w:tcPr>
            <w:tcW w:w="326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20"/>
                <w:szCs w:val="20"/>
                <w:color w:val="auto"/>
              </w:rPr>
              <w:t>$5,000</w:t>
            </w:r>
          </w:p>
        </w:tc>
        <w:tc>
          <w:tcPr>
            <w:tcW w:w="0" w:type="dxa"/>
            <w:vAlign w:val="bottom"/>
          </w:tcPr>
          <w:p>
            <w:pPr>
              <w:spacing w:after="0"/>
              <w:rPr>
                <w:sz w:val="1"/>
                <w:szCs w:val="1"/>
                <w:color w:val="auto"/>
              </w:rPr>
            </w:pPr>
          </w:p>
        </w:tc>
      </w:tr>
      <w:tr>
        <w:trPr>
          <w:trHeight w:val="183"/>
        </w:trPr>
        <w:tc>
          <w:tcPr>
            <w:tcW w:w="5400" w:type="dxa"/>
            <w:vAlign w:val="bottom"/>
            <w:tcBorders>
              <w:left w:val="single" w:sz="8" w:color="auto"/>
              <w:bottom w:val="single" w:sz="8" w:color="auto"/>
              <w:right w:val="single" w:sz="8" w:color="auto"/>
            </w:tcBorders>
          </w:tcPr>
          <w:p>
            <w:pPr>
              <w:ind w:left="120"/>
              <w:spacing w:after="0" w:line="183" w:lineRule="exact"/>
              <w:rPr>
                <w:sz w:val="20"/>
                <w:szCs w:val="20"/>
                <w:color w:val="auto"/>
              </w:rPr>
            </w:pPr>
            <w:r>
              <w:rPr>
                <w:rFonts w:ascii="Arial" w:cs="Arial" w:eastAsia="Arial" w:hAnsi="Arial"/>
                <w:sz w:val="20"/>
                <w:szCs w:val="20"/>
                <w:color w:val="auto"/>
              </w:rPr>
              <w:t>Nominating and Corporate Governance Committee</w:t>
            </w:r>
          </w:p>
        </w:tc>
        <w:tc>
          <w:tcPr>
            <w:tcW w:w="256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20"/>
                <w:szCs w:val="20"/>
                <w:color w:val="auto"/>
              </w:rPr>
              <w:t>$4,000</w:t>
            </w:r>
          </w:p>
        </w:tc>
        <w:tc>
          <w:tcPr>
            <w:tcW w:w="3260" w:type="dxa"/>
            <w:vAlign w:val="bottom"/>
            <w:tcBorders>
              <w:bottom w:val="single" w:sz="8" w:color="auto"/>
              <w:right w:val="single" w:sz="8" w:color="auto"/>
            </w:tcBorders>
          </w:tcPr>
          <w:p>
            <w:pPr>
              <w:ind w:left="60"/>
              <w:spacing w:after="0" w:line="183" w:lineRule="exact"/>
              <w:rPr>
                <w:sz w:val="20"/>
                <w:szCs w:val="20"/>
                <w:color w:val="auto"/>
              </w:rPr>
            </w:pPr>
            <w:r>
              <w:rPr>
                <w:rFonts w:ascii="Arial" w:cs="Arial" w:eastAsia="Arial" w:hAnsi="Arial"/>
                <w:sz w:val="20"/>
                <w:szCs w:val="20"/>
                <w:color w:val="auto"/>
              </w:rPr>
              <w:t>$4,000</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right="180" w:firstLine="1037"/>
        <w:spacing w:after="0" w:line="246" w:lineRule="auto"/>
        <w:rPr>
          <w:sz w:val="20"/>
          <w:szCs w:val="20"/>
          <w:color w:val="auto"/>
        </w:rPr>
      </w:pPr>
      <w:r>
        <w:rPr>
          <w:rFonts w:ascii="Arial" w:cs="Arial" w:eastAsia="Arial" w:hAnsi="Arial"/>
          <w:sz w:val="20"/>
          <w:szCs w:val="20"/>
          <w:color w:val="auto"/>
        </w:rPr>
        <w:t>The foregoing fees will be payable in arrears in equal semi-annual installments not later than the 15th business day following the end of the second and fourth calendar quarters, provided that the amount of such payment will be prorated for any portion of such semi-annual period that the director is not serving on the Board, on such committee or in such position, and no fee shall be payable in respect of any period prior to the completion of our initial public offering.</w:t>
      </w:r>
    </w:p>
    <w:p>
      <w:pPr>
        <w:spacing w:after="0" w:line="137" w:lineRule="exact"/>
        <w:rPr>
          <w:sz w:val="20"/>
          <w:szCs w:val="20"/>
          <w:color w:val="auto"/>
        </w:rPr>
      </w:pPr>
    </w:p>
    <w:p>
      <w:pPr>
        <w:ind w:left="1060"/>
        <w:spacing w:after="0"/>
        <w:rPr>
          <w:sz w:val="20"/>
          <w:szCs w:val="20"/>
          <w:color w:val="auto"/>
        </w:rPr>
      </w:pPr>
      <w:r>
        <w:rPr>
          <w:rFonts w:ascii="Arial" w:cs="Arial" w:eastAsia="Arial" w:hAnsi="Arial"/>
          <w:sz w:val="20"/>
          <w:szCs w:val="20"/>
          <w:b w:val="1"/>
          <w:bCs w:val="1"/>
          <w:i w:val="1"/>
          <w:iCs w:val="1"/>
          <w:color w:val="auto"/>
        </w:rPr>
        <w:t>Equity Compensation</w:t>
      </w:r>
    </w:p>
    <w:p>
      <w:pPr>
        <w:spacing w:after="0" w:line="175" w:lineRule="exact"/>
        <w:rPr>
          <w:sz w:val="20"/>
          <w:szCs w:val="20"/>
          <w:color w:val="auto"/>
        </w:rPr>
      </w:pPr>
    </w:p>
    <w:p>
      <w:pPr>
        <w:ind w:right="40" w:firstLine="1037"/>
        <w:spacing w:after="0" w:line="259" w:lineRule="auto"/>
        <w:rPr>
          <w:sz w:val="20"/>
          <w:szCs w:val="20"/>
          <w:color w:val="auto"/>
        </w:rPr>
      </w:pPr>
      <w:r>
        <w:rPr>
          <w:rFonts w:ascii="Arial" w:cs="Arial" w:eastAsia="Arial" w:hAnsi="Arial"/>
          <w:sz w:val="19"/>
          <w:szCs w:val="19"/>
          <w:u w:val="single" w:color="auto"/>
          <w:color w:val="auto"/>
        </w:rPr>
        <w:t>Initial Stock Option Grants</w:t>
      </w:r>
      <w:r>
        <w:rPr>
          <w:rFonts w:ascii="Arial" w:cs="Arial" w:eastAsia="Arial" w:hAnsi="Arial"/>
          <w:sz w:val="19"/>
          <w:szCs w:val="19"/>
          <w:color w:val="auto"/>
        </w:rPr>
        <w:t>. Upon initial election to our Board, each non-employee director will be granted, automatically and without the need for any further action by the Board, an initial equity award of an option to purchase 40,000 shares of our common stock. The option shall have a term of ten years from the grant date and shall vest and become exercisable as to 1/3 of the shares underlying such option on each anniversary of the grant date until the third anniversary of the grant date, subject to the director’s continued service as a director through each applicable vesting date. The vesting shall accelerate as to 100% of the shares upon a change in control of the Company. The exercise price shall be the closing price of our common stock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ind w:right="20" w:firstLine="1037"/>
        <w:spacing w:after="0" w:line="274" w:lineRule="auto"/>
        <w:rPr>
          <w:sz w:val="20"/>
          <w:szCs w:val="20"/>
          <w:color w:val="auto"/>
        </w:rPr>
      </w:pPr>
      <w:r>
        <w:rPr>
          <w:rFonts w:ascii="Arial" w:cs="Arial" w:eastAsia="Arial" w:hAnsi="Arial"/>
          <w:sz w:val="18"/>
          <w:szCs w:val="18"/>
          <w:u w:val="single" w:color="auto"/>
          <w:color w:val="auto"/>
        </w:rPr>
        <w:t>Annual Stock Option Grants.</w:t>
      </w:r>
      <w:r>
        <w:rPr>
          <w:rFonts w:ascii="Arial" w:cs="Arial" w:eastAsia="Arial" w:hAnsi="Arial"/>
          <w:sz w:val="18"/>
          <w:szCs w:val="18"/>
          <w:color w:val="auto"/>
        </w:rPr>
        <w:t xml:space="preserve"> Each non-employee director who has served as a member of our Board for at least six months prior to the date of our annual meeting of stockholders for a particular year will be granted, automatically and without the need for any further action by the Board, an equity award on the date of such annual meeting of an option to purchase 30,000 shares of our common stock. The option shall have a term of ten years from the grant date and shall vest and become exercisable in full on the earlier to occur of the one-year anniversary of the grant date and immediately prior to our first annual meeting of stockholders occurring after the grant date, subject, in each case, to the director’s continued service as a director through the applicable vesting date. The vesting shall accelerate as to 100% of the shares upon a change in control of the Company. The exercise price shall be the closing price of our common stock on the date of grant.</w:t>
      </w:r>
    </w:p>
    <w:p>
      <w:pPr>
        <w:spacing w:after="0" w:line="87" w:lineRule="exact"/>
        <w:rPr>
          <w:sz w:val="20"/>
          <w:szCs w:val="20"/>
          <w:color w:val="auto"/>
        </w:rPr>
      </w:pPr>
    </w:p>
    <w:p>
      <w:pPr>
        <w:ind w:right="80" w:firstLine="1037"/>
        <w:spacing w:after="0" w:line="263" w:lineRule="auto"/>
        <w:rPr>
          <w:sz w:val="20"/>
          <w:szCs w:val="20"/>
          <w:color w:val="auto"/>
        </w:rPr>
      </w:pPr>
      <w:r>
        <w:rPr>
          <w:rFonts w:ascii="Arial" w:cs="Arial" w:eastAsia="Arial" w:hAnsi="Arial"/>
          <w:sz w:val="19"/>
          <w:szCs w:val="19"/>
          <w:color w:val="auto"/>
        </w:rPr>
        <w:t>The foregoing share amounts shall be adjusted in the event of certain changes in the capital structure or business of the Company, including any stock split, reverse stock split, stock dividend, combination or reclassification of shares, recapitalization, spin off or other similar change in the Company’s capitalization and any non-cash dividend or distribution to holders of common stock, in each case in accordance with the terms of our 2020 Equity Incentive Plan, or any successor plan.</w:t>
      </w:r>
    </w:p>
    <w:p>
      <w:pPr>
        <w:spacing w:after="0" w:line="95" w:lineRule="exact"/>
        <w:rPr>
          <w:sz w:val="20"/>
          <w:szCs w:val="20"/>
          <w:color w:val="auto"/>
        </w:rPr>
      </w:pPr>
    </w:p>
    <w:p>
      <w:pPr>
        <w:ind w:right="120" w:firstLine="1037"/>
        <w:spacing w:after="0" w:line="250" w:lineRule="auto"/>
        <w:rPr>
          <w:sz w:val="20"/>
          <w:szCs w:val="20"/>
          <w:color w:val="auto"/>
        </w:rPr>
      </w:pPr>
      <w:r>
        <w:rPr>
          <w:rFonts w:ascii="Arial" w:cs="Arial" w:eastAsia="Arial" w:hAnsi="Arial"/>
          <w:sz w:val="20"/>
          <w:szCs w:val="20"/>
          <w:color w:val="auto"/>
        </w:rPr>
        <w:t>The initial stock option awards and the annual stock option awards shall be subject to the terms and conditions of our 2020 Equity Incentive Plan, or any successor plan, and the terms of the option agreements entered into with each director in connection with such awards.</w:t>
      </w:r>
    </w:p>
    <w:p>
      <w:pPr>
        <w:spacing w:after="0" w:line="126"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auto"/>
        </w:rPr>
        <w:t>Expenses</w:t>
      </w:r>
    </w:p>
    <w:p>
      <w:pPr>
        <w:spacing w:after="0" w:line="195" w:lineRule="exact"/>
        <w:rPr>
          <w:sz w:val="20"/>
          <w:szCs w:val="20"/>
          <w:color w:val="auto"/>
        </w:rPr>
      </w:pPr>
    </w:p>
    <w:p>
      <w:pPr>
        <w:ind w:firstLine="1037"/>
        <w:spacing w:after="0" w:line="269" w:lineRule="auto"/>
        <w:rPr>
          <w:sz w:val="20"/>
          <w:szCs w:val="20"/>
          <w:color w:val="auto"/>
        </w:rPr>
      </w:pPr>
      <w:r>
        <w:rPr>
          <w:rFonts w:ascii="Arial" w:cs="Arial" w:eastAsia="Arial" w:hAnsi="Arial"/>
          <w:sz w:val="19"/>
          <w:szCs w:val="19"/>
          <w:color w:val="auto"/>
        </w:rPr>
        <w:t>Upon presentation of documentation of such expenses reasonably satisfactory to the Company, each non-employee director shall be reimbursed for his or her reasonable out-of-pocket business expenses incurred in connection with the performance of their duties as directors, including travel expenses in connection with their attendance in-person at Board and committee meetings.</w:t>
      </w:r>
    </w:p>
    <w:p>
      <w:pPr>
        <w:spacing w:after="0" w:line="183" w:lineRule="exact"/>
        <w:rPr>
          <w:sz w:val="20"/>
          <w:szCs w:val="20"/>
          <w:color w:val="auto"/>
        </w:rPr>
      </w:pPr>
    </w:p>
    <w:p>
      <w:pPr>
        <w:ind w:left="1040"/>
        <w:spacing w:after="0"/>
        <w:rPr>
          <w:sz w:val="20"/>
          <w:szCs w:val="20"/>
          <w:color w:val="auto"/>
        </w:rPr>
      </w:pPr>
      <w:r>
        <w:rPr>
          <w:rFonts w:ascii="Arial" w:cs="Arial" w:eastAsia="Arial" w:hAnsi="Arial"/>
          <w:sz w:val="20"/>
          <w:szCs w:val="20"/>
          <w:i w:val="1"/>
          <w:iCs w:val="1"/>
          <w:color w:val="auto"/>
        </w:rPr>
        <w:t>Effective: June 16, 2020, as amended April 14, 2021.</w:t>
      </w:r>
    </w:p>
    <w:p>
      <w:pPr>
        <w:sectPr>
          <w:pgSz w:w="11900" w:h="16838" w:orient="portrait"/>
          <w:cols w:equalWidth="0" w:num="1">
            <w:col w:w="11220"/>
          </w:cols>
          <w:pgMar w:left="320" w:top="582" w:right="35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10.25</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Solid Biosciences Inc.</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Chairman Agreement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EXECUTIVE CHAIR AGREEMENT</w:t>
      </w:r>
    </w:p>
    <w:p>
      <w:pPr>
        <w:spacing w:after="0" w:line="200" w:lineRule="exact"/>
        <w:rPr>
          <w:sz w:val="20"/>
          <w:szCs w:val="20"/>
          <w:color w:val="auto"/>
        </w:rPr>
      </w:pPr>
    </w:p>
    <w:p>
      <w:pPr>
        <w:spacing w:after="0" w:line="336" w:lineRule="exact"/>
        <w:rPr>
          <w:sz w:val="20"/>
          <w:szCs w:val="20"/>
          <w:color w:val="auto"/>
        </w:rPr>
      </w:pPr>
    </w:p>
    <w:p>
      <w:pPr>
        <w:jc w:val="both"/>
        <w:ind w:right="80" w:firstLine="857"/>
        <w:spacing w:after="0" w:line="238" w:lineRule="auto"/>
        <w:rPr>
          <w:sz w:val="20"/>
          <w:szCs w:val="20"/>
          <w:color w:val="auto"/>
        </w:rPr>
      </w:pPr>
      <w:r>
        <w:rPr>
          <w:rFonts w:ascii="Arial" w:cs="Arial" w:eastAsia="Arial" w:hAnsi="Arial"/>
          <w:sz w:val="22"/>
          <w:szCs w:val="22"/>
          <w:color w:val="auto"/>
        </w:rPr>
        <w:t>This Executive Chair Agreement (together with Exhibit A, the “Agreement”), effective January 1, 2022 (the “Effective Date”), is by and between Ian F. Smith, an individual having an address at 45 Commonwealth Avenue, Unit 3, Boston, MA 02116 (the “Executive Chair”), and Solid Biosciences Inc., a Delaware corporation (together with its affiliates, the “Company”), having an address at 141 Portland Street, Fifth Floor, Cambridge, MA 02139.</w:t>
      </w:r>
    </w:p>
    <w:p>
      <w:pPr>
        <w:spacing w:after="0" w:line="185" w:lineRule="exact"/>
        <w:rPr>
          <w:sz w:val="20"/>
          <w:szCs w:val="20"/>
          <w:color w:val="auto"/>
        </w:rPr>
      </w:pPr>
    </w:p>
    <w:p>
      <w:pPr>
        <w:jc w:val="both"/>
        <w:ind w:right="80" w:firstLine="857"/>
        <w:spacing w:after="0" w:line="250" w:lineRule="auto"/>
        <w:rPr>
          <w:sz w:val="20"/>
          <w:szCs w:val="20"/>
          <w:color w:val="auto"/>
        </w:rPr>
      </w:pPr>
      <w:r>
        <w:rPr>
          <w:rFonts w:ascii="Arial" w:cs="Arial" w:eastAsia="Arial" w:hAnsi="Arial"/>
          <w:sz w:val="22"/>
          <w:szCs w:val="22"/>
          <w:color w:val="auto"/>
        </w:rPr>
        <w:t>WHEREAS, Executive Chair is currently serving as a member and chairman of the Board of Directors of the Company (the “Board”);</w:t>
      </w:r>
    </w:p>
    <w:p>
      <w:pPr>
        <w:spacing w:after="0" w:line="175" w:lineRule="exact"/>
        <w:rPr>
          <w:sz w:val="20"/>
          <w:szCs w:val="20"/>
          <w:color w:val="auto"/>
        </w:rPr>
      </w:pPr>
    </w:p>
    <w:p>
      <w:pPr>
        <w:jc w:val="both"/>
        <w:ind w:right="80" w:firstLine="857"/>
        <w:spacing w:after="0" w:line="297" w:lineRule="auto"/>
        <w:rPr>
          <w:sz w:val="20"/>
          <w:szCs w:val="20"/>
          <w:color w:val="auto"/>
        </w:rPr>
      </w:pPr>
      <w:r>
        <w:rPr>
          <w:rFonts w:ascii="Arial" w:cs="Arial" w:eastAsia="Arial" w:hAnsi="Arial"/>
          <w:sz w:val="19"/>
          <w:szCs w:val="19"/>
          <w:color w:val="auto"/>
        </w:rPr>
        <w:t>WHEREAS, Executive Chair has also been providing advisory services to Company pursuant to a consulting agreement between the Parties entered into on January 4, 2021 (the “Prior Agreement”) and both parties acknowledge and agree that, as of the Effective Date of this Agreement, the agreed upon services under the Prior Agreement have been completed;</w:t>
      </w:r>
    </w:p>
    <w:p>
      <w:pPr>
        <w:spacing w:after="0" w:line="134" w:lineRule="exact"/>
        <w:rPr>
          <w:sz w:val="20"/>
          <w:szCs w:val="20"/>
          <w:color w:val="auto"/>
        </w:rPr>
      </w:pPr>
    </w:p>
    <w:p>
      <w:pPr>
        <w:jc w:val="both"/>
        <w:ind w:right="80" w:firstLine="857"/>
        <w:spacing w:after="0" w:line="328" w:lineRule="auto"/>
        <w:rPr>
          <w:sz w:val="20"/>
          <w:szCs w:val="20"/>
          <w:color w:val="auto"/>
        </w:rPr>
      </w:pPr>
      <w:r>
        <w:rPr>
          <w:rFonts w:ascii="Arial" w:cs="Arial" w:eastAsia="Arial" w:hAnsi="Arial"/>
          <w:sz w:val="19"/>
          <w:szCs w:val="19"/>
          <w:color w:val="auto"/>
        </w:rPr>
        <w:t>WHEREAS, from and after the close of business on the Effective Date, Executive Chair shall no longer serve under the Prior Agreement, but shall be retained as the Executive Chairman pursuant to the terms and conditions set forth herein; and</w:t>
      </w:r>
    </w:p>
    <w:p>
      <w:pPr>
        <w:spacing w:after="0" w:line="105" w:lineRule="exact"/>
        <w:rPr>
          <w:sz w:val="20"/>
          <w:szCs w:val="20"/>
          <w:color w:val="auto"/>
        </w:rPr>
      </w:pPr>
    </w:p>
    <w:p>
      <w:pPr>
        <w:jc w:val="both"/>
        <w:ind w:right="80" w:firstLine="857"/>
        <w:spacing w:after="0"/>
        <w:rPr>
          <w:sz w:val="20"/>
          <w:szCs w:val="20"/>
          <w:color w:val="auto"/>
        </w:rPr>
      </w:pPr>
      <w:r>
        <w:rPr>
          <w:rFonts w:ascii="Arial" w:cs="Arial" w:eastAsia="Arial" w:hAnsi="Arial"/>
          <w:sz w:val="22"/>
          <w:szCs w:val="22"/>
          <w:color w:val="auto"/>
        </w:rPr>
        <w:t>NOW THEREFORE, in consideration of the promises and mutual covenants herein and for other good and valuable consideration, the receipt and sufficiency of which are hereby acknowledged, Executive Chair and the Company agree as follows:</w:t>
      </w:r>
    </w:p>
    <w:p>
      <w:pPr>
        <w:spacing w:after="0" w:line="186" w:lineRule="exact"/>
        <w:rPr>
          <w:sz w:val="20"/>
          <w:szCs w:val="20"/>
          <w:color w:val="auto"/>
        </w:rPr>
      </w:pPr>
    </w:p>
    <w:p>
      <w:pPr>
        <w:jc w:val="both"/>
        <w:ind w:firstLine="871"/>
        <w:spacing w:after="0" w:line="249" w:lineRule="auto"/>
        <w:tabs>
          <w:tab w:leader="none" w:pos="1673"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Services</w:t>
      </w:r>
      <w:r>
        <w:rPr>
          <w:rFonts w:ascii="Arial" w:cs="Arial" w:eastAsia="Arial" w:hAnsi="Arial"/>
          <w:sz w:val="21"/>
          <w:szCs w:val="21"/>
          <w:color w:val="auto"/>
        </w:rPr>
        <w:t>. Company retains Executive Chair, and Executive Chair agrees to provide, part-time advisory services to Company, consistent with his position as Executive Chairman of the Board, and as more fully set forth on Exhibit A attached hereto (the “Services”). It is understood and agreed that the Executive Chair will not be an executive officer of the Company and that Chief Executive Officer of the Company will continue to be the Company’s principal executive officer and will continue to report directly to the board of directors and to the Executive Chairman.</w:t>
      </w:r>
    </w:p>
    <w:p>
      <w:pPr>
        <w:spacing w:after="0" w:line="178" w:lineRule="exact"/>
        <w:rPr>
          <w:rFonts w:ascii="Arial" w:cs="Arial" w:eastAsia="Arial" w:hAnsi="Arial"/>
          <w:sz w:val="21"/>
          <w:szCs w:val="21"/>
          <w:color w:val="auto"/>
        </w:rPr>
      </w:pPr>
    </w:p>
    <w:p>
      <w:pPr>
        <w:jc w:val="both"/>
        <w:ind w:firstLine="871"/>
        <w:spacing w:after="0" w:line="275" w:lineRule="auto"/>
        <w:tabs>
          <w:tab w:leader="none" w:pos="1673"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As consideration for Services provided under this Agreement, the Company shall grant, subject to approval of Company’s Board, to Executive Chair an option to purchase 194,500 shares of the Company’s Common Stock (“Stock Options”) at an exercise price per share equal to the closing price of the Company’s Common Stock on January 3, 2021 (the “Grant Date”), and 97,250 restricted stock units (the “RSUs” and together with the RSUs, the “Awards”). The Awards will vest in equal quarterly installments with the first installment vesting three months from the Grant Date and the final installment vesting date on the date that is 12 months from the Grant Date, subject to continued services as a Director of the Company. Additionally, in the event of a change in control of the Company and on terms consistent with board of director equity award agreements, all unvested Awards will accelerate and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7" w:lineRule="exact"/>
        <w:rPr>
          <w:sz w:val="20"/>
          <w:szCs w:val="20"/>
          <w:color w:val="auto"/>
        </w:rPr>
      </w:pPr>
    </w:p>
    <w:p>
      <w:pPr>
        <w:ind w:left="1680" w:hanging="809"/>
        <w:spacing w:after="0"/>
        <w:tabs>
          <w:tab w:leader="none" w:pos="168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Work-Made-for Hire</w:t>
      </w:r>
      <w:r>
        <w:rPr>
          <w:rFonts w:ascii="Arial" w:cs="Arial" w:eastAsia="Arial" w:hAnsi="Arial"/>
          <w:sz w:val="22"/>
          <w:szCs w:val="22"/>
          <w:color w:val="auto"/>
        </w:rPr>
        <w:t>.</w:t>
      </w:r>
    </w:p>
    <w:p>
      <w:pPr>
        <w:spacing w:after="0" w:line="206" w:lineRule="exact"/>
        <w:rPr>
          <w:sz w:val="20"/>
          <w:szCs w:val="20"/>
          <w:color w:val="auto"/>
        </w:rPr>
      </w:pPr>
    </w:p>
    <w:p>
      <w:pPr>
        <w:jc w:val="both"/>
        <w:ind w:firstLine="871"/>
        <w:spacing w:after="0" w:line="273" w:lineRule="auto"/>
        <w:tabs>
          <w:tab w:leader="none" w:pos="175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All right, title and interest in any and all writings, ideas, inventions, know-how, designs, improvements or other property created during Executive Chair’s advisory relationship relating in any way to the assets, business or operations of the Company, constituting copyrights, patents, trademarks, service marks and related rights or other forms of proprietary rights or information (regardless of whether any such copyrights, patents, trademarks and service marks or other rights have or may be registered) that are created, adapted or improved by Executive Chair (whether alone or in conjunction with any other person or employee), and all material created during Executive Chair’s advisory relationship that includes any of the foregoing (collectively, “Covered Material”), shall be owned by the Company and to the extent that it includes copyrightable subject matter, shall be deemed a work made for hire for the Company within the meaning of the United States Copyright Act of 1976 and for all other purposes. If any Covered Material is deemed not to be work made for hire, such Covered Material is hereby assigned by Executive Chair to the Company and Executive Chair shall not have or claim to have, under this Agreement or otherwise, any right, title or interest of any kind or nature whatsoever in such Covered Material.</w:t>
      </w:r>
    </w:p>
    <w:p>
      <w:pPr>
        <w:spacing w:after="0" w:line="155" w:lineRule="exact"/>
        <w:rPr>
          <w:rFonts w:ascii="Arial" w:cs="Arial" w:eastAsia="Arial" w:hAnsi="Arial"/>
          <w:sz w:val="19"/>
          <w:szCs w:val="19"/>
          <w:color w:val="auto"/>
        </w:rPr>
      </w:pPr>
    </w:p>
    <w:p>
      <w:pPr>
        <w:jc w:val="both"/>
        <w:ind w:firstLine="871"/>
        <w:spacing w:after="0" w:line="249" w:lineRule="auto"/>
        <w:tabs>
          <w:tab w:leader="none" w:pos="1762"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Company shall have the right to apply for and obtain registrations in the United States Copyright Office and the United States Patent and Trademark Office, in its own or its designee’s name, of its rights in any or all of the Covered Material. If for any reason the rights in any Covered Material are registered, or applied to be registered, in Executive Chair’s name, Executive Chair shall assign in writing such application or registration to the Company and hereby authorizes and appoints the Company its agent for the purpose of recording such assignment.</w:t>
      </w:r>
    </w:p>
    <w:p>
      <w:pPr>
        <w:spacing w:after="0" w:line="178" w:lineRule="exact"/>
        <w:rPr>
          <w:rFonts w:ascii="Arial" w:cs="Arial" w:eastAsia="Arial" w:hAnsi="Arial"/>
          <w:sz w:val="21"/>
          <w:szCs w:val="21"/>
          <w:color w:val="auto"/>
        </w:rPr>
      </w:pPr>
    </w:p>
    <w:p>
      <w:pPr>
        <w:jc w:val="both"/>
        <w:ind w:firstLine="871"/>
        <w:spacing w:after="0" w:line="274" w:lineRule="auto"/>
        <w:tabs>
          <w:tab w:leader="none" w:pos="175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Upon request of Company, Executive Chair shall execute, acknowledge and deliver all applications, assignments or other instruments; make or cause to be made all rightful oaths; testify in all legal proceedings; communicate all known facts which relate to such works, copyrights, inventions, ideas, discoveries, designs and improvements; perform all lawful acts and otherwise render all such assistance as the Company may deem necessary to protect the Company’s interest therein including any assistance which the Company shall deem necessary in connection with any proceeding or litigation involving the same. The Company shall reimburse Executive Chair for all reasonable out-of-pocket costs, incurred by Executive Chair in rendering any such assistance requested by the Company pursuant to this Section. In the event that Executive Chair should fail or refuse to execute such documents within a reasonable time, Executive Chair appoints Company as attorney to execute and deliver any such documents on Executive Chair’s behalf.</w:t>
      </w:r>
    </w:p>
    <w:p>
      <w:pPr>
        <w:spacing w:after="0" w:line="185" w:lineRule="exact"/>
        <w:rPr>
          <w:sz w:val="20"/>
          <w:szCs w:val="20"/>
          <w:color w:val="auto"/>
        </w:rPr>
      </w:pPr>
    </w:p>
    <w:p>
      <w:pPr>
        <w:jc w:val="both"/>
        <w:ind w:firstLine="871"/>
        <w:spacing w:after="0" w:line="277" w:lineRule="auto"/>
        <w:tabs>
          <w:tab w:leader="none" w:pos="1673"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Nondisclosure</w:t>
      </w:r>
      <w:r>
        <w:rPr>
          <w:rFonts w:ascii="Arial" w:cs="Arial" w:eastAsia="Arial" w:hAnsi="Arial"/>
          <w:sz w:val="19"/>
          <w:szCs w:val="19"/>
          <w:color w:val="auto"/>
        </w:rPr>
        <w:t>. Executive Chair agrees to (a) hold the Confidential Information (as defined below) in confidence; (b) not disclose any Confidential Information to any third party without the prior written consent of Company; (c) not use the Confidential Information for any purpose except solely as required to perform the Services; and (d) treat Confidential Information with no less than a reasonable degree of care. For purposes of this Agreement, the term “Confidential Information” means any and all information and derivative information, in whatever form or medium, including oral information, concerning or relating to the Company or information of any third party that the Company is under an obligation to keep confidential or that is maintained by the Company as confidential, including, without limitation, intellectual property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Company, such as, but not limited to, Covered Material, patent applications, copyrights, copyright applications, and trade secrets; information regarding or resulting from research and development activities performed by or on behalf of the Company and other projects (such as, but not limited to, preclinical and clinical data, design details and specifications, engineering information, and works in process); and business and financial information (such as, but not limited to, current, future, and proposed products and services, financial information and models, information relating to procurement requirements, purchasing, manufacturing, investors, customer lists, customers, suppliers, facilities, product plans, product ideas, business strategies, marketing or business plans, financial or personnel matters, investors, employees, business and contractual relationships, business forecasts, sales, strategies, operations, policies, procedures, commercialization capabilities, and information regarding third parties). Notwithstanding the foregoing, Confidential Information does not include information that Executive Chair can demonstrate: (a) is publicly known and generally available in the public domain other than in consequence of improper action by any person; or</w:t>
      </w:r>
    </w:p>
    <w:p>
      <w:pPr>
        <w:spacing w:after="0" w:line="8" w:lineRule="exact"/>
        <w:rPr>
          <w:sz w:val="20"/>
          <w:szCs w:val="20"/>
          <w:color w:val="auto"/>
        </w:rPr>
      </w:pPr>
    </w:p>
    <w:p>
      <w:pPr>
        <w:jc w:val="both"/>
        <w:ind w:firstLine="8"/>
        <w:spacing w:after="0" w:line="270" w:lineRule="auto"/>
        <w:tabs>
          <w:tab w:leader="none" w:pos="30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was acquired by Executive Chair free and clear of any duty of confidentiality or restricted use and without improper action by the transferor of such information or any other person. Executive Chair shall keep confidential all matters entrusted to Executive Chair by or on behalf of the Company and shall not use or attempt to use any Confidential Information except as may be required in the ordinary course of performing Executive Chair’s duties as an advisor to the Company, and Executive Chair shall not use any Confidential Information in any manner that may injure or cause loss or may be calculated to injure or cause loss to the Company, whether directly or indirectly. Nothing in this Agreement prohibits Executive Chair from reporting possible violations of federal or state law or regulations to any governmental agency or entity or self-regulatory institution, including but not limited to the Equal Employment Opportunity Commission, the National Labor Relations Board, the Department of Justice, the Securities and Exchange Commission, Congress, and any Inspector General, or making other disclosures that are protected under the whistleblower provisions of federal or state law or regulation. Prior authorization of the Company shall not be required to make any such reports or disclosures and Executive Chair is not required to notify the Company that Executive Chair has made such reports or disclosures.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871"/>
        <w:spacing w:after="0" w:line="275" w:lineRule="auto"/>
        <w:tabs>
          <w:tab w:leader="none" w:pos="1673"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Compliance with Laws</w:t>
      </w:r>
      <w:r>
        <w:rPr>
          <w:rFonts w:ascii="Arial" w:cs="Arial" w:eastAsia="Arial" w:hAnsi="Arial"/>
          <w:sz w:val="19"/>
          <w:szCs w:val="19"/>
          <w:color w:val="auto"/>
        </w:rPr>
        <w:t>. Executive Chair agrees to provide the Services to Company and its affiliates in accordance with all applicable laws and regulations and the highest professional standards. Executive Chair represents and warrants that Executive Chair has not been, and is not under consideration to be (a) debarred from providing services pursuant to Section 306 of the United States Federal Food Drug and Cosmetic Act, 21 U.S.C. § 335a; (b) excluded, debarred or suspended from, or otherwise ineligible to participate in, any federal or state health care program or federal procurement or non-procurement programs (as that term is defined in 42 U.S.C. § 1320a-7b(f)); (c) disqualified by any government or regulatory agencies from performing specific services, and is not subject to a pending disqualification proceeding; or (d) convicted of a criminal offense related to the provision of health care items or services, or under investigation or subject to any such action that is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7" w:lineRule="exact"/>
        <w:rPr>
          <w:sz w:val="20"/>
          <w:szCs w:val="20"/>
          <w:color w:val="auto"/>
        </w:rPr>
      </w:pPr>
    </w:p>
    <w:p>
      <w:pPr>
        <w:jc w:val="both"/>
        <w:ind w:firstLine="871"/>
        <w:spacing w:after="0" w:line="272" w:lineRule="auto"/>
        <w:tabs>
          <w:tab w:leader="none" w:pos="1673"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Compliance with Obligations to Third Parties</w:t>
      </w:r>
      <w:r>
        <w:rPr>
          <w:rFonts w:ascii="Arial" w:cs="Arial" w:eastAsia="Arial" w:hAnsi="Arial"/>
          <w:sz w:val="19"/>
          <w:szCs w:val="19"/>
          <w:color w:val="auto"/>
        </w:rPr>
        <w:t>. Executive Chair represents and warrants to Company that the terms of this Agreement and Executive Chair’s performance of Services do not and will not conflict with any of Executive Chair’s obligations to any third parties. Executive Chair represents that Executive Chair has not brought and will not bring with Executive Chair to Company or use in the performance of Services any equipment, funds, space, personnel, facilities, confidential information, trade secrets or other resources of any third party which are not generally available to the public, nor will Executive Chair take any other action that would result in a third-party asserting ownership of, or other rights in, any Covered Material. If Executive Chair is a faculty member at or employee of a university or hospital or another organization or company (“Institution”), Executive Chair represents and warrants that Executive Chair is not prohibited by any applicable policy of such Institution, including without limitation any policy addressing conflicts of interest or intellectual property, from performing external consulting services and assigning rights to intellectual property arising from such services to Company or a third party. To the extent Executive Chair is subject to any policy of his/her employer that requires approval of agreements governing external consulting services, Executive Chair represents that such approval has been given and covenants that such approval will be obtained prior to entering into any amendment to this Agreement requiring such approval.</w:t>
      </w:r>
    </w:p>
    <w:p>
      <w:pPr>
        <w:spacing w:after="0" w:line="155" w:lineRule="exact"/>
        <w:rPr>
          <w:rFonts w:ascii="Arial" w:cs="Arial" w:eastAsia="Arial" w:hAnsi="Arial"/>
          <w:sz w:val="19"/>
          <w:szCs w:val="19"/>
          <w:color w:val="auto"/>
        </w:rPr>
      </w:pPr>
    </w:p>
    <w:p>
      <w:pPr>
        <w:jc w:val="both"/>
        <w:ind w:firstLine="871"/>
        <w:spacing w:after="0" w:line="279" w:lineRule="auto"/>
        <w:tabs>
          <w:tab w:leader="none" w:pos="1673"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Non-hire of Employees and Consultants</w:t>
      </w:r>
      <w:r>
        <w:rPr>
          <w:rFonts w:ascii="Arial" w:cs="Arial" w:eastAsia="Arial" w:hAnsi="Arial"/>
          <w:sz w:val="19"/>
          <w:szCs w:val="19"/>
          <w:color w:val="auto"/>
        </w:rPr>
        <w:t>. During the Term and for a one year period thereafter, Executive Chair will not (except on the Company’s behalf), directly or indirectly, alone or as a consultant, partner, officer, director, employee, joint venturer, lender or stockholder of any entity, employ, hire, retain, attempt to employ, hire or retain, or knowingly permit any company or business organization by which Executive Chair is employed or which is directly or indirectly controlled by Executive Chair to employ, hire or retain, any Company employee or consultant, or any such person whose employment or consultancy with the Company has terminated within six months prior to or after Executive Chair’s departure from the Company.</w:t>
      </w:r>
    </w:p>
    <w:p>
      <w:pPr>
        <w:spacing w:after="0" w:line="150" w:lineRule="exact"/>
        <w:rPr>
          <w:rFonts w:ascii="Arial" w:cs="Arial" w:eastAsia="Arial" w:hAnsi="Arial"/>
          <w:sz w:val="19"/>
          <w:szCs w:val="19"/>
          <w:color w:val="auto"/>
        </w:rPr>
      </w:pPr>
    </w:p>
    <w:p>
      <w:pPr>
        <w:jc w:val="both"/>
        <w:ind w:firstLine="871"/>
        <w:spacing w:after="0" w:line="235" w:lineRule="auto"/>
        <w:tabs>
          <w:tab w:leader="none" w:pos="1673"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Nonsolicitation of Employees and Consultants</w:t>
      </w:r>
      <w:r>
        <w:rPr>
          <w:rFonts w:ascii="Arial" w:cs="Arial" w:eastAsia="Arial" w:hAnsi="Arial"/>
          <w:sz w:val="22"/>
          <w:szCs w:val="22"/>
          <w:color w:val="auto"/>
        </w:rPr>
        <w:t>. During the Term and for a one year period thereafter, Executive Chair will not (except on the Company’s behalf), directly or indirectly, alone or as a consultant, partner, officer, director, employee, joint venturer, lender or stockholder of any entity, in any manner seek to solicit or induce any Company employee or consultant, or any such person whose employment or consultancy with the Company has terminated within six months prior to or after Executive Chair’s departure from the Company, to leave his or her employment or consultancy with the Company, or assist in the recruitment or hiring of any such person.</w:t>
      </w:r>
    </w:p>
    <w:p>
      <w:pPr>
        <w:spacing w:after="0" w:line="187" w:lineRule="exact"/>
        <w:rPr>
          <w:rFonts w:ascii="Arial" w:cs="Arial" w:eastAsia="Arial" w:hAnsi="Arial"/>
          <w:sz w:val="22"/>
          <w:szCs w:val="22"/>
          <w:color w:val="auto"/>
        </w:rPr>
      </w:pPr>
    </w:p>
    <w:p>
      <w:pPr>
        <w:jc w:val="both"/>
        <w:ind w:firstLine="871"/>
        <w:spacing w:after="0"/>
        <w:tabs>
          <w:tab w:leader="none" w:pos="1673"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Executive Chair shall not at any time, whether during or after the Term, regardless of the reason for such termination, make to any person or entity disparaging, critical or otherwise detrimental comments of a business or personal nature relating to the Company or its personnel.</w:t>
      </w:r>
    </w:p>
    <w:p>
      <w:pPr>
        <w:spacing w:after="0" w:line="186" w:lineRule="exact"/>
        <w:rPr>
          <w:rFonts w:ascii="Arial" w:cs="Arial" w:eastAsia="Arial" w:hAnsi="Arial"/>
          <w:sz w:val="22"/>
          <w:szCs w:val="22"/>
          <w:color w:val="auto"/>
        </w:rPr>
      </w:pPr>
    </w:p>
    <w:p>
      <w:pPr>
        <w:jc w:val="both"/>
        <w:ind w:firstLine="871"/>
        <w:spacing w:after="0"/>
        <w:tabs>
          <w:tab w:leader="none" w:pos="1781"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Use of Name</w:t>
      </w:r>
      <w:r>
        <w:rPr>
          <w:rFonts w:ascii="Arial" w:cs="Arial" w:eastAsia="Arial" w:hAnsi="Arial"/>
          <w:sz w:val="22"/>
          <w:szCs w:val="22"/>
          <w:color w:val="auto"/>
        </w:rPr>
        <w:t>. Executive Chair will not use the name, logo, trade name, service mark, or trademark, or any simulation, abbreviation, or adaptation of same, or the name of Company or any of its affiliates for publicity, promotion, or other uses without Company’s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7" w:lineRule="exact"/>
        <w:rPr>
          <w:sz w:val="20"/>
          <w:szCs w:val="20"/>
          <w:color w:val="auto"/>
        </w:rPr>
      </w:pPr>
    </w:p>
    <w:p>
      <w:pPr>
        <w:jc w:val="both"/>
        <w:ind w:firstLine="871"/>
        <w:spacing w:after="0" w:line="273" w:lineRule="auto"/>
        <w:tabs>
          <w:tab w:leader="none" w:pos="1773"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Company Property</w:t>
      </w:r>
      <w:r>
        <w:rPr>
          <w:rFonts w:ascii="Arial" w:cs="Arial" w:eastAsia="Arial" w:hAnsi="Arial"/>
          <w:sz w:val="19"/>
          <w:szCs w:val="19"/>
          <w:color w:val="auto"/>
        </w:rPr>
        <w:t>. Executive Chair shall not make, use or permit to be used any Company Property otherwise than for the benefit of the Company. The term “Company Property” shall include all Confidential Information; the Company’s records, files and data; all Company computers, cellular telephones, personal digital assistants, credit and/or calling cards, keys, access cards and the like; and all other documentation or materials of any nature and in any form, whether written, printed, electronic or in digital format or otherwise, relating to any matter within the scope of the business of the Company or concerning any of its dealings or affairs and any other Company property in Executive Chair’s possession, custody or control. Executive Chair further agrees that upon expiration or termination of this Agreement, Executive Chair shall immediately return all Company Property to Company. Executive Chair acknowledges and agree that all Company Property shall be and remain the sole and exclusive property of the Company. Immediately upon the expiration or termination of this Agreement, Executive Chair shall deliver all Company Property in Executive Chair’s possession, and all copies thereof, to the Company.</w:t>
      </w:r>
    </w:p>
    <w:p>
      <w:pPr>
        <w:spacing w:after="0" w:line="160" w:lineRule="exact"/>
        <w:rPr>
          <w:rFonts w:ascii="Arial" w:cs="Arial" w:eastAsia="Arial" w:hAnsi="Arial"/>
          <w:sz w:val="19"/>
          <w:szCs w:val="19"/>
          <w:color w:val="auto"/>
        </w:rPr>
      </w:pPr>
    </w:p>
    <w:p>
      <w:pPr>
        <w:jc w:val="both"/>
        <w:ind w:firstLine="871"/>
        <w:spacing w:after="0" w:line="236" w:lineRule="auto"/>
        <w:tabs>
          <w:tab w:leader="none" w:pos="1781"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Term &amp; Termination</w:t>
      </w:r>
      <w:r>
        <w:rPr>
          <w:rFonts w:ascii="Arial" w:cs="Arial" w:eastAsia="Arial" w:hAnsi="Arial"/>
          <w:sz w:val="22"/>
          <w:szCs w:val="22"/>
          <w:color w:val="auto"/>
        </w:rPr>
        <w:t>. The term of this Agreement will commence on the Effective Date and will expire on December 31, 2022, unless extended by mutual written agreement of the parties or earlier terminated in accordance with this Section 12 (the “Term”). Notwithstanding anything to the contrary herein, the Company may terminate this Agreement, for any or no reason, on written notice to Executive Chair and Executive Chair may terminate this agreement, for any reason or no reason, on fifteen (15) days prior written notice to the Company.</w:t>
      </w:r>
    </w:p>
    <w:p>
      <w:pPr>
        <w:spacing w:after="0" w:line="187" w:lineRule="exact"/>
        <w:rPr>
          <w:rFonts w:ascii="Arial" w:cs="Arial" w:eastAsia="Arial" w:hAnsi="Arial"/>
          <w:sz w:val="22"/>
          <w:szCs w:val="22"/>
          <w:color w:val="auto"/>
        </w:rPr>
      </w:pPr>
    </w:p>
    <w:p>
      <w:pPr>
        <w:jc w:val="both"/>
        <w:ind w:firstLine="871"/>
        <w:spacing w:after="0" w:line="235" w:lineRule="auto"/>
        <w:tabs>
          <w:tab w:leader="none" w:pos="1781"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required or permitted under this Agreement must be in writing and must be given by directing the notice to the address for the receiving party set forth in this Agreement or at such other address as the receiving party may specify in writing under this procedure. Notices to Company will be marked “Attention: Chief Legal Officer.” All notices must be given (i) by personal delivery, with receipt acknowledged, (ii) by prepaid certified or registered mail, return receipt requested, or (iii) by prepaid recognized next business day delivery service. Notices will be effective upon receipt or at a later date stated in the notice.</w:t>
      </w:r>
    </w:p>
    <w:p>
      <w:pPr>
        <w:spacing w:after="0" w:line="187" w:lineRule="exact"/>
        <w:rPr>
          <w:rFonts w:ascii="Arial" w:cs="Arial" w:eastAsia="Arial" w:hAnsi="Arial"/>
          <w:sz w:val="22"/>
          <w:szCs w:val="22"/>
          <w:color w:val="auto"/>
        </w:rPr>
      </w:pPr>
    </w:p>
    <w:p>
      <w:pPr>
        <w:jc w:val="both"/>
        <w:ind w:firstLine="871"/>
        <w:spacing w:after="0" w:line="236" w:lineRule="auto"/>
        <w:tabs>
          <w:tab w:leader="none" w:pos="1781"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Executive Chair agrees that (i) Company may be irreparably injured by a breach of this Agreement by Executive Chair; (ii) money damages would not be an adequate remedy for any such breach; (iii) as a remedy for any such breach Company will be entitled to seek equitable relief, including injunctive relief and specific performance, without being required by Executive Chair to post a bond; and (iv) such remedy will not be the exclusive remedy for any breach of this Agreement.</w:t>
      </w:r>
    </w:p>
    <w:p>
      <w:pPr>
        <w:spacing w:after="0" w:line="187" w:lineRule="exact"/>
        <w:rPr>
          <w:rFonts w:ascii="Arial" w:cs="Arial" w:eastAsia="Arial" w:hAnsi="Arial"/>
          <w:sz w:val="22"/>
          <w:szCs w:val="22"/>
          <w:color w:val="auto"/>
        </w:rPr>
      </w:pPr>
    </w:p>
    <w:p>
      <w:pPr>
        <w:jc w:val="both"/>
        <w:ind w:firstLine="871"/>
        <w:spacing w:after="0" w:line="236" w:lineRule="auto"/>
        <w:tabs>
          <w:tab w:leader="none" w:pos="1781"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Independent Contractor</w:t>
      </w:r>
      <w:r>
        <w:rPr>
          <w:rFonts w:ascii="Arial" w:cs="Arial" w:eastAsia="Arial" w:hAnsi="Arial"/>
          <w:sz w:val="22"/>
          <w:szCs w:val="22"/>
          <w:color w:val="auto"/>
        </w:rPr>
        <w:t>. Executive Chair is an independent contractor and not an employee of the Company. Executive Chair shall be responsible for all taxes arising from compensation and other amounts paid under this Agreement. Neither federal, state or local income tax, nor payroll tax of any kind, shall be withheld or paid by the Company on Executive Chair’s behalf. Executive Chair will not be eligible for, and shall not participate in, any employee pension, health, welfare, or other fringe benefit plan of the Company.</w:t>
      </w:r>
    </w:p>
    <w:p>
      <w:pPr>
        <w:spacing w:after="0" w:line="187" w:lineRule="exact"/>
        <w:rPr>
          <w:rFonts w:ascii="Arial" w:cs="Arial" w:eastAsia="Arial" w:hAnsi="Arial"/>
          <w:sz w:val="22"/>
          <w:szCs w:val="22"/>
          <w:color w:val="auto"/>
        </w:rPr>
      </w:pPr>
    </w:p>
    <w:p>
      <w:pPr>
        <w:jc w:val="both"/>
        <w:ind w:firstLine="871"/>
        <w:spacing w:after="0" w:line="238" w:lineRule="auto"/>
        <w:tabs>
          <w:tab w:leader="none" w:pos="1781"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Waiver; Amendments</w:t>
      </w:r>
      <w:r>
        <w:rPr>
          <w:rFonts w:ascii="Arial" w:cs="Arial" w:eastAsia="Arial" w:hAnsi="Arial"/>
          <w:sz w:val="22"/>
          <w:szCs w:val="22"/>
          <w:color w:val="auto"/>
        </w:rPr>
        <w:t>. Any waiver by the Company of a breach of any provision of this Agreement shall not operate or be construed as a waiver of any subsequent breach of such provision or any other provision hereof. In addition, any amendment to or modification of this Agreement or any waiver of any provision hereof must be agreed to in writing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207" w:lineRule="exact"/>
        <w:rPr>
          <w:sz w:val="20"/>
          <w:szCs w:val="20"/>
          <w:color w:val="auto"/>
        </w:rPr>
      </w:pPr>
    </w:p>
    <w:p>
      <w:pPr>
        <w:jc w:val="both"/>
        <w:ind w:firstLine="871"/>
        <w:spacing w:after="0" w:line="246" w:lineRule="auto"/>
        <w:tabs>
          <w:tab w:leader="none" w:pos="1781"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Executive Chair agrees that each provision and the subparts of each provision herein shall be treated as separate and independent clauses, and the unenforceability of any one clause shall in no way impair the enforceability of any of the other clauses of the Agreement. Moreover, if one or more of the provisions contained in this Agreement shall for any reason be held to be excessively broad as to scope, activity, subject or otherwise so as to be unenforceable at law, such provision or provisions shall be construed by the appropriate judicial body by limiting or reducing it or them, so as to be enforceable to the maximum extent compatible with the applicable law as it shall then appear. Executive Chair hereby further agrees that the language of all parts of this Agreement shall in all cases be construed as a whole according to its fair meaning and not strictly for or against either of the parties.</w:t>
      </w:r>
    </w:p>
    <w:p>
      <w:pPr>
        <w:spacing w:after="0" w:line="179" w:lineRule="exact"/>
        <w:rPr>
          <w:rFonts w:ascii="Arial" w:cs="Arial" w:eastAsia="Arial" w:hAnsi="Arial"/>
          <w:sz w:val="21"/>
          <w:szCs w:val="21"/>
          <w:color w:val="auto"/>
        </w:rPr>
      </w:pPr>
    </w:p>
    <w:p>
      <w:pPr>
        <w:jc w:val="both"/>
        <w:ind w:firstLine="871"/>
        <w:spacing w:after="0"/>
        <w:tabs>
          <w:tab w:leader="none" w:pos="1781"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Executive Chair’s obligations under Section 3 through 22 of this Agreement shall survive the expiration or termination of this Agreement and shall be binding upon Executive Chair’s successors, heirs, executors, administrators and legal representatives.</w:t>
      </w:r>
    </w:p>
    <w:p>
      <w:pPr>
        <w:spacing w:after="0" w:line="186" w:lineRule="exact"/>
        <w:rPr>
          <w:rFonts w:ascii="Arial" w:cs="Arial" w:eastAsia="Arial" w:hAnsi="Arial"/>
          <w:sz w:val="22"/>
          <w:szCs w:val="22"/>
          <w:color w:val="auto"/>
        </w:rPr>
      </w:pPr>
    </w:p>
    <w:p>
      <w:pPr>
        <w:jc w:val="both"/>
        <w:ind w:firstLine="871"/>
        <w:spacing w:after="0" w:line="238" w:lineRule="auto"/>
        <w:tabs>
          <w:tab w:leader="none" w:pos="1781"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The Company shall have the right to assign this Agreement to its successors and assigns, and all covenants and agreements hereunder shall inure to the benefit of and be enforceable by said successors or assigns. Executive Chair may not assign this Agreement. In no event will Executive Chair assign or delegate responsibility for actual performance of the Services to any third party.</w:t>
      </w:r>
    </w:p>
    <w:p>
      <w:pPr>
        <w:spacing w:after="0" w:line="184" w:lineRule="exact"/>
        <w:rPr>
          <w:rFonts w:ascii="Arial" w:cs="Arial" w:eastAsia="Arial" w:hAnsi="Arial"/>
          <w:sz w:val="22"/>
          <w:szCs w:val="22"/>
          <w:color w:val="auto"/>
        </w:rPr>
      </w:pPr>
    </w:p>
    <w:p>
      <w:pPr>
        <w:jc w:val="both"/>
        <w:ind w:firstLine="871"/>
        <w:spacing w:after="0" w:line="252" w:lineRule="auto"/>
        <w:tabs>
          <w:tab w:leader="none" w:pos="1781"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Commonwealth of Massachusetts and waive any defense of inconvenient forum to the maintenance of any action or proceeding in such courts.</w:t>
      </w:r>
    </w:p>
    <w:p>
      <w:pPr>
        <w:spacing w:after="0" w:line="173" w:lineRule="exact"/>
        <w:rPr>
          <w:rFonts w:ascii="Arial" w:cs="Arial" w:eastAsia="Arial" w:hAnsi="Arial"/>
          <w:sz w:val="21"/>
          <w:szCs w:val="21"/>
          <w:color w:val="auto"/>
        </w:rPr>
      </w:pPr>
    </w:p>
    <w:p>
      <w:pPr>
        <w:jc w:val="both"/>
        <w:ind w:firstLine="871"/>
        <w:spacing w:after="0" w:line="297" w:lineRule="auto"/>
        <w:tabs>
          <w:tab w:leader="none" w:pos="1781"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sets forth the complete, sole and entire agreement between the parties with respect to the subject matter herein and supersedes any and all other agreements, negotiations, discussions, proposals, or understandings, whether oral or written, previously entered into, discussed or considered by the parties.</w:t>
      </w:r>
    </w:p>
    <w:p>
      <w:pPr>
        <w:spacing w:after="0" w:line="133" w:lineRule="exact"/>
        <w:rPr>
          <w:rFonts w:ascii="Arial" w:cs="Arial" w:eastAsia="Arial" w:hAnsi="Arial"/>
          <w:sz w:val="19"/>
          <w:szCs w:val="19"/>
          <w:color w:val="auto"/>
        </w:rPr>
      </w:pPr>
    </w:p>
    <w:p>
      <w:pPr>
        <w:jc w:val="both"/>
        <w:ind w:right="20" w:firstLine="871"/>
        <w:spacing w:after="0" w:line="257" w:lineRule="auto"/>
        <w:tabs>
          <w:tab w:leader="none" w:pos="1781"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any number of counterparts, each of which will be deemed an original, but all of which together will constitute one and the same instrument. A facsimile or portable document format (“.pdf”) copy of this Agreement, including the signature pages, will be deemed an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640" w:type="dxa"/>
            <w:vAlign w:val="bottom"/>
            <w:gridSpan w:val="3"/>
          </w:tcPr>
          <w:p>
            <w:pPr>
              <w:jc w:val="right"/>
              <w:ind w:right="5460"/>
              <w:spacing w:after="0"/>
              <w:rPr>
                <w:sz w:val="20"/>
                <w:szCs w:val="20"/>
                <w:color w:val="auto"/>
              </w:rPr>
            </w:pPr>
            <w:r>
              <w:rPr>
                <w:rFonts w:ascii="Arial" w:cs="Arial" w:eastAsia="Arial" w:hAnsi="Arial"/>
                <w:sz w:val="18"/>
                <w:szCs w:val="18"/>
                <w:color w:val="auto"/>
              </w:rPr>
              <w:t>- 7 -</w:t>
            </w:r>
          </w:p>
        </w:tc>
        <w:tc>
          <w:tcPr>
            <w:tcW w:w="20" w:type="dxa"/>
            <w:vAlign w:val="bottom"/>
          </w:tcPr>
          <w:p>
            <w:pPr>
              <w:spacing w:after="0"/>
              <w:rPr>
                <w:sz w:val="20"/>
                <w:szCs w:val="20"/>
                <w:color w:val="auto"/>
              </w:rPr>
            </w:pPr>
          </w:p>
        </w:tc>
      </w:tr>
      <w:tr>
        <w:trPr>
          <w:trHeight w:val="658"/>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380" w:type="dxa"/>
            <w:vAlign w:val="bottom"/>
            <w:gridSpan w:val="4"/>
          </w:tcPr>
          <w:p>
            <w:pPr>
              <w:ind w:left="20"/>
              <w:spacing w:after="0"/>
              <w:rPr>
                <w:sz w:val="20"/>
                <w:szCs w:val="20"/>
                <w:color w:val="auto"/>
              </w:rPr>
            </w:pPr>
            <w:r>
              <w:rPr>
                <w:rFonts w:ascii="Arial" w:cs="Arial" w:eastAsia="Arial" w:hAnsi="Arial"/>
                <w:sz w:val="22"/>
                <w:szCs w:val="22"/>
                <w:color w:val="auto"/>
              </w:rPr>
              <w:t>IN WITNESS HEREOF, Executive Chair has executed this Agreement as of the last date written below.</w:t>
            </w:r>
          </w:p>
        </w:tc>
        <w:tc>
          <w:tcPr>
            <w:tcW w:w="20" w:type="dxa"/>
            <w:vAlign w:val="bottom"/>
          </w:tcPr>
          <w:p>
            <w:pPr>
              <w:spacing w:after="0"/>
              <w:rPr>
                <w:sz w:val="24"/>
                <w:szCs w:val="24"/>
                <w:color w:val="auto"/>
              </w:rPr>
            </w:pPr>
          </w:p>
        </w:tc>
      </w:tr>
      <w:tr>
        <w:trPr>
          <w:trHeight w:val="467"/>
        </w:trPr>
        <w:tc>
          <w:tcPr>
            <w:tcW w:w="4600" w:type="dxa"/>
            <w:vAlign w:val="bottom"/>
            <w:gridSpan w:val="3"/>
          </w:tcPr>
          <w:p>
            <w:pPr>
              <w:spacing w:after="0"/>
              <w:rPr>
                <w:sz w:val="20"/>
                <w:szCs w:val="20"/>
                <w:color w:val="auto"/>
              </w:rPr>
            </w:pPr>
            <w:r>
              <w:rPr>
                <w:rFonts w:ascii="Arial" w:cs="Arial" w:eastAsia="Arial" w:hAnsi="Arial"/>
                <w:sz w:val="20"/>
                <w:szCs w:val="20"/>
                <w:b w:val="1"/>
                <w:bCs w:val="1"/>
                <w:color w:val="auto"/>
              </w:rPr>
              <w:t>SOLID BIOSCIENCES INC.</w:t>
            </w:r>
          </w:p>
        </w:tc>
        <w:tc>
          <w:tcPr>
            <w:tcW w:w="1020" w:type="dxa"/>
            <w:vAlign w:val="bottom"/>
          </w:tcPr>
          <w:p>
            <w:pPr>
              <w:spacing w:after="0"/>
              <w:rPr>
                <w:sz w:val="24"/>
                <w:szCs w:val="24"/>
                <w:color w:val="auto"/>
              </w:rPr>
            </w:pPr>
          </w:p>
        </w:tc>
        <w:tc>
          <w:tcPr>
            <w:tcW w:w="5620" w:type="dxa"/>
            <w:vAlign w:val="bottom"/>
            <w:gridSpan w:val="2"/>
          </w:tcPr>
          <w:p>
            <w:pPr>
              <w:ind w:left="120"/>
              <w:spacing w:after="0"/>
              <w:rPr>
                <w:sz w:val="20"/>
                <w:szCs w:val="20"/>
                <w:color w:val="auto"/>
              </w:rPr>
            </w:pPr>
            <w:r>
              <w:rPr>
                <w:rFonts w:ascii="Arial" w:cs="Arial" w:eastAsia="Arial" w:hAnsi="Arial"/>
                <w:sz w:val="20"/>
                <w:szCs w:val="20"/>
                <w:b w:val="1"/>
                <w:bCs w:val="1"/>
                <w:color w:val="auto"/>
              </w:rPr>
              <w:t>IAN F. SMITH</w:t>
            </w:r>
          </w:p>
        </w:tc>
        <w:tc>
          <w:tcPr>
            <w:tcW w:w="20" w:type="dxa"/>
            <w:vAlign w:val="bottom"/>
          </w:tcPr>
          <w:p>
            <w:pPr>
              <w:spacing w:after="0"/>
              <w:rPr>
                <w:sz w:val="24"/>
                <w:szCs w:val="24"/>
                <w:color w:val="auto"/>
              </w:rPr>
            </w:pPr>
          </w:p>
        </w:tc>
      </w:tr>
      <w:tr>
        <w:trPr>
          <w:trHeight w:val="455"/>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3900" w:type="dxa"/>
            <w:vAlign w:val="bottom"/>
            <w:gridSpan w:val="2"/>
          </w:tcPr>
          <w:p>
            <w:pPr>
              <w:ind w:left="160"/>
              <w:spacing w:after="0"/>
              <w:rPr>
                <w:sz w:val="20"/>
                <w:szCs w:val="20"/>
                <w:color w:val="auto"/>
              </w:rPr>
            </w:pPr>
            <w:r>
              <w:rPr>
                <w:rFonts w:ascii="Arial" w:cs="Arial" w:eastAsia="Arial" w:hAnsi="Arial"/>
                <w:sz w:val="20"/>
                <w:szCs w:val="20"/>
                <w:color w:val="auto"/>
              </w:rPr>
              <w:t>/s/ Ilan Ganot</w:t>
            </w:r>
          </w:p>
        </w:tc>
        <w:tc>
          <w:tcPr>
            <w:tcW w:w="1020" w:type="dxa"/>
            <w:vAlign w:val="bottom"/>
          </w:tcPr>
          <w:p>
            <w:pPr>
              <w:spacing w:after="0"/>
              <w:rPr>
                <w:sz w:val="24"/>
                <w:szCs w:val="24"/>
                <w:color w:val="auto"/>
              </w:rPr>
            </w:pPr>
          </w:p>
        </w:tc>
        <w:tc>
          <w:tcPr>
            <w:tcW w:w="5620" w:type="dxa"/>
            <w:vAlign w:val="bottom"/>
            <w:gridSpan w:val="2"/>
          </w:tcPr>
          <w:p>
            <w:pPr>
              <w:ind w:left="120"/>
              <w:spacing w:after="0"/>
              <w:rPr>
                <w:sz w:val="20"/>
                <w:szCs w:val="20"/>
                <w:color w:val="auto"/>
              </w:rPr>
            </w:pPr>
            <w:r>
              <w:rPr>
                <w:rFonts w:ascii="Arial" w:cs="Arial" w:eastAsia="Arial" w:hAnsi="Arial"/>
                <w:sz w:val="20"/>
                <w:szCs w:val="20"/>
                <w:color w:val="auto"/>
              </w:rPr>
              <w:t>/s/ Ian Smith</w:t>
            </w:r>
          </w:p>
        </w:tc>
        <w:tc>
          <w:tcPr>
            <w:tcW w:w="20" w:type="dxa"/>
            <w:vAlign w:val="bottom"/>
          </w:tcPr>
          <w:p>
            <w:pPr>
              <w:spacing w:after="0"/>
              <w:rPr>
                <w:sz w:val="24"/>
                <w:szCs w:val="24"/>
                <w:color w:val="auto"/>
              </w:rPr>
            </w:pPr>
          </w:p>
        </w:tc>
      </w:tr>
      <w:tr>
        <w:trPr>
          <w:trHeight w:val="220"/>
        </w:trPr>
        <w:tc>
          <w:tcPr>
            <w:tcW w:w="700" w:type="dxa"/>
            <w:vAlign w:val="bottom"/>
          </w:tcPr>
          <w:p>
            <w:pPr>
              <w:spacing w:after="0" w:line="220" w:lineRule="exact"/>
              <w:rPr>
                <w:sz w:val="20"/>
                <w:szCs w:val="20"/>
                <w:color w:val="auto"/>
              </w:rPr>
            </w:pPr>
            <w:r>
              <w:rPr>
                <w:rFonts w:ascii="Arial" w:cs="Arial" w:eastAsia="Arial" w:hAnsi="Arial"/>
                <w:sz w:val="20"/>
                <w:szCs w:val="20"/>
                <w:color w:val="auto"/>
              </w:rPr>
              <w:t>Name:</w:t>
            </w:r>
          </w:p>
        </w:tc>
        <w:tc>
          <w:tcPr>
            <w:tcW w:w="160" w:type="dxa"/>
            <w:vAlign w:val="bottom"/>
          </w:tcPr>
          <w:p>
            <w:pPr>
              <w:spacing w:after="0"/>
              <w:rPr>
                <w:sz w:val="19"/>
                <w:szCs w:val="19"/>
                <w:color w:val="auto"/>
              </w:rPr>
            </w:pPr>
          </w:p>
        </w:tc>
        <w:tc>
          <w:tcPr>
            <w:tcW w:w="3740" w:type="dxa"/>
            <w:vAlign w:val="bottom"/>
            <w:tcBorders>
              <w:top w:val="single" w:sz="8" w:color="auto"/>
            </w:tcBorders>
          </w:tcPr>
          <w:p>
            <w:pPr>
              <w:spacing w:after="0" w:line="220" w:lineRule="exact"/>
              <w:rPr>
                <w:sz w:val="20"/>
                <w:szCs w:val="20"/>
                <w:color w:val="auto"/>
              </w:rPr>
            </w:pPr>
            <w:r>
              <w:rPr>
                <w:rFonts w:ascii="Arial" w:cs="Arial" w:eastAsia="Arial" w:hAnsi="Arial"/>
                <w:sz w:val="22"/>
                <w:szCs w:val="22"/>
                <w:color w:val="auto"/>
              </w:rPr>
              <w:t>Ilan Ganot</w:t>
            </w: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700" w:type="dxa"/>
            <w:vAlign w:val="bottom"/>
          </w:tcPr>
          <w:p>
            <w:pPr>
              <w:spacing w:after="0"/>
              <w:rPr>
                <w:sz w:val="20"/>
                <w:szCs w:val="20"/>
                <w:color w:val="auto"/>
              </w:rPr>
            </w:pPr>
            <w:r>
              <w:rPr>
                <w:rFonts w:ascii="Arial" w:cs="Arial" w:eastAsia="Arial" w:hAnsi="Arial"/>
                <w:sz w:val="20"/>
                <w:szCs w:val="20"/>
                <w:color w:val="auto"/>
              </w:rPr>
              <w:t>Title:</w:t>
            </w:r>
          </w:p>
        </w:tc>
        <w:tc>
          <w:tcPr>
            <w:tcW w:w="3900" w:type="dxa"/>
            <w:vAlign w:val="bottom"/>
            <w:gridSpan w:val="2"/>
          </w:tcPr>
          <w:p>
            <w:pPr>
              <w:ind w:left="160"/>
              <w:spacing w:after="0"/>
              <w:rPr>
                <w:sz w:val="20"/>
                <w:szCs w:val="20"/>
                <w:color w:val="auto"/>
              </w:rPr>
            </w:pPr>
            <w:r>
              <w:rPr>
                <w:rFonts w:ascii="Arial" w:cs="Arial" w:eastAsia="Arial" w:hAnsi="Arial"/>
                <w:sz w:val="20"/>
                <w:szCs w:val="20"/>
                <w:color w:val="auto"/>
              </w:rPr>
              <w:t>President &amp; Chief Executive Officer</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245"/>
        </w:trPr>
        <w:tc>
          <w:tcPr>
            <w:tcW w:w="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22"/>
          <w:szCs w:val="22"/>
          <w:u w:val="single" w:color="auto"/>
          <w:color w:val="auto"/>
        </w:rPr>
        <w:t>EXHIBIT 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Executive Chairman Services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Company requires, in addition to the traditional duties as Chairman of the Board, that the Executive Chair, as</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Executive Chairman, will be available to perform the duties customarily related to this function, including:</w:t>
      </w:r>
    </w:p>
    <w:p>
      <w:pPr>
        <w:spacing w:after="0" w:line="188" w:lineRule="exact"/>
        <w:rPr>
          <w:sz w:val="20"/>
          <w:szCs w:val="20"/>
          <w:color w:val="auto"/>
        </w:rPr>
      </w:pPr>
    </w:p>
    <w:p>
      <w:pPr>
        <w:jc w:val="both"/>
        <w:ind w:left="1700" w:hanging="410"/>
        <w:spacing w:after="0" w:line="257" w:lineRule="auto"/>
        <w:tabs>
          <w:tab w:leader="none" w:pos="170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Provide mentorship and guidance to the Company’s Chief Executive Officer (who will remain the Company’s principal executive officer) and senior leadership team on operational and strategic matters; Chief Executive Officer will continue to report to the Board, as well as to the Executive Chair</w:t>
      </w:r>
    </w:p>
    <w:p>
      <w:pPr>
        <w:spacing w:after="0" w:line="169" w:lineRule="exact"/>
        <w:rPr>
          <w:rFonts w:ascii="Arial" w:cs="Arial" w:eastAsia="Arial" w:hAnsi="Arial"/>
          <w:sz w:val="21"/>
          <w:szCs w:val="21"/>
          <w:color w:val="auto"/>
        </w:rPr>
      </w:pPr>
    </w:p>
    <w:p>
      <w:pPr>
        <w:ind w:left="1700" w:hanging="410"/>
        <w:spacing w:after="0"/>
        <w:tabs>
          <w:tab w:leader="none" w:pos="17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Act as a liaison between the Company’s senior management and the Board;</w:t>
      </w:r>
    </w:p>
    <w:p>
      <w:pPr>
        <w:spacing w:after="0" w:line="233" w:lineRule="exact"/>
        <w:rPr>
          <w:rFonts w:ascii="Arial" w:cs="Arial" w:eastAsia="Arial" w:hAnsi="Arial"/>
          <w:sz w:val="22"/>
          <w:szCs w:val="22"/>
          <w:color w:val="auto"/>
        </w:rPr>
      </w:pPr>
    </w:p>
    <w:p>
      <w:pPr>
        <w:ind w:left="1700" w:hanging="410"/>
        <w:spacing w:after="0" w:line="250" w:lineRule="auto"/>
        <w:tabs>
          <w:tab w:leader="none" w:pos="17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Participate in regular meetings with the Chief Executive Officer and Chief Operating Officer to further advance the Company’s strategic initiatives;</w:t>
      </w:r>
    </w:p>
    <w:p>
      <w:pPr>
        <w:spacing w:after="0" w:line="201" w:lineRule="exact"/>
        <w:rPr>
          <w:rFonts w:ascii="Arial" w:cs="Arial" w:eastAsia="Arial" w:hAnsi="Arial"/>
          <w:sz w:val="22"/>
          <w:szCs w:val="22"/>
          <w:color w:val="auto"/>
        </w:rPr>
      </w:pPr>
    </w:p>
    <w:p>
      <w:pPr>
        <w:jc w:val="both"/>
        <w:ind w:left="1700" w:hanging="410"/>
        <w:spacing w:after="0"/>
        <w:tabs>
          <w:tab w:leader="none" w:pos="17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Make himself available as reasonably requested by the Board or Executive Chair officers of the Company to fulfill such other duties as may be reasonably requested, consistent with his status as the Executive Chair Chairman; and</w:t>
      </w:r>
    </w:p>
    <w:p>
      <w:pPr>
        <w:spacing w:after="0" w:line="213" w:lineRule="exact"/>
        <w:rPr>
          <w:rFonts w:ascii="Arial" w:cs="Arial" w:eastAsia="Arial" w:hAnsi="Arial"/>
          <w:sz w:val="22"/>
          <w:szCs w:val="22"/>
          <w:color w:val="auto"/>
        </w:rPr>
      </w:pPr>
    </w:p>
    <w:p>
      <w:pPr>
        <w:jc w:val="both"/>
        <w:ind w:left="1700" w:hanging="410"/>
        <w:spacing w:after="0" w:line="297" w:lineRule="auto"/>
        <w:tabs>
          <w:tab w:leader="none" w:pos="17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Devote between thirty-five to fifty (35-50) hours per month, including one (1) full day per week, on a schedule and at a location(s) mutually agreed between Executive Chair and the Company’s Chief Executive Officer, to include flexible availability to the Company’s Chief Executive Officer and Chief Operating Officer</w:t>
      </w:r>
    </w:p>
    <w:p>
      <w:pPr>
        <w:sectPr>
          <w:pgSz w:w="11900" w:h="16838" w:orient="portrait"/>
          <w:cols w:equalWidth="0" w:num="1">
            <w:col w:w="11240"/>
          </w:cols>
          <w:pgMar w:left="320" w:top="739"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b w:val="1"/>
          <w:bCs w:val="1"/>
          <w:color w:val="auto"/>
        </w:rPr>
        <w:t>Exhibit 10.26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SOLID BIOSCIENCES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2020 EQUITY INCENTIVE PLAN</w:t>
      </w:r>
    </w:p>
    <w:p>
      <w:pPr>
        <w:spacing w:after="0" w:line="206" w:lineRule="exact"/>
        <w:rPr>
          <w:sz w:val="20"/>
          <w:szCs w:val="20"/>
          <w:color w:val="auto"/>
        </w:rPr>
      </w:pPr>
    </w:p>
    <w:p>
      <w:pPr>
        <w:ind w:left="820" w:hanging="812"/>
        <w:spacing w:after="0"/>
        <w:tabs>
          <w:tab w:leader="none" w:pos="82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Purpose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purpose of this 2020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of Solid Biosciences Inc., a Delaware corporation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is to advance the interests of the Company’s stockholders by enhancing the Company’s ability to attract, retain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motivate persons who are expected to make important contributions to the Company and by providing such persons with equity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ownership opportunities and cash and equity performance-based incentives that are intended to better align the interests of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persons with those of the Company’s stockholders. Except where the context otherwise requires, the term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include any of the Company’s present or future parent or subsidiary corporations as defined in Sections 424(e) or (f)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Internal Revenue Code of 1986, as amended, and any regulations thereunder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and any other business venture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(including, without limitation, joint venture or limited liability company) in which the Company has a controlling interest, as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determined by the Board of Directors of the Company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w:t>
      </w:r>
    </w:p>
    <w:p>
      <w:pPr>
        <w:spacing w:after="0" w:line="188" w:lineRule="exact"/>
        <w:rPr>
          <w:sz w:val="20"/>
          <w:szCs w:val="20"/>
          <w:color w:val="auto"/>
        </w:rPr>
      </w:pPr>
    </w:p>
    <w:p>
      <w:pPr>
        <w:ind w:left="820" w:hanging="812"/>
        <w:spacing w:after="0"/>
        <w:tabs>
          <w:tab w:leader="none" w:pos="82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Eligibility</w:t>
      </w:r>
    </w:p>
    <w:p>
      <w:pPr>
        <w:spacing w:after="0" w:line="206" w:lineRule="exact"/>
        <w:rPr>
          <w:sz w:val="20"/>
          <w:szCs w:val="20"/>
          <w:color w:val="auto"/>
        </w:rPr>
      </w:pPr>
    </w:p>
    <w:p>
      <w:pPr>
        <w:ind w:right="420" w:firstLine="864"/>
        <w:spacing w:after="0" w:line="273" w:lineRule="auto"/>
        <w:rPr>
          <w:sz w:val="20"/>
          <w:szCs w:val="20"/>
          <w:color w:val="auto"/>
        </w:rPr>
      </w:pPr>
      <w:r>
        <w:rPr>
          <w:rFonts w:ascii="Arial" w:cs="Arial" w:eastAsia="Arial" w:hAnsi="Arial"/>
          <w:sz w:val="19"/>
          <w:szCs w:val="19"/>
          <w:color w:val="auto"/>
        </w:rPr>
        <w:t>All of the Company’s employees, officers and directors, as well as consultants and advisors to the Company (as the terms consultants and advisors are defined and interpreted for purposes of Form S-8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or any successor form) are eligible to be granted Awards (as defined below) under the</w:t>
      </w:r>
    </w:p>
    <w:p>
      <w:pPr>
        <w:spacing w:after="0" w:line="1"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Plan. Each person who is granted an Award under the Plan is deemed a “</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The Plan provides for the following types of awards, each of which is referred to as an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Options (as defined in Section 5), SARs (as defined in Section 6), Restricted Stock (as defined in Section 7), RSUs (as defined in Section 7), Other Stock-Based Awards (as defined in Section 8) and Cash-Based Awards (as defined in Section 8). Except as otherwise provided by the Plan, each Award may be made alone or in addition or in relation to any other Award. The terms of each Award need not be identical, and the Board need not treat Participants uniformly.</w:t>
      </w:r>
    </w:p>
    <w:p>
      <w:pPr>
        <w:spacing w:after="0" w:line="189" w:lineRule="exact"/>
        <w:rPr>
          <w:sz w:val="20"/>
          <w:szCs w:val="20"/>
          <w:color w:val="auto"/>
        </w:rPr>
      </w:pPr>
    </w:p>
    <w:p>
      <w:pPr>
        <w:ind w:left="820" w:hanging="812"/>
        <w:spacing w:after="0"/>
        <w:tabs>
          <w:tab w:leader="none" w:pos="82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Administration and Delegation</w:t>
      </w:r>
    </w:p>
    <w:p>
      <w:pPr>
        <w:spacing w:after="0" w:line="206" w:lineRule="exact"/>
        <w:rPr>
          <w:rFonts w:ascii="Arial" w:cs="Arial" w:eastAsia="Arial" w:hAnsi="Arial"/>
          <w:sz w:val="22"/>
          <w:szCs w:val="22"/>
          <w:color w:val="auto"/>
        </w:rPr>
      </w:pPr>
    </w:p>
    <w:p>
      <w:pPr>
        <w:ind w:right="180" w:firstLine="872"/>
        <w:spacing w:after="0" w:line="279" w:lineRule="auto"/>
        <w:tabs>
          <w:tab w:leader="none" w:pos="1751" w:val="left"/>
        </w:tabs>
        <w:numPr>
          <w:ilvl w:val="1"/>
          <w:numId w:val="114"/>
        </w:numPr>
        <w:rPr>
          <w:rFonts w:ascii="Arial" w:cs="Arial" w:eastAsia="Arial" w:hAnsi="Arial"/>
          <w:sz w:val="19"/>
          <w:szCs w:val="19"/>
          <w:color w:val="auto"/>
        </w:rPr>
      </w:pPr>
      <w:r>
        <w:rPr>
          <w:rFonts w:ascii="Arial" w:cs="Arial" w:eastAsia="Arial" w:hAnsi="Arial"/>
          <w:sz w:val="19"/>
          <w:szCs w:val="19"/>
          <w:u w:val="single" w:color="auto"/>
          <w:color w:val="auto"/>
        </w:rPr>
        <w:t>Administration by Board of Directors</w:t>
      </w:r>
      <w:r>
        <w:rPr>
          <w:rFonts w:ascii="Arial" w:cs="Arial" w:eastAsia="Arial" w:hAnsi="Arial"/>
          <w:sz w:val="19"/>
          <w:szCs w:val="19"/>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0" w:name="page201"/>
    <w:bookmarkEnd w:id="200"/>
    <w:p>
      <w:pPr>
        <w:ind w:firstLine="872"/>
        <w:spacing w:after="0" w:line="287" w:lineRule="auto"/>
        <w:tabs>
          <w:tab w:leader="none" w:pos="1763"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Appointment of Committees</w:t>
      </w:r>
      <w:r>
        <w:rPr>
          <w:rFonts w:ascii="Arial" w:cs="Arial" w:eastAsia="Arial" w:hAnsi="Arial"/>
          <w:sz w:val="19"/>
          <w:szCs w:val="19"/>
          <w:color w:val="auto"/>
        </w:rPr>
        <w:t>. To the extent permitted by applicable law, the Board may delegate any or all of its powers under the Plan to one or more committees or subcommittees of the Board (a “</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All references in the Plan to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shall mean the Board or a Committee of the Board or the officers referred to in Section 3(c) to the extent that the Board’s powers or authority under the Plan have been delegated to such Committee or officers.</w:t>
      </w:r>
    </w:p>
    <w:p>
      <w:pPr>
        <w:spacing w:after="0" w:line="142" w:lineRule="exact"/>
        <w:rPr>
          <w:rFonts w:ascii="Arial" w:cs="Arial" w:eastAsia="Arial" w:hAnsi="Arial"/>
          <w:sz w:val="19"/>
          <w:szCs w:val="19"/>
          <w:color w:val="auto"/>
        </w:rPr>
      </w:pPr>
    </w:p>
    <w:p>
      <w:pPr>
        <w:ind w:firstLine="872"/>
        <w:spacing w:after="0" w:line="275" w:lineRule="auto"/>
        <w:tabs>
          <w:tab w:leader="none" w:pos="1751"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Delegation to Officers</w:t>
      </w:r>
      <w:r>
        <w:rPr>
          <w:rFonts w:ascii="Arial" w:cs="Arial" w:eastAsia="Arial" w:hAnsi="Arial"/>
          <w:sz w:val="19"/>
          <w:szCs w:val="19"/>
          <w:color w:val="auto"/>
        </w:rPr>
        <w:t>.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Securities Exchange Act of 1934, as amended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or to any “officer” of the Company (as defined by Rule 16a-1(f) under the Exchange Act).</w:t>
      </w:r>
    </w:p>
    <w:p>
      <w:pPr>
        <w:spacing w:after="0" w:line="157" w:lineRule="exact"/>
        <w:rPr>
          <w:rFonts w:ascii="Arial" w:cs="Arial" w:eastAsia="Arial" w:hAnsi="Arial"/>
          <w:sz w:val="19"/>
          <w:szCs w:val="19"/>
          <w:color w:val="auto"/>
        </w:rPr>
      </w:pPr>
    </w:p>
    <w:p>
      <w:pPr>
        <w:ind w:right="60" w:firstLine="872"/>
        <w:spacing w:after="0" w:line="238" w:lineRule="auto"/>
        <w:tabs>
          <w:tab w:leader="none" w:pos="1763"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Awards to Non-Employee Directors</w:t>
      </w:r>
      <w:r>
        <w:rPr>
          <w:rFonts w:ascii="Arial" w:cs="Arial" w:eastAsia="Arial" w:hAnsi="Arial"/>
          <w:sz w:val="22"/>
          <w:szCs w:val="22"/>
          <w:color w:val="auto"/>
        </w:rPr>
        <w:t>. Awards to non-employee directors will be granted and administered by a Committee, all of the members of which are independent directors as defined by Section 5605(a)(2) of the of rules of the Nasdaq Stock Market or corresponding rules of any other exchange or marketplace on which the Company stock is traded or listed (the “</w:t>
      </w:r>
      <w:r>
        <w:rPr>
          <w:rFonts w:ascii="Arial" w:cs="Arial" w:eastAsia="Arial" w:hAnsi="Arial"/>
          <w:sz w:val="22"/>
          <w:szCs w:val="22"/>
          <w:b w:val="1"/>
          <w:bCs w:val="1"/>
          <w:i w:val="1"/>
          <w:iCs w:val="1"/>
          <w:color w:val="auto"/>
        </w:rPr>
        <w:t>Exchange</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820" w:hanging="812"/>
        <w:spacing w:after="0"/>
        <w:tabs>
          <w:tab w:leader="none" w:pos="82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Stock Available for Awards</w:t>
      </w:r>
    </w:p>
    <w:p>
      <w:pPr>
        <w:spacing w:after="0" w:line="206" w:lineRule="exact"/>
        <w:rPr>
          <w:rFonts w:ascii="Arial" w:cs="Arial" w:eastAsia="Arial" w:hAnsi="Arial"/>
          <w:sz w:val="22"/>
          <w:szCs w:val="22"/>
          <w:color w:val="auto"/>
        </w:rPr>
      </w:pPr>
    </w:p>
    <w:p>
      <w:pPr>
        <w:ind w:left="1760" w:hanging="888"/>
        <w:spacing w:after="0"/>
        <w:tabs>
          <w:tab w:leader="none" w:pos="1760"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Number of Shares; Share Counting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480" w:firstLine="1735"/>
        <w:spacing w:after="0"/>
        <w:tabs>
          <w:tab w:leader="none" w:pos="2627" w:val="left"/>
        </w:tabs>
        <w:numPr>
          <w:ilvl w:val="2"/>
          <w:numId w:val="116"/>
        </w:numPr>
        <w:rPr>
          <w:rFonts w:ascii="Arial" w:cs="Arial" w:eastAsia="Arial" w:hAnsi="Arial"/>
          <w:sz w:val="22"/>
          <w:szCs w:val="22"/>
          <w:color w:val="auto"/>
        </w:rPr>
      </w:pPr>
      <w:r>
        <w:rPr>
          <w:rFonts w:ascii="Arial" w:cs="Arial" w:eastAsia="Arial" w:hAnsi="Arial"/>
          <w:sz w:val="22"/>
          <w:szCs w:val="22"/>
          <w:u w:val="single" w:color="auto"/>
          <w:color w:val="auto"/>
        </w:rPr>
        <w:t>Authorized Number of Shares</w:t>
      </w:r>
      <w:r>
        <w:rPr>
          <w:rFonts w:ascii="Arial" w:cs="Arial" w:eastAsia="Arial" w:hAnsi="Arial"/>
          <w:sz w:val="22"/>
          <w:szCs w:val="22"/>
          <w:color w:val="auto"/>
        </w:rPr>
        <w:t>. Subject to adjustment under Section 10, Awards may be made under the Plan for up to a number of shares of common stock, $0.001 par value per share, of the Company (the “</w:t>
      </w:r>
      <w:r>
        <w:rPr>
          <w:rFonts w:ascii="Arial" w:cs="Arial" w:eastAsia="Arial" w:hAnsi="Arial"/>
          <w:sz w:val="22"/>
          <w:szCs w:val="22"/>
          <w:b w:val="1"/>
          <w:bCs w:val="1"/>
          <w:i w:val="1"/>
          <w:iCs w:val="1"/>
          <w:color w:val="auto"/>
        </w:rPr>
        <w:t>Common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Stock</w:t>
      </w:r>
      <w:r>
        <w:rPr>
          <w:rFonts w:ascii="Arial" w:cs="Arial" w:eastAsia="Arial" w:hAnsi="Arial"/>
          <w:sz w:val="22"/>
          <w:szCs w:val="22"/>
          <w:color w:val="auto"/>
        </w:rPr>
        <w:t>”), as is equal to the sum of:</w:t>
      </w:r>
    </w:p>
    <w:p>
      <w:pPr>
        <w:spacing w:after="0" w:line="186" w:lineRule="exact"/>
        <w:rPr>
          <w:rFonts w:ascii="Arial" w:cs="Arial" w:eastAsia="Arial" w:hAnsi="Arial"/>
          <w:sz w:val="22"/>
          <w:szCs w:val="22"/>
          <w:color w:val="auto"/>
        </w:rPr>
      </w:pPr>
    </w:p>
    <w:p>
      <w:pPr>
        <w:ind w:left="3540" w:hanging="940"/>
        <w:spacing w:after="0"/>
        <w:tabs>
          <w:tab w:leader="none" w:pos="3540" w:val="left"/>
        </w:tabs>
        <w:numPr>
          <w:ilvl w:val="3"/>
          <w:numId w:val="116"/>
        </w:numPr>
        <w:rPr>
          <w:rFonts w:ascii="Arial" w:cs="Arial" w:eastAsia="Arial" w:hAnsi="Arial"/>
          <w:sz w:val="22"/>
          <w:szCs w:val="22"/>
          <w:color w:val="auto"/>
        </w:rPr>
      </w:pPr>
      <w:r>
        <w:rPr>
          <w:rFonts w:ascii="Arial" w:cs="Arial" w:eastAsia="Arial" w:hAnsi="Arial"/>
          <w:sz w:val="22"/>
          <w:szCs w:val="22"/>
          <w:color w:val="auto"/>
        </w:rPr>
        <w:t>3,000,000 shares of Common Stock; plus</w:t>
      </w:r>
    </w:p>
    <w:p>
      <w:pPr>
        <w:spacing w:after="0" w:line="206" w:lineRule="exact"/>
        <w:rPr>
          <w:rFonts w:ascii="Arial" w:cs="Arial" w:eastAsia="Arial" w:hAnsi="Arial"/>
          <w:sz w:val="22"/>
          <w:szCs w:val="22"/>
          <w:color w:val="auto"/>
        </w:rPr>
      </w:pPr>
    </w:p>
    <w:p>
      <w:pPr>
        <w:ind w:right="80" w:firstLine="2600"/>
        <w:spacing w:after="0" w:line="277" w:lineRule="auto"/>
        <w:tabs>
          <w:tab w:leader="none" w:pos="3528" w:val="left"/>
        </w:tabs>
        <w:numPr>
          <w:ilvl w:val="3"/>
          <w:numId w:val="116"/>
        </w:numPr>
        <w:rPr>
          <w:rFonts w:ascii="Arial" w:cs="Arial" w:eastAsia="Arial" w:hAnsi="Arial"/>
          <w:sz w:val="19"/>
          <w:szCs w:val="19"/>
          <w:color w:val="auto"/>
        </w:rPr>
      </w:pPr>
      <w:r>
        <w:rPr>
          <w:rFonts w:ascii="Arial" w:cs="Arial" w:eastAsia="Arial" w:hAnsi="Arial"/>
          <w:sz w:val="19"/>
          <w:szCs w:val="19"/>
          <w:color w:val="auto"/>
        </w:rPr>
        <w:t>such additional number of shares of Common Stock (up to 4,879,025 shares) as is equal to the sum of (i) the number of shares of Common Stock reserved for issuance under the Company’s 2018 Omnibus Incentive Plan (the “</w:t>
      </w:r>
      <w:r>
        <w:rPr>
          <w:rFonts w:ascii="Arial" w:cs="Arial" w:eastAsia="Arial" w:hAnsi="Arial"/>
          <w:sz w:val="19"/>
          <w:szCs w:val="19"/>
          <w:b w:val="1"/>
          <w:bCs w:val="1"/>
          <w:i w:val="1"/>
          <w:iCs w:val="1"/>
          <w:color w:val="auto"/>
        </w:rPr>
        <w:t>Existing Plan</w:t>
      </w:r>
      <w:r>
        <w:rPr>
          <w:rFonts w:ascii="Arial" w:cs="Arial" w:eastAsia="Arial" w:hAnsi="Arial"/>
          <w:sz w:val="19"/>
          <w:szCs w:val="19"/>
          <w:color w:val="auto"/>
        </w:rPr>
        <w:t>”) that remain available for grant under the Existing Plan as of immediately prior to the date this Plan is approved by the Company’s stockholders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and (ii) the number of shares of Common Stock subject to awards granted under the Existing Plan which awards expire, terminate or are otherwise surrendered, cancelled, forfeited or repurchased by the Company at their original issuance price pursuant to a contractual repurchase right (subject, however, in the case of Incentive Stock Options to any limitations under the Code).</w:t>
      </w:r>
    </w:p>
    <w:p>
      <w:pPr>
        <w:spacing w:after="0" w:line="152"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Any or all of the Awards may be in the form of Incentive Stock Options (as defined in Section 5(b)). Shares of Common Stock issued under the Plan may consist in whole or in part of authorized but unissued shares or treasury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01" w:name="page202"/>
    <w:bookmarkEnd w:id="201"/>
    <w:p>
      <w:pPr>
        <w:ind w:left="-100" w:right="100" w:firstLine="1735"/>
        <w:spacing w:after="0" w:line="250" w:lineRule="auto"/>
        <w:tabs>
          <w:tab w:leader="none" w:pos="2527" w:val="left"/>
        </w:tabs>
        <w:numPr>
          <w:ilvl w:val="1"/>
          <w:numId w:val="117"/>
        </w:numPr>
        <w:rPr>
          <w:rFonts w:ascii="Arial" w:cs="Arial" w:eastAsia="Arial" w:hAnsi="Arial"/>
          <w:sz w:val="22"/>
          <w:szCs w:val="22"/>
          <w:color w:val="auto"/>
        </w:rPr>
      </w:pPr>
      <w:r>
        <w:rPr>
          <w:rFonts w:ascii="Arial" w:cs="Arial" w:eastAsia="Arial" w:hAnsi="Arial"/>
          <w:sz w:val="22"/>
          <w:szCs w:val="22"/>
          <w:u w:val="single" w:color="auto"/>
          <w:color w:val="auto"/>
        </w:rPr>
        <w:t>Share Counting</w:t>
      </w:r>
      <w:r>
        <w:rPr>
          <w:rFonts w:ascii="Arial" w:cs="Arial" w:eastAsia="Arial" w:hAnsi="Arial"/>
          <w:sz w:val="22"/>
          <w:szCs w:val="22"/>
          <w:color w:val="auto"/>
        </w:rPr>
        <w:t>. For purposes of counting the number of shares available for the grant of Awards under the Plan under this Section 4(a) and under the sublimit contained in Section 4(b):</w:t>
      </w:r>
    </w:p>
    <w:p>
      <w:pPr>
        <w:spacing w:after="0" w:line="174" w:lineRule="exact"/>
        <w:rPr>
          <w:rFonts w:ascii="Arial" w:cs="Arial" w:eastAsia="Arial" w:hAnsi="Arial"/>
          <w:sz w:val="22"/>
          <w:szCs w:val="22"/>
          <w:color w:val="auto"/>
        </w:rPr>
      </w:pPr>
    </w:p>
    <w:p>
      <w:pPr>
        <w:ind w:left="-100" w:right="200" w:firstLine="2600"/>
        <w:spacing w:after="0" w:line="279" w:lineRule="auto"/>
        <w:tabs>
          <w:tab w:leader="none" w:pos="3440" w:val="left"/>
        </w:tabs>
        <w:numPr>
          <w:ilvl w:val="2"/>
          <w:numId w:val="117"/>
        </w:numPr>
        <w:rPr>
          <w:rFonts w:ascii="Arial" w:cs="Arial" w:eastAsia="Arial" w:hAnsi="Arial"/>
          <w:sz w:val="19"/>
          <w:szCs w:val="19"/>
          <w:color w:val="auto"/>
        </w:rPr>
      </w:pPr>
      <w:r>
        <w:rPr>
          <w:rFonts w:ascii="Arial" w:cs="Arial" w:eastAsia="Arial" w:hAnsi="Arial"/>
          <w:sz w:val="19"/>
          <w:szCs w:val="19"/>
          <w:color w:val="auto"/>
        </w:rPr>
        <w:t xml:space="preserve">all shares of Common Stock covered by SARs shall be counted against the number of shares available for the grant of Awards under the Plan and against the sublimit contained in Section 4(b); </w:t>
      </w:r>
      <w:r>
        <w:rPr>
          <w:rFonts w:ascii="Arial" w:cs="Arial" w:eastAsia="Arial" w:hAnsi="Arial"/>
          <w:sz w:val="19"/>
          <w:szCs w:val="19"/>
          <w:i w:val="1"/>
          <w:iCs w:val="1"/>
          <w:color w:val="auto"/>
        </w:rPr>
        <w:t>provided, however</w:t>
      </w:r>
      <w:r>
        <w:rPr>
          <w:rFonts w:ascii="Arial" w:cs="Arial" w:eastAsia="Arial" w:hAnsi="Arial"/>
          <w:sz w:val="19"/>
          <w:szCs w:val="19"/>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Arial" w:cs="Arial" w:eastAsia="Arial" w:hAnsi="Arial"/>
          <w:sz w:val="19"/>
          <w:szCs w:val="19"/>
          <w:b w:val="1"/>
          <w:bCs w:val="1"/>
          <w:i w:val="1"/>
          <w:iCs w:val="1"/>
          <w:color w:val="auto"/>
        </w:rPr>
        <w:t>Tandem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SAR</w:t>
      </w:r>
      <w:r>
        <w:rPr>
          <w:rFonts w:ascii="Arial" w:cs="Arial" w:eastAsia="Arial" w:hAnsi="Arial"/>
          <w:sz w:val="19"/>
          <w:szCs w:val="19"/>
          <w:color w:val="auto"/>
        </w:rPr>
        <w:t>”), only the shares covered by the Option, and not the shares covered by the Tandem SAR, shall be so counted,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expiration of one in connection with the other’s exercise will not restore shares to the Plan;</w:t>
      </w:r>
    </w:p>
    <w:p>
      <w:pPr>
        <w:spacing w:after="0" w:line="150" w:lineRule="exact"/>
        <w:rPr>
          <w:rFonts w:ascii="Arial" w:cs="Arial" w:eastAsia="Arial" w:hAnsi="Arial"/>
          <w:sz w:val="19"/>
          <w:szCs w:val="19"/>
          <w:color w:val="auto"/>
        </w:rPr>
      </w:pPr>
    </w:p>
    <w:p>
      <w:pPr>
        <w:ind w:left="-100" w:firstLine="2600"/>
        <w:spacing w:after="0" w:line="250" w:lineRule="auto"/>
        <w:tabs>
          <w:tab w:leader="none" w:pos="3428" w:val="left"/>
        </w:tabs>
        <w:numPr>
          <w:ilvl w:val="2"/>
          <w:numId w:val="117"/>
        </w:numPr>
        <w:rPr>
          <w:rFonts w:ascii="Arial" w:cs="Arial" w:eastAsia="Arial" w:hAnsi="Arial"/>
          <w:sz w:val="22"/>
          <w:szCs w:val="22"/>
          <w:color w:val="auto"/>
        </w:rPr>
      </w:pPr>
      <w:r>
        <w:rPr>
          <w:rFonts w:ascii="Arial" w:cs="Arial" w:eastAsia="Arial" w:hAnsi="Arial"/>
          <w:sz w:val="22"/>
          <w:szCs w:val="22"/>
          <w:color w:val="auto"/>
        </w:rPr>
        <w:t>to the extent that an RSU may be settled only in cash, no shares shall be counted against the shares available for the grant of Awards under the Plan;</w:t>
      </w:r>
    </w:p>
    <w:p>
      <w:pPr>
        <w:spacing w:after="0" w:line="174" w:lineRule="exact"/>
        <w:rPr>
          <w:rFonts w:ascii="Arial" w:cs="Arial" w:eastAsia="Arial" w:hAnsi="Arial"/>
          <w:sz w:val="22"/>
          <w:szCs w:val="22"/>
          <w:color w:val="auto"/>
        </w:rPr>
      </w:pPr>
    </w:p>
    <w:p>
      <w:pPr>
        <w:ind w:left="-100" w:firstLine="2600"/>
        <w:spacing w:after="0" w:line="273" w:lineRule="auto"/>
        <w:tabs>
          <w:tab w:leader="none" w:pos="3428" w:val="left"/>
        </w:tabs>
        <w:numPr>
          <w:ilvl w:val="2"/>
          <w:numId w:val="117"/>
        </w:numPr>
        <w:rPr>
          <w:rFonts w:ascii="Arial" w:cs="Arial" w:eastAsia="Arial" w:hAnsi="Arial"/>
          <w:sz w:val="19"/>
          <w:szCs w:val="19"/>
          <w:color w:val="auto"/>
        </w:rPr>
      </w:pPr>
      <w:r>
        <w:rPr>
          <w:rFonts w:ascii="Arial" w:cs="Arial" w:eastAsia="Arial" w:hAnsi="Arial"/>
          <w:sz w:val="19"/>
          <w:szCs w:val="19"/>
          <w:color w:val="auto"/>
        </w:rPr>
        <w:t xml:space="preserve">if any Award (i) expires or is terminated, surrendered or cancelled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(1) in the case of Incentive Stock Options, the foregoing shall be subject to any limitations under the Code, (2) in</w:t>
      </w:r>
      <w:r>
        <w:rPr>
          <w:rFonts w:ascii="Arial" w:cs="Arial" w:eastAsia="Arial" w:hAnsi="Arial"/>
          <w:sz w:val="19"/>
          <w:szCs w:val="19"/>
          <w:i w:val="1"/>
          <w:iCs w:val="1"/>
          <w:color w:val="auto"/>
        </w:rPr>
        <w:t xml:space="preserve"> </w:t>
      </w:r>
      <w:r>
        <w:rPr>
          <w:rFonts w:ascii="Arial" w:cs="Arial" w:eastAsia="Arial" w:hAnsi="Arial"/>
          <w:sz w:val="19"/>
          <w:szCs w:val="19"/>
          <w:color w:val="auto"/>
        </w:rPr>
        <w:t>the case of the exercise of an SAR, the number of shares counted against the shares available under the Plan and against the sublimit contained in Section 4(b)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w:t>
      </w:r>
    </w:p>
    <w:p>
      <w:pPr>
        <w:spacing w:after="0" w:line="160" w:lineRule="exact"/>
        <w:rPr>
          <w:rFonts w:ascii="Arial" w:cs="Arial" w:eastAsia="Arial" w:hAnsi="Arial"/>
          <w:sz w:val="19"/>
          <w:szCs w:val="19"/>
          <w:color w:val="auto"/>
        </w:rPr>
      </w:pPr>
    </w:p>
    <w:p>
      <w:pPr>
        <w:ind w:left="-100" w:right="140" w:firstLine="2600"/>
        <w:spacing w:after="0" w:line="252" w:lineRule="auto"/>
        <w:tabs>
          <w:tab w:leader="none" w:pos="3440" w:val="left"/>
        </w:tabs>
        <w:numPr>
          <w:ilvl w:val="2"/>
          <w:numId w:val="117"/>
        </w:numPr>
        <w:rPr>
          <w:rFonts w:ascii="Arial" w:cs="Arial" w:eastAsia="Arial" w:hAnsi="Arial"/>
          <w:sz w:val="21"/>
          <w:szCs w:val="21"/>
          <w:color w:val="auto"/>
        </w:rPr>
      </w:pPr>
      <w:r>
        <w:rPr>
          <w:rFonts w:ascii="Arial" w:cs="Arial" w:eastAsia="Arial" w:hAnsi="Arial"/>
          <w:sz w:val="21"/>
          <w:szCs w:val="21"/>
          <w:color w:val="auto"/>
        </w:rPr>
        <w:t>shares of Common Stock delivered (either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not be added back to the number of shares available for the future grant of Awards; and</w:t>
      </w:r>
    </w:p>
    <w:p>
      <w:pPr>
        <w:spacing w:after="0" w:line="173" w:lineRule="exact"/>
        <w:rPr>
          <w:rFonts w:ascii="Arial" w:cs="Arial" w:eastAsia="Arial" w:hAnsi="Arial"/>
          <w:sz w:val="21"/>
          <w:szCs w:val="21"/>
          <w:color w:val="auto"/>
        </w:rPr>
      </w:pPr>
    </w:p>
    <w:p>
      <w:pPr>
        <w:ind w:left="-100" w:right="320" w:firstLine="2600"/>
        <w:spacing w:after="0" w:line="328" w:lineRule="auto"/>
        <w:tabs>
          <w:tab w:leader="none" w:pos="3416" w:val="left"/>
        </w:tabs>
        <w:numPr>
          <w:ilvl w:val="2"/>
          <w:numId w:val="117"/>
        </w:numPr>
        <w:rPr>
          <w:rFonts w:ascii="Arial" w:cs="Arial" w:eastAsia="Arial" w:hAnsi="Arial"/>
          <w:sz w:val="19"/>
          <w:szCs w:val="19"/>
          <w:color w:val="auto"/>
        </w:rPr>
      </w:pPr>
      <w:r>
        <w:rPr>
          <w:rFonts w:ascii="Arial" w:cs="Arial" w:eastAsia="Arial" w:hAnsi="Arial"/>
          <w:sz w:val="19"/>
          <w:szCs w:val="19"/>
          <w:color w:val="auto"/>
        </w:rPr>
        <w:t>shares of Common Stock repurchased by the Company on the open market using the proceeds from the exercise of an Award shall not increase the number of shares available for future grant of Awards.</w:t>
      </w:r>
    </w:p>
    <w:p>
      <w:pPr>
        <w:spacing w:after="0" w:line="104" w:lineRule="exact"/>
        <w:rPr>
          <w:rFonts w:ascii="Arial" w:cs="Arial" w:eastAsia="Arial" w:hAnsi="Arial"/>
          <w:sz w:val="19"/>
          <w:szCs w:val="19"/>
          <w:color w:val="auto"/>
        </w:rPr>
      </w:pPr>
    </w:p>
    <w:p>
      <w:pPr>
        <w:jc w:val="both"/>
        <w:ind w:left="-100" w:right="200" w:firstLine="872"/>
        <w:spacing w:after="0" w:line="249" w:lineRule="auto"/>
        <w:tabs>
          <w:tab w:leader="none" w:pos="1663"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Sublimit on Awards to Non-Employee Directors</w:t>
      </w:r>
      <w:r>
        <w:rPr>
          <w:rFonts w:ascii="Arial" w:cs="Arial" w:eastAsia="Arial" w:hAnsi="Arial"/>
          <w:sz w:val="21"/>
          <w:szCs w:val="21"/>
          <w:color w:val="auto"/>
        </w:rPr>
        <w:t>. The maximum amount of cash and equity compensation (calculated based on grant date fair value for financial reporting purposes) granted in any calendar year to any individual non-employee director in his or her capacity as a non-employee director shall not exceed $500,000 for an incumbent non-employee director or $1,000,000 in the case of a non-employee director’s initial year of service; provided, however, that fees paid by the Company on behalf of any non-employee director in connection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200025</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420" w:top="334" w:right="419" w:bottom="1440" w:gutter="0" w:footer="0" w:header="0"/>
        </w:sectPr>
      </w:pPr>
    </w:p>
    <w:bookmarkStart w:id="202" w:name="page203"/>
    <w:bookmarkEnd w:id="202"/>
    <w:p>
      <w:pPr>
        <w:ind w:right="40"/>
        <w:spacing w:after="0" w:line="248" w:lineRule="auto"/>
        <w:rPr>
          <w:sz w:val="20"/>
          <w:szCs w:val="20"/>
          <w:color w:val="auto"/>
        </w:rPr>
      </w:pPr>
      <w:r>
        <w:rPr>
          <w:rFonts w:ascii="Arial" w:cs="Arial" w:eastAsia="Arial" w:hAnsi="Arial"/>
          <w:sz w:val="21"/>
          <w:szCs w:val="21"/>
          <w:color w:val="auto"/>
        </w:rPr>
        <w:t>with regulatory compliance and any amounts paid to the non-employee director as reimbursement of an expense shall not count against the foregoing limit. The Board may make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For the avoidance of doubt, cash and Awards granted under the Plan to non-employee directors in their capacity as consultants or advisors to the Company are not subject to the limitation set forth in this Section 4(b).</w:t>
      </w:r>
    </w:p>
    <w:p>
      <w:pPr>
        <w:spacing w:after="0" w:line="177" w:lineRule="exact"/>
        <w:rPr>
          <w:sz w:val="20"/>
          <w:szCs w:val="20"/>
          <w:color w:val="auto"/>
        </w:rPr>
      </w:pPr>
    </w:p>
    <w:p>
      <w:pPr>
        <w:ind w:right="20" w:firstLine="872"/>
        <w:spacing w:after="0" w:line="248" w:lineRule="auto"/>
        <w:tabs>
          <w:tab w:leader="none" w:pos="1751" w:val="left"/>
        </w:tabs>
        <w:numPr>
          <w:ilvl w:val="1"/>
          <w:numId w:val="119"/>
        </w:numPr>
        <w:rPr>
          <w:rFonts w:ascii="Arial" w:cs="Arial" w:eastAsia="Arial" w:hAnsi="Arial"/>
          <w:sz w:val="21"/>
          <w:szCs w:val="21"/>
          <w:color w:val="auto"/>
        </w:rPr>
      </w:pPr>
      <w:r>
        <w:rPr>
          <w:rFonts w:ascii="Arial" w:cs="Arial" w:eastAsia="Arial" w:hAnsi="Arial"/>
          <w:sz w:val="21"/>
          <w:szCs w:val="21"/>
          <w:u w:val="single" w:color="auto"/>
          <w:color w:val="auto"/>
        </w:rPr>
        <w:t>Substitute Awards</w:t>
      </w:r>
      <w:r>
        <w:rPr>
          <w:rFonts w:ascii="Arial" w:cs="Arial" w:eastAsia="Arial" w:hAnsi="Arial"/>
          <w:sz w:val="21"/>
          <w:szCs w:val="21"/>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or any sublimit contained in the Plan, except as may be required by reason of Section 422 and related provisions of the Code.</w:t>
      </w:r>
    </w:p>
    <w:p>
      <w:pPr>
        <w:spacing w:after="0" w:line="176" w:lineRule="exact"/>
        <w:rPr>
          <w:rFonts w:ascii="Arial" w:cs="Arial" w:eastAsia="Arial" w:hAnsi="Arial"/>
          <w:sz w:val="21"/>
          <w:szCs w:val="21"/>
          <w:color w:val="auto"/>
        </w:rPr>
      </w:pPr>
    </w:p>
    <w:p>
      <w:pPr>
        <w:ind w:left="820" w:hanging="812"/>
        <w:spacing w:after="0"/>
        <w:tabs>
          <w:tab w:leader="none" w:pos="82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872"/>
        <w:spacing w:after="0" w:line="238" w:lineRule="auto"/>
        <w:tabs>
          <w:tab w:leader="none" w:pos="1751" w:val="left"/>
        </w:tabs>
        <w:numPr>
          <w:ilvl w:val="1"/>
          <w:numId w:val="12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Board may grant options to purchase Common Stock (each, an “</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w:t>
      </w:r>
    </w:p>
    <w:p>
      <w:pPr>
        <w:spacing w:after="0" w:line="184" w:lineRule="exact"/>
        <w:rPr>
          <w:rFonts w:ascii="Arial" w:cs="Arial" w:eastAsia="Arial" w:hAnsi="Arial"/>
          <w:sz w:val="22"/>
          <w:szCs w:val="22"/>
          <w:color w:val="auto"/>
        </w:rPr>
      </w:pPr>
    </w:p>
    <w:p>
      <w:pPr>
        <w:ind w:firstLine="872"/>
        <w:spacing w:after="0" w:line="275" w:lineRule="auto"/>
        <w:tabs>
          <w:tab w:leader="none" w:pos="1763"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Incentive Stock Options</w:t>
      </w:r>
      <w:r>
        <w:rPr>
          <w:rFonts w:ascii="Arial" w:cs="Arial" w:eastAsia="Arial" w:hAnsi="Arial"/>
          <w:sz w:val="19"/>
          <w:szCs w:val="19"/>
          <w:color w:val="auto"/>
        </w:rPr>
        <w:t>. An Option that the Board intends to be an “incentive stock option” as defined in Section 422 of the Code (an “</w:t>
      </w:r>
      <w:r>
        <w:rPr>
          <w:rFonts w:ascii="Arial" w:cs="Arial" w:eastAsia="Arial" w:hAnsi="Arial"/>
          <w:sz w:val="19"/>
          <w:szCs w:val="19"/>
          <w:b w:val="1"/>
          <w:bCs w:val="1"/>
          <w:i w:val="1"/>
          <w:iCs w:val="1"/>
          <w:color w:val="auto"/>
        </w:rPr>
        <w:t>Incentive Stock Option</w:t>
      </w:r>
      <w:r>
        <w:rPr>
          <w:rFonts w:ascii="Arial" w:cs="Arial" w:eastAsia="Arial" w:hAnsi="Arial"/>
          <w:sz w:val="19"/>
          <w:szCs w:val="19"/>
          <w:color w:val="auto"/>
        </w:rPr>
        <w:t>”) shall only be granted to employees of Solid Biosciences Inc., any of Solid Biosciences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Arial" w:cs="Arial" w:eastAsia="Arial" w:hAnsi="Arial"/>
          <w:sz w:val="19"/>
          <w:szCs w:val="19"/>
          <w:b w:val="1"/>
          <w:bCs w:val="1"/>
          <w:i w:val="1"/>
          <w:iCs w:val="1"/>
          <w:color w:val="auto"/>
        </w:rPr>
        <w:t>Nonstatutory Stock Option</w:t>
      </w:r>
      <w:r>
        <w:rPr>
          <w:rFonts w:ascii="Arial" w:cs="Arial" w:eastAsia="Arial" w:hAnsi="Arial"/>
          <w:sz w:val="19"/>
          <w:szCs w:val="19"/>
          <w:color w:val="auto"/>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spacing w:after="0" w:line="157" w:lineRule="exact"/>
        <w:rPr>
          <w:rFonts w:ascii="Arial" w:cs="Arial" w:eastAsia="Arial" w:hAnsi="Arial"/>
          <w:sz w:val="19"/>
          <w:szCs w:val="19"/>
          <w:color w:val="auto"/>
        </w:rPr>
      </w:pPr>
    </w:p>
    <w:p>
      <w:pPr>
        <w:ind w:firstLine="872"/>
        <w:spacing w:after="0" w:line="279" w:lineRule="auto"/>
        <w:tabs>
          <w:tab w:leader="none" w:pos="1751"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Board approves the grant of an Option with an exercise price to be determined on a future date, the exercise price shall be not less than 100% of the Grant Date Fair Market Value on such future date. “</w:t>
      </w:r>
      <w:r>
        <w:rPr>
          <w:rFonts w:ascii="Arial" w:cs="Arial" w:eastAsia="Arial" w:hAnsi="Arial"/>
          <w:sz w:val="19"/>
          <w:szCs w:val="19"/>
          <w:b w:val="1"/>
          <w:bCs w:val="1"/>
          <w:i w:val="1"/>
          <w:iCs w:val="1"/>
          <w:color w:val="auto"/>
        </w:rPr>
        <w:t>Grant Date Fair Market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Value</w:t>
      </w:r>
      <w:r>
        <w:rPr>
          <w:rFonts w:ascii="Arial" w:cs="Arial" w:eastAsia="Arial" w:hAnsi="Arial"/>
          <w:sz w:val="19"/>
          <w:szCs w:val="19"/>
          <w:color w:val="auto"/>
        </w:rPr>
        <w:t>” of a share of Common Stock for purposes of the Plan will be determined as follows: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03" w:name="page204"/>
    <w:bookmarkEnd w:id="203"/>
    <w:p>
      <w:pPr>
        <w:ind w:right="660" w:firstLine="1735"/>
        <w:spacing w:after="0" w:line="250" w:lineRule="auto"/>
        <w:tabs>
          <w:tab w:leader="none" w:pos="262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the Common Stock trades on a national securities exchange, the closing sale price (for the primary trading session) on the applicable date; or</w:t>
      </w:r>
    </w:p>
    <w:p>
      <w:pPr>
        <w:spacing w:after="0" w:line="174" w:lineRule="exact"/>
        <w:rPr>
          <w:rFonts w:ascii="Arial" w:cs="Arial" w:eastAsia="Arial" w:hAnsi="Arial"/>
          <w:sz w:val="22"/>
          <w:szCs w:val="22"/>
          <w:color w:val="auto"/>
        </w:rPr>
      </w:pPr>
    </w:p>
    <w:p>
      <w:pPr>
        <w:ind w:right="500" w:firstLine="1735"/>
        <w:spacing w:after="0" w:line="328" w:lineRule="auto"/>
        <w:tabs>
          <w:tab w:leader="none" w:pos="262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if the Common Stock does not trade on any such exchange, the average of the closing bid and asked prices on the applicable date as reported by an over-the-counter marketplace designated by the Board; or</w:t>
      </w:r>
    </w:p>
    <w:p>
      <w:pPr>
        <w:spacing w:after="0" w:line="104" w:lineRule="exact"/>
        <w:rPr>
          <w:rFonts w:ascii="Arial" w:cs="Arial" w:eastAsia="Arial" w:hAnsi="Arial"/>
          <w:sz w:val="19"/>
          <w:szCs w:val="19"/>
          <w:color w:val="auto"/>
        </w:rPr>
      </w:pPr>
    </w:p>
    <w:p>
      <w:pPr>
        <w:jc w:val="both"/>
        <w:ind w:right="140" w:firstLine="1735"/>
        <w:spacing w:after="0" w:line="238" w:lineRule="auto"/>
        <w:tabs>
          <w:tab w:leader="none" w:pos="262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85"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147"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The Board has sole discretion to determine the Grant Date Fair Market Value for purposes of the Plan, and all Awards are conditioned on the Participant’s agreement that the Administrator’s determination is conclusive and binding even though others might make a different determination.</w:t>
      </w:r>
    </w:p>
    <w:p>
      <w:pPr>
        <w:spacing w:after="0" w:line="186" w:lineRule="exact"/>
        <w:rPr>
          <w:sz w:val="20"/>
          <w:szCs w:val="20"/>
          <w:color w:val="auto"/>
        </w:rPr>
      </w:pPr>
    </w:p>
    <w:p>
      <w:pPr>
        <w:ind w:right="140" w:firstLine="872"/>
        <w:spacing w:after="0"/>
        <w:tabs>
          <w:tab w:leader="none" w:pos="1763"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Duration of Options</w:t>
      </w:r>
      <w:r>
        <w:rPr>
          <w:rFonts w:ascii="Arial" w:cs="Arial" w:eastAsia="Arial" w:hAnsi="Arial"/>
          <w:sz w:val="22"/>
          <w:szCs w:val="22"/>
          <w:color w:val="auto"/>
        </w:rPr>
        <w:t xml:space="preserve">. Each Option shall be exercisable at such times and subject to such terms and conditions as the Board may specify in the applicable Option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no Option will be granted with a term in excess of 10 years.</w:t>
      </w:r>
    </w:p>
    <w:p>
      <w:pPr>
        <w:spacing w:after="0" w:line="186" w:lineRule="exact"/>
        <w:rPr>
          <w:rFonts w:ascii="Arial" w:cs="Arial" w:eastAsia="Arial" w:hAnsi="Arial"/>
          <w:sz w:val="22"/>
          <w:szCs w:val="22"/>
          <w:color w:val="auto"/>
        </w:rPr>
      </w:pPr>
    </w:p>
    <w:p>
      <w:pPr>
        <w:ind w:firstLine="872"/>
        <w:spacing w:after="0" w:line="252" w:lineRule="auto"/>
        <w:tabs>
          <w:tab w:leader="none" w:pos="1751"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Exercise of Options</w:t>
      </w:r>
      <w:r>
        <w:rPr>
          <w:rFonts w:ascii="Arial" w:cs="Arial" w:eastAsia="Arial" w:hAnsi="Arial"/>
          <w:sz w:val="21"/>
          <w:szCs w:val="21"/>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73" w:lineRule="exact"/>
        <w:rPr>
          <w:rFonts w:ascii="Arial" w:cs="Arial" w:eastAsia="Arial" w:hAnsi="Arial"/>
          <w:sz w:val="21"/>
          <w:szCs w:val="21"/>
          <w:color w:val="auto"/>
        </w:rPr>
      </w:pPr>
    </w:p>
    <w:p>
      <w:pPr>
        <w:ind w:right="260" w:firstLine="872"/>
        <w:spacing w:after="0" w:line="250" w:lineRule="auto"/>
        <w:tabs>
          <w:tab w:leader="none" w:pos="1727"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Payment Upon Exercise</w:t>
      </w:r>
      <w:r>
        <w:rPr>
          <w:rFonts w:ascii="Arial" w:cs="Arial" w:eastAsia="Arial" w:hAnsi="Arial"/>
          <w:sz w:val="22"/>
          <w:szCs w:val="22"/>
          <w:color w:val="auto"/>
        </w:rPr>
        <w:t>. Common Stock purchased upon the exercise of an Option granted under the Plan shall be paid for as follows:</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in cash or by check, payable to the order of the Company;</w:t>
      </w:r>
    </w:p>
    <w:p>
      <w:pPr>
        <w:spacing w:after="0" w:line="206" w:lineRule="exact"/>
        <w:rPr>
          <w:rFonts w:ascii="Arial" w:cs="Arial" w:eastAsia="Arial" w:hAnsi="Arial"/>
          <w:sz w:val="22"/>
          <w:szCs w:val="22"/>
          <w:color w:val="auto"/>
        </w:rPr>
      </w:pPr>
    </w:p>
    <w:p>
      <w:pPr>
        <w:ind w:firstLine="1735"/>
        <w:spacing w:after="0" w:line="249" w:lineRule="auto"/>
        <w:tabs>
          <w:tab w:leader="none" w:pos="2627" w:val="left"/>
        </w:tabs>
        <w:numPr>
          <w:ilvl w:val="1"/>
          <w:numId w:val="122"/>
        </w:numPr>
        <w:rPr>
          <w:rFonts w:ascii="Arial" w:cs="Arial" w:eastAsia="Arial" w:hAnsi="Arial"/>
          <w:sz w:val="21"/>
          <w:szCs w:val="21"/>
          <w:color w:val="auto"/>
        </w:rPr>
      </w:pPr>
      <w:r>
        <w:rPr>
          <w:rFonts w:ascii="Arial" w:cs="Arial" w:eastAsia="Arial" w:hAnsi="Arial"/>
          <w:sz w:val="21"/>
          <w:szCs w:val="21"/>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4" w:name="page205"/>
    <w:bookmarkEnd w:id="204"/>
    <w:p>
      <w:pPr>
        <w:ind w:left="-8" w:right="40" w:firstLine="1735"/>
        <w:spacing w:after="0" w:line="248" w:lineRule="auto"/>
        <w:tabs>
          <w:tab w:leader="none" w:pos="2619" w:val="left"/>
        </w:tabs>
        <w:numPr>
          <w:ilvl w:val="2"/>
          <w:numId w:val="123"/>
        </w:numPr>
        <w:rPr>
          <w:rFonts w:ascii="Arial" w:cs="Arial" w:eastAsia="Arial" w:hAnsi="Arial"/>
          <w:sz w:val="21"/>
          <w:szCs w:val="21"/>
          <w:color w:val="auto"/>
        </w:rPr>
      </w:pPr>
      <w:r>
        <w:rPr>
          <w:rFonts w:ascii="Arial" w:cs="Arial" w:eastAsia="Arial" w:hAnsi="Arial"/>
          <w:sz w:val="21"/>
          <w:szCs w:val="21"/>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spacing w:after="0" w:line="176" w:lineRule="exact"/>
        <w:rPr>
          <w:rFonts w:ascii="Arial" w:cs="Arial" w:eastAsia="Arial" w:hAnsi="Arial"/>
          <w:sz w:val="21"/>
          <w:szCs w:val="21"/>
          <w:color w:val="auto"/>
        </w:rPr>
      </w:pPr>
    </w:p>
    <w:p>
      <w:pPr>
        <w:ind w:left="-8" w:right="120" w:firstLine="1735"/>
        <w:spacing w:after="0" w:line="282" w:lineRule="auto"/>
        <w:tabs>
          <w:tab w:leader="none" w:pos="2619" w:val="left"/>
        </w:tabs>
        <w:numPr>
          <w:ilvl w:val="2"/>
          <w:numId w:val="123"/>
        </w:numPr>
        <w:rPr>
          <w:rFonts w:ascii="Arial" w:cs="Arial" w:eastAsia="Arial" w:hAnsi="Arial"/>
          <w:sz w:val="19"/>
          <w:szCs w:val="19"/>
          <w:color w:val="auto"/>
        </w:rPr>
      </w:pPr>
      <w:r>
        <w:rPr>
          <w:rFonts w:ascii="Arial" w:cs="Arial" w:eastAsia="Arial" w:hAnsi="Arial"/>
          <w:sz w:val="19"/>
          <w:szCs w:val="19"/>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47" w:lineRule="exact"/>
        <w:rPr>
          <w:rFonts w:ascii="Arial" w:cs="Arial" w:eastAsia="Arial" w:hAnsi="Arial"/>
          <w:sz w:val="19"/>
          <w:szCs w:val="19"/>
          <w:color w:val="auto"/>
        </w:rPr>
      </w:pPr>
    </w:p>
    <w:p>
      <w:pPr>
        <w:ind w:left="-8" w:firstLine="1735"/>
        <w:spacing w:after="0" w:line="257" w:lineRule="auto"/>
        <w:tabs>
          <w:tab w:leader="none" w:pos="2619" w:val="left"/>
        </w:tabs>
        <w:numPr>
          <w:ilvl w:val="2"/>
          <w:numId w:val="123"/>
        </w:numPr>
        <w:rPr>
          <w:rFonts w:ascii="Arial" w:cs="Arial" w:eastAsia="Arial" w:hAnsi="Arial"/>
          <w:sz w:val="21"/>
          <w:szCs w:val="21"/>
          <w:color w:val="auto"/>
        </w:rPr>
      </w:pPr>
      <w:r>
        <w:rPr>
          <w:rFonts w:ascii="Arial" w:cs="Arial" w:eastAsia="Arial" w:hAnsi="Arial"/>
          <w:sz w:val="21"/>
          <w:szCs w:val="21"/>
          <w:color w:val="auto"/>
        </w:rPr>
        <w:t>to the extent permitted by applicable law and provided for in the applicable Option agreement or approved by the Board, by payment of such other lawful consideration as the Board may determine; provided, however, that in no event may a promissory note of the Participant be used to pay the Option exercise price; or</w:t>
      </w:r>
    </w:p>
    <w:p>
      <w:pPr>
        <w:spacing w:after="0" w:line="169" w:lineRule="exact"/>
        <w:rPr>
          <w:rFonts w:ascii="Arial" w:cs="Arial" w:eastAsia="Arial" w:hAnsi="Arial"/>
          <w:sz w:val="21"/>
          <w:szCs w:val="21"/>
          <w:color w:val="auto"/>
        </w:rPr>
      </w:pPr>
    </w:p>
    <w:p>
      <w:pPr>
        <w:ind w:left="2632" w:hanging="905"/>
        <w:spacing w:after="0"/>
        <w:tabs>
          <w:tab w:leader="none" w:pos="2632" w:val="left"/>
        </w:tabs>
        <w:numPr>
          <w:ilvl w:val="2"/>
          <w:numId w:val="123"/>
        </w:numPr>
        <w:rPr>
          <w:rFonts w:ascii="Arial" w:cs="Arial" w:eastAsia="Arial" w:hAnsi="Arial"/>
          <w:sz w:val="22"/>
          <w:szCs w:val="22"/>
          <w:color w:val="auto"/>
        </w:rPr>
      </w:pPr>
      <w:r>
        <w:rPr>
          <w:rFonts w:ascii="Arial" w:cs="Arial" w:eastAsia="Arial" w:hAnsi="Arial"/>
          <w:sz w:val="22"/>
          <w:szCs w:val="22"/>
          <w:color w:val="auto"/>
        </w:rPr>
        <w:t>by any combination of the above permitted forms of payment.</w:t>
      </w:r>
    </w:p>
    <w:p>
      <w:pPr>
        <w:spacing w:after="0" w:line="206" w:lineRule="exact"/>
        <w:rPr>
          <w:rFonts w:ascii="Arial" w:cs="Arial" w:eastAsia="Arial" w:hAnsi="Arial"/>
          <w:sz w:val="22"/>
          <w:szCs w:val="22"/>
          <w:color w:val="auto"/>
        </w:rPr>
      </w:pPr>
    </w:p>
    <w:p>
      <w:pPr>
        <w:ind w:left="-8" w:right="80" w:firstLine="872"/>
        <w:spacing w:after="0" w:line="274" w:lineRule="auto"/>
        <w:tabs>
          <w:tab w:leader="none" w:pos="1755"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Limitation on Repricing</w:t>
      </w:r>
      <w:r>
        <w:rPr>
          <w:rFonts w:ascii="Arial" w:cs="Arial" w:eastAsia="Arial" w:hAnsi="Arial"/>
          <w:sz w:val="19"/>
          <w:szCs w:val="19"/>
          <w:color w:val="auto"/>
        </w:rPr>
        <w:t>.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a manner approved by) the Board), or (4) take any other action under the Plan that constitutes a “repricing” within the meaning of the rules of the Exchange.</w:t>
      </w:r>
    </w:p>
    <w:p>
      <w:pPr>
        <w:spacing w:after="0" w:line="158" w:lineRule="exact"/>
        <w:rPr>
          <w:rFonts w:ascii="Arial" w:cs="Arial" w:eastAsia="Arial" w:hAnsi="Arial"/>
          <w:sz w:val="19"/>
          <w:szCs w:val="19"/>
          <w:color w:val="auto"/>
        </w:rPr>
      </w:pPr>
    </w:p>
    <w:p>
      <w:pPr>
        <w:ind w:left="-8" w:right="20" w:firstLine="872"/>
        <w:spacing w:after="0" w:line="250" w:lineRule="auto"/>
        <w:tabs>
          <w:tab w:leader="none" w:pos="1755" w:val="left"/>
        </w:tabs>
        <w:numPr>
          <w:ilvl w:val="1"/>
          <w:numId w:val="124"/>
        </w:numPr>
        <w:rPr>
          <w:rFonts w:ascii="Arial" w:cs="Arial" w:eastAsia="Arial" w:hAnsi="Arial"/>
          <w:sz w:val="22"/>
          <w:szCs w:val="22"/>
          <w:color w:val="auto"/>
        </w:rPr>
      </w:pPr>
      <w:r>
        <w:rPr>
          <w:rFonts w:ascii="Arial" w:cs="Arial" w:eastAsia="Arial" w:hAnsi="Arial"/>
          <w:sz w:val="22"/>
          <w:szCs w:val="22"/>
          <w:u w:val="single" w:color="auto"/>
          <w:color w:val="auto"/>
        </w:rPr>
        <w:t>No Reload Options</w:t>
      </w:r>
      <w:r>
        <w:rPr>
          <w:rFonts w:ascii="Arial" w:cs="Arial" w:eastAsia="Arial" w:hAnsi="Arial"/>
          <w:sz w:val="22"/>
          <w:szCs w:val="22"/>
          <w:color w:val="auto"/>
        </w:rPr>
        <w:t>. No Option granted under the Plan shall contain any provision entitling the Participant to the automatic grant of additional Options in connection with any exercise of the original Option.</w:t>
      </w:r>
    </w:p>
    <w:p>
      <w:pPr>
        <w:spacing w:after="0" w:line="174" w:lineRule="exact"/>
        <w:rPr>
          <w:rFonts w:ascii="Arial" w:cs="Arial" w:eastAsia="Arial" w:hAnsi="Arial"/>
          <w:sz w:val="22"/>
          <w:szCs w:val="22"/>
          <w:color w:val="auto"/>
        </w:rPr>
      </w:pPr>
    </w:p>
    <w:p>
      <w:pPr>
        <w:ind w:left="1712" w:hanging="848"/>
        <w:spacing w:after="0"/>
        <w:tabs>
          <w:tab w:leader="none" w:pos="1712"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No Dividend Equivalents</w:t>
      </w:r>
      <w:r>
        <w:rPr>
          <w:rFonts w:ascii="Arial" w:cs="Arial" w:eastAsia="Arial" w:hAnsi="Arial"/>
          <w:sz w:val="21"/>
          <w:szCs w:val="21"/>
          <w:color w:val="auto"/>
        </w:rPr>
        <w:t>. No Option shall provide for the payment or accrual of dividend equivalents.</w:t>
      </w:r>
    </w:p>
    <w:p>
      <w:pPr>
        <w:spacing w:after="0" w:line="217" w:lineRule="exact"/>
        <w:rPr>
          <w:rFonts w:ascii="Arial" w:cs="Arial" w:eastAsia="Arial" w:hAnsi="Arial"/>
          <w:sz w:val="21"/>
          <w:szCs w:val="21"/>
          <w:color w:val="auto"/>
        </w:rPr>
      </w:pPr>
    </w:p>
    <w:p>
      <w:pPr>
        <w:ind w:left="812" w:hanging="812"/>
        <w:spacing w:after="0"/>
        <w:tabs>
          <w:tab w:leader="none" w:pos="812"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w:t>
      </w:r>
    </w:p>
    <w:p>
      <w:pPr>
        <w:spacing w:after="0" w:line="206" w:lineRule="exact"/>
        <w:rPr>
          <w:rFonts w:ascii="Arial" w:cs="Arial" w:eastAsia="Arial" w:hAnsi="Arial"/>
          <w:sz w:val="22"/>
          <w:szCs w:val="22"/>
          <w:color w:val="auto"/>
        </w:rPr>
      </w:pPr>
    </w:p>
    <w:p>
      <w:pPr>
        <w:ind w:left="-8" w:right="120" w:firstLine="872"/>
        <w:spacing w:after="0" w:line="250" w:lineRule="auto"/>
        <w:tabs>
          <w:tab w:leader="none" w:pos="1743"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The Board may grant Awards consisting of stock appreciation rights (“</w:t>
      </w:r>
      <w:r>
        <w:rPr>
          <w:rFonts w:ascii="Arial" w:cs="Arial" w:eastAsia="Arial" w:hAnsi="Arial"/>
          <w:sz w:val="22"/>
          <w:szCs w:val="22"/>
          <w:b w:val="1"/>
          <w:bCs w:val="1"/>
          <w:i w:val="1"/>
          <w:iCs w:val="1"/>
          <w:color w:val="auto"/>
        </w:rPr>
        <w:t>SARs</w:t>
      </w:r>
      <w:r>
        <w:rPr>
          <w:rFonts w:ascii="Arial" w:cs="Arial" w:eastAsia="Arial" w:hAnsi="Arial"/>
          <w:sz w:val="22"/>
          <w:szCs w:val="22"/>
          <w:color w:val="auto"/>
        </w:rPr>
        <w:t>”) entitling the holder, upon exercise, to receive an amount of Common Stock or cash or</w:t>
      </w:r>
    </w:p>
    <w:p>
      <w:pPr>
        <w:spacing w:after="0" w:line="17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200025</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34" w:right="339" w:bottom="1440" w:gutter="0" w:footer="0" w:header="0"/>
        </w:sectPr>
      </w:pPr>
    </w:p>
    <w:bookmarkStart w:id="205" w:name="page206"/>
    <w:bookmarkEnd w:id="205"/>
    <w:p>
      <w:pPr>
        <w:spacing w:after="0" w:line="238" w:lineRule="auto"/>
        <w:rPr>
          <w:sz w:val="20"/>
          <w:szCs w:val="20"/>
          <w:color w:val="auto"/>
        </w:rPr>
      </w:pPr>
      <w:r>
        <w:rPr>
          <w:rFonts w:ascii="Arial" w:cs="Arial" w:eastAsia="Arial" w:hAnsi="Arial"/>
          <w:sz w:val="22"/>
          <w:szCs w:val="22"/>
          <w:color w:val="auto"/>
        </w:rPr>
        <w:t>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w:t>
      </w:r>
    </w:p>
    <w:p>
      <w:pPr>
        <w:spacing w:after="0" w:line="185" w:lineRule="exact"/>
        <w:rPr>
          <w:sz w:val="20"/>
          <w:szCs w:val="20"/>
          <w:color w:val="auto"/>
        </w:rPr>
      </w:pPr>
    </w:p>
    <w:p>
      <w:pPr>
        <w:jc w:val="both"/>
        <w:ind w:right="220" w:firstLine="872"/>
        <w:spacing w:after="0" w:line="287" w:lineRule="auto"/>
        <w:tabs>
          <w:tab w:leader="none" w:pos="1763"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Measurement Price</w:t>
      </w:r>
      <w:r>
        <w:rPr>
          <w:rFonts w:ascii="Arial" w:cs="Arial" w:eastAsia="Arial" w:hAnsi="Arial"/>
          <w:sz w:val="19"/>
          <w:szCs w:val="19"/>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Board approves the grant of an SAR effective as of a future date, the measurement price shall be not less than 100% of the Grant Date Fair Market Value on such future date.</w:t>
      </w:r>
    </w:p>
    <w:p>
      <w:pPr>
        <w:spacing w:after="0" w:line="142" w:lineRule="exact"/>
        <w:rPr>
          <w:rFonts w:ascii="Arial" w:cs="Arial" w:eastAsia="Arial" w:hAnsi="Arial"/>
          <w:sz w:val="19"/>
          <w:szCs w:val="19"/>
          <w:color w:val="auto"/>
        </w:rPr>
      </w:pPr>
    </w:p>
    <w:p>
      <w:pPr>
        <w:ind w:firstLine="872"/>
        <w:spacing w:after="0" w:line="276" w:lineRule="auto"/>
        <w:tabs>
          <w:tab w:leader="none" w:pos="1751"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Duration of SARs</w:t>
      </w:r>
      <w:r>
        <w:rPr>
          <w:rFonts w:ascii="Arial" w:cs="Arial" w:eastAsia="Arial" w:hAnsi="Arial"/>
          <w:sz w:val="19"/>
          <w:szCs w:val="19"/>
          <w:color w:val="auto"/>
        </w:rPr>
        <w:t xml:space="preserve">. Each SAR shall be exercisable at such times and subject to such terms and conditions as the Board may specify in the applicable SAR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SAR will be granted with a term in excess of</w:t>
      </w:r>
    </w:p>
    <w:p>
      <w:pPr>
        <w:spacing w:after="0" w:line="1" w:lineRule="exact"/>
        <w:rPr>
          <w:rFonts w:ascii="Arial" w:cs="Arial" w:eastAsia="Arial" w:hAnsi="Arial"/>
          <w:sz w:val="19"/>
          <w:szCs w:val="19"/>
          <w:color w:val="auto"/>
        </w:rPr>
      </w:pPr>
    </w:p>
    <w:p>
      <w:pPr>
        <w:ind w:left="280" w:hanging="272"/>
        <w:spacing w:after="0"/>
        <w:tabs>
          <w:tab w:leader="none" w:pos="2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years.</w:t>
      </w:r>
    </w:p>
    <w:p>
      <w:pPr>
        <w:spacing w:after="0" w:line="188" w:lineRule="exact"/>
        <w:rPr>
          <w:rFonts w:ascii="Arial" w:cs="Arial" w:eastAsia="Arial" w:hAnsi="Arial"/>
          <w:sz w:val="22"/>
          <w:szCs w:val="22"/>
          <w:color w:val="auto"/>
        </w:rPr>
      </w:pPr>
    </w:p>
    <w:p>
      <w:pPr>
        <w:ind w:right="420" w:firstLine="872"/>
        <w:spacing w:after="0" w:line="328" w:lineRule="auto"/>
        <w:tabs>
          <w:tab w:leader="none" w:pos="1763" w:val="left"/>
        </w:tabs>
        <w:numPr>
          <w:ilvl w:val="1"/>
          <w:numId w:val="127"/>
        </w:numPr>
        <w:rPr>
          <w:rFonts w:ascii="Arial" w:cs="Arial" w:eastAsia="Arial" w:hAnsi="Arial"/>
          <w:sz w:val="19"/>
          <w:szCs w:val="19"/>
          <w:color w:val="auto"/>
        </w:rPr>
      </w:pPr>
      <w:r>
        <w:rPr>
          <w:rFonts w:ascii="Arial" w:cs="Arial" w:eastAsia="Arial" w:hAnsi="Arial"/>
          <w:sz w:val="19"/>
          <w:szCs w:val="19"/>
          <w:u w:val="single" w:color="auto"/>
          <w:color w:val="auto"/>
        </w:rPr>
        <w:t>Exercise of SARs</w:t>
      </w:r>
      <w:r>
        <w:rPr>
          <w:rFonts w:ascii="Arial" w:cs="Arial" w:eastAsia="Arial" w:hAnsi="Arial"/>
          <w:sz w:val="19"/>
          <w:szCs w:val="19"/>
          <w:color w:val="auto"/>
        </w:rPr>
        <w:t>. SARs may be exercised by delivery to the Company of a notice of exercise in a form (which may be electronic) approved by the Company, together with any other documents required by the Board.</w:t>
      </w:r>
    </w:p>
    <w:p>
      <w:pPr>
        <w:spacing w:after="0" w:line="104" w:lineRule="exact"/>
        <w:rPr>
          <w:rFonts w:ascii="Arial" w:cs="Arial" w:eastAsia="Arial" w:hAnsi="Arial"/>
          <w:sz w:val="19"/>
          <w:szCs w:val="19"/>
          <w:color w:val="auto"/>
        </w:rPr>
      </w:pPr>
    </w:p>
    <w:p>
      <w:pPr>
        <w:ind w:right="40" w:firstLine="872"/>
        <w:spacing w:after="0" w:line="274" w:lineRule="auto"/>
        <w:tabs>
          <w:tab w:leader="none" w:pos="1751" w:val="left"/>
        </w:tabs>
        <w:numPr>
          <w:ilvl w:val="1"/>
          <w:numId w:val="127"/>
        </w:numPr>
        <w:rPr>
          <w:rFonts w:ascii="Arial" w:cs="Arial" w:eastAsia="Arial" w:hAnsi="Arial"/>
          <w:sz w:val="19"/>
          <w:szCs w:val="19"/>
          <w:color w:val="auto"/>
        </w:rPr>
      </w:pPr>
      <w:r>
        <w:rPr>
          <w:rFonts w:ascii="Arial" w:cs="Arial" w:eastAsia="Arial" w:hAnsi="Arial"/>
          <w:sz w:val="19"/>
          <w:szCs w:val="19"/>
          <w:u w:val="single" w:color="auto"/>
          <w:color w:val="auto"/>
        </w:rPr>
        <w:t>Limitation on Repricing</w:t>
      </w:r>
      <w:r>
        <w:rPr>
          <w:rFonts w:ascii="Arial" w:cs="Arial" w:eastAsia="Arial" w:hAnsi="Arial"/>
          <w:sz w:val="19"/>
          <w:szCs w:val="19"/>
          <w:color w:val="auto"/>
        </w:rPr>
        <w:t>.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shares of Common Stock and having a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Exchange.</w:t>
      </w:r>
    </w:p>
    <w:p>
      <w:pPr>
        <w:spacing w:after="0" w:line="158" w:lineRule="exact"/>
        <w:rPr>
          <w:rFonts w:ascii="Arial" w:cs="Arial" w:eastAsia="Arial" w:hAnsi="Arial"/>
          <w:sz w:val="19"/>
          <w:szCs w:val="19"/>
          <w:color w:val="auto"/>
        </w:rPr>
      </w:pPr>
    </w:p>
    <w:p>
      <w:pPr>
        <w:ind w:right="80" w:firstLine="872"/>
        <w:spacing w:after="0" w:line="250" w:lineRule="auto"/>
        <w:tabs>
          <w:tab w:leader="none" w:pos="1727" w:val="left"/>
        </w:tabs>
        <w:numPr>
          <w:ilvl w:val="1"/>
          <w:numId w:val="127"/>
        </w:numPr>
        <w:rPr>
          <w:rFonts w:ascii="Arial" w:cs="Arial" w:eastAsia="Arial" w:hAnsi="Arial"/>
          <w:sz w:val="22"/>
          <w:szCs w:val="22"/>
          <w:color w:val="auto"/>
        </w:rPr>
      </w:pPr>
      <w:r>
        <w:rPr>
          <w:rFonts w:ascii="Arial" w:cs="Arial" w:eastAsia="Arial" w:hAnsi="Arial"/>
          <w:sz w:val="22"/>
          <w:szCs w:val="22"/>
          <w:u w:val="single" w:color="auto"/>
          <w:color w:val="auto"/>
        </w:rPr>
        <w:t>No Reload SARs</w:t>
      </w:r>
      <w:r>
        <w:rPr>
          <w:rFonts w:ascii="Arial" w:cs="Arial" w:eastAsia="Arial" w:hAnsi="Arial"/>
          <w:sz w:val="22"/>
          <w:szCs w:val="22"/>
          <w:color w:val="auto"/>
        </w:rPr>
        <w:t>. No SAR granted under the Plan shall contain any provision entitling the Participant to the automatic grant of additional SARs in connection with any exercise of the original SAR.</w:t>
      </w:r>
    </w:p>
    <w:p>
      <w:pPr>
        <w:spacing w:after="0" w:line="174" w:lineRule="exact"/>
        <w:rPr>
          <w:rFonts w:ascii="Arial" w:cs="Arial" w:eastAsia="Arial" w:hAnsi="Arial"/>
          <w:sz w:val="22"/>
          <w:szCs w:val="22"/>
          <w:color w:val="auto"/>
        </w:rPr>
      </w:pPr>
    </w:p>
    <w:p>
      <w:pPr>
        <w:ind w:left="1780" w:hanging="908"/>
        <w:spacing w:after="0"/>
        <w:tabs>
          <w:tab w:leader="none" w:pos="1780" w:val="left"/>
        </w:tabs>
        <w:numPr>
          <w:ilvl w:val="1"/>
          <w:numId w:val="127"/>
        </w:numPr>
        <w:rPr>
          <w:rFonts w:ascii="Arial" w:cs="Arial" w:eastAsia="Arial" w:hAnsi="Arial"/>
          <w:sz w:val="21"/>
          <w:szCs w:val="21"/>
          <w:color w:val="auto"/>
        </w:rPr>
      </w:pPr>
      <w:r>
        <w:rPr>
          <w:rFonts w:ascii="Arial" w:cs="Arial" w:eastAsia="Arial" w:hAnsi="Arial"/>
          <w:sz w:val="21"/>
          <w:szCs w:val="21"/>
          <w:u w:val="single" w:color="auto"/>
          <w:color w:val="auto"/>
        </w:rPr>
        <w:t>No Dividend Equivalents</w:t>
      </w:r>
      <w:r>
        <w:rPr>
          <w:rFonts w:ascii="Arial" w:cs="Arial" w:eastAsia="Arial" w:hAnsi="Arial"/>
          <w:sz w:val="21"/>
          <w:szCs w:val="21"/>
          <w:color w:val="auto"/>
        </w:rPr>
        <w:t>. No SAR shall provide for the payment or accrual of dividend equivalents.</w:t>
      </w:r>
    </w:p>
    <w:p>
      <w:pPr>
        <w:spacing w:after="0" w:line="217" w:lineRule="exact"/>
        <w:rPr>
          <w:rFonts w:ascii="Arial" w:cs="Arial" w:eastAsia="Arial" w:hAnsi="Arial"/>
          <w:sz w:val="21"/>
          <w:szCs w:val="21"/>
          <w:color w:val="auto"/>
        </w:rPr>
      </w:pPr>
    </w:p>
    <w:p>
      <w:pPr>
        <w:ind w:left="820" w:hanging="812"/>
        <w:spacing w:after="0"/>
        <w:tabs>
          <w:tab w:leader="none" w:pos="82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Restricted Stock; RSUs</w:t>
      </w:r>
    </w:p>
    <w:p>
      <w:pPr>
        <w:spacing w:after="0" w:line="206" w:lineRule="exact"/>
        <w:rPr>
          <w:rFonts w:ascii="Arial" w:cs="Arial" w:eastAsia="Arial" w:hAnsi="Arial"/>
          <w:sz w:val="22"/>
          <w:szCs w:val="22"/>
          <w:color w:val="auto"/>
        </w:rPr>
      </w:pPr>
    </w:p>
    <w:p>
      <w:pPr>
        <w:jc w:val="both"/>
        <w:ind w:right="100" w:firstLine="872"/>
        <w:spacing w:after="0" w:line="287" w:lineRule="auto"/>
        <w:tabs>
          <w:tab w:leader="none" w:pos="1751" w:val="left"/>
        </w:tabs>
        <w:numPr>
          <w:ilvl w:val="1"/>
          <w:numId w:val="12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Board may grant Awards entitling recipients to acquire shares of Common Stock (“</w:t>
      </w:r>
      <w:r>
        <w:rPr>
          <w:rFonts w:ascii="Arial" w:cs="Arial" w:eastAsia="Arial" w:hAnsi="Arial"/>
          <w:sz w:val="19"/>
          <w:szCs w:val="19"/>
          <w:b w:val="1"/>
          <w:bCs w:val="1"/>
          <w:i w:val="1"/>
          <w:iCs w:val="1"/>
          <w:color w:val="auto"/>
        </w:rPr>
        <w:t>Restricted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Stock</w:t>
      </w:r>
      <w:r>
        <w:rPr>
          <w:rFonts w:ascii="Arial" w:cs="Arial" w:eastAsia="Arial" w:hAnsi="Arial"/>
          <w:sz w:val="19"/>
          <w:szCs w:val="19"/>
          <w:color w:val="auto"/>
        </w:rPr>
        <w:t>”), subject to the right of the Company to repurchase all or part of such shares at their issue price or other stated or formula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(or to require forfeiture of such shares if issued at no cost) from the recipient in the event that conditions specified by the Board in the applicable Award are not satisfied prior to the end of the applicable restriction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06" w:name="page207"/>
    <w:bookmarkEnd w:id="206"/>
    <w:p>
      <w:pPr>
        <w:ind w:right="260"/>
        <w:spacing w:after="0" w:line="250" w:lineRule="auto"/>
        <w:rPr>
          <w:sz w:val="20"/>
          <w:szCs w:val="20"/>
          <w:color w:val="auto"/>
        </w:rPr>
      </w:pPr>
      <w:r>
        <w:rPr>
          <w:rFonts w:ascii="Arial" w:cs="Arial" w:eastAsia="Arial" w:hAnsi="Arial"/>
          <w:sz w:val="22"/>
          <w:szCs w:val="22"/>
          <w:color w:val="auto"/>
        </w:rPr>
        <w:t>period or periods established by the Board for such Award. The Board may also grant Awards entitling the recipient to receive shares of Common Stock or cash to be delivered at the time such Award vests (“</w:t>
      </w:r>
      <w:r>
        <w:rPr>
          <w:rFonts w:ascii="Arial" w:cs="Arial" w:eastAsia="Arial" w:hAnsi="Arial"/>
          <w:sz w:val="22"/>
          <w:szCs w:val="22"/>
          <w:b w:val="1"/>
          <w:bCs w:val="1"/>
          <w:i w:val="1"/>
          <w:iCs w:val="1"/>
          <w:color w:val="auto"/>
        </w:rPr>
        <w:t>RSUs</w:t>
      </w:r>
      <w:r>
        <w:rPr>
          <w:rFonts w:ascii="Arial" w:cs="Arial" w:eastAsia="Arial" w:hAnsi="Arial"/>
          <w:sz w:val="22"/>
          <w:szCs w:val="22"/>
          <w:color w:val="auto"/>
        </w:rPr>
        <w:t>”).</w:t>
      </w:r>
    </w:p>
    <w:p>
      <w:pPr>
        <w:spacing w:after="0" w:line="175" w:lineRule="exact"/>
        <w:rPr>
          <w:sz w:val="20"/>
          <w:szCs w:val="20"/>
          <w:color w:val="auto"/>
        </w:rPr>
      </w:pPr>
    </w:p>
    <w:p>
      <w:pPr>
        <w:ind w:right="220" w:firstLine="872"/>
        <w:spacing w:after="0" w:line="328" w:lineRule="auto"/>
        <w:tabs>
          <w:tab w:leader="none" w:pos="1763"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Terms and Conditions for Restricted Stock and RSUs</w:t>
      </w:r>
      <w:r>
        <w:rPr>
          <w:rFonts w:ascii="Arial" w:cs="Arial" w:eastAsia="Arial" w:hAnsi="Arial"/>
          <w:sz w:val="19"/>
          <w:szCs w:val="19"/>
          <w:color w:val="auto"/>
        </w:rPr>
        <w:t>. The Board shall determine the terms and conditions of Restricted Stock and RSUs, including the conditions for vesting and repurchase (or forfeiture) and the issue price, if any.</w:t>
      </w:r>
    </w:p>
    <w:p>
      <w:pPr>
        <w:spacing w:after="0" w:line="104" w:lineRule="exact"/>
        <w:rPr>
          <w:rFonts w:ascii="Arial" w:cs="Arial" w:eastAsia="Arial" w:hAnsi="Arial"/>
          <w:sz w:val="19"/>
          <w:szCs w:val="19"/>
          <w:color w:val="auto"/>
        </w:rPr>
      </w:pPr>
    </w:p>
    <w:p>
      <w:pPr>
        <w:ind w:left="1760" w:hanging="888"/>
        <w:spacing w:after="0"/>
        <w:tabs>
          <w:tab w:leader="none" w:pos="176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Additional Provisions Relating to Restricted Stock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60" w:firstLine="1735"/>
        <w:spacing w:after="0" w:line="279" w:lineRule="auto"/>
        <w:tabs>
          <w:tab w:leader="none" w:pos="2627"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Dividends</w:t>
      </w:r>
      <w:r>
        <w:rPr>
          <w:rFonts w:ascii="Arial" w:cs="Arial" w:eastAsia="Arial" w:hAnsi="Arial"/>
          <w:sz w:val="19"/>
          <w:szCs w:val="19"/>
          <w:color w:val="auto"/>
        </w:rPr>
        <w:t>. Any dividends (whether paid in cash, stock or property) declared and paid by the Company with respect to shares of Restricted Stock (“</w:t>
      </w:r>
      <w:r>
        <w:rPr>
          <w:rFonts w:ascii="Arial" w:cs="Arial" w:eastAsia="Arial" w:hAnsi="Arial"/>
          <w:sz w:val="19"/>
          <w:szCs w:val="19"/>
          <w:b w:val="1"/>
          <w:bCs w:val="1"/>
          <w:i w:val="1"/>
          <w:iCs w:val="1"/>
          <w:color w:val="auto"/>
        </w:rPr>
        <w:t>Unvested Dividends</w:t>
      </w:r>
      <w:r>
        <w:rPr>
          <w:rFonts w:ascii="Arial" w:cs="Arial" w:eastAsia="Arial" w:hAnsi="Arial"/>
          <w:sz w:val="19"/>
          <w:szCs w:val="19"/>
          <w:color w:val="auto"/>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spacing w:after="0" w:line="150" w:lineRule="exact"/>
        <w:rPr>
          <w:rFonts w:ascii="Arial" w:cs="Arial" w:eastAsia="Arial" w:hAnsi="Arial"/>
          <w:sz w:val="19"/>
          <w:szCs w:val="19"/>
          <w:color w:val="auto"/>
        </w:rPr>
      </w:pPr>
    </w:p>
    <w:p>
      <w:pPr>
        <w:ind w:firstLine="1735"/>
        <w:spacing w:after="0" w:line="234" w:lineRule="auto"/>
        <w:tabs>
          <w:tab w:leader="none" w:pos="2627"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Stock Certificates</w:t>
      </w:r>
      <w:r>
        <w:rPr>
          <w:rFonts w:ascii="Arial" w:cs="Arial" w:eastAsia="Arial" w:hAnsi="Arial"/>
          <w:sz w:val="22"/>
          <w:szCs w:val="22"/>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Arial" w:cs="Arial" w:eastAsia="Arial" w:hAnsi="Arial"/>
          <w:sz w:val="22"/>
          <w:szCs w:val="22"/>
          <w:b w:val="1"/>
          <w:bCs w:val="1"/>
          <w:i w:val="1"/>
          <w:iCs w:val="1"/>
          <w:color w:val="auto"/>
        </w:rPr>
        <w:t>Designated Beneficiary</w:t>
      </w:r>
      <w:r>
        <w:rPr>
          <w:rFonts w:ascii="Arial" w:cs="Arial" w:eastAsia="Arial" w:hAnsi="Arial"/>
          <w:sz w:val="22"/>
          <w:szCs w:val="22"/>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86" w:lineRule="exact"/>
        <w:rPr>
          <w:rFonts w:ascii="Arial" w:cs="Arial" w:eastAsia="Arial" w:hAnsi="Arial"/>
          <w:sz w:val="22"/>
          <w:szCs w:val="22"/>
          <w:color w:val="auto"/>
        </w:rPr>
      </w:pPr>
    </w:p>
    <w:p>
      <w:pPr>
        <w:ind w:left="1780" w:hanging="908"/>
        <w:spacing w:after="0"/>
        <w:tabs>
          <w:tab w:leader="none" w:pos="178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Additional Provisions Relating to RSUs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40" w:firstLine="1735"/>
        <w:spacing w:after="0" w:line="246" w:lineRule="auto"/>
        <w:tabs>
          <w:tab w:leader="none" w:pos="2627" w:val="left"/>
        </w:tabs>
        <w:numPr>
          <w:ilvl w:val="1"/>
          <w:numId w:val="129"/>
        </w:numPr>
        <w:rPr>
          <w:rFonts w:ascii="Arial" w:cs="Arial" w:eastAsia="Arial" w:hAnsi="Arial"/>
          <w:sz w:val="21"/>
          <w:szCs w:val="21"/>
          <w:color w:val="auto"/>
        </w:rPr>
      </w:pPr>
      <w:r>
        <w:rPr>
          <w:rFonts w:ascii="Arial" w:cs="Arial" w:eastAsia="Arial" w:hAnsi="Arial"/>
          <w:sz w:val="21"/>
          <w:szCs w:val="21"/>
          <w:u w:val="single" w:color="auto"/>
          <w:color w:val="auto"/>
        </w:rPr>
        <w:t>Settlement</w:t>
      </w:r>
      <w:r>
        <w:rPr>
          <w:rFonts w:ascii="Arial" w:cs="Arial" w:eastAsia="Arial" w:hAnsi="Arial"/>
          <w:sz w:val="21"/>
          <w:szCs w:val="21"/>
          <w:color w:val="auto"/>
        </w:rPr>
        <w:t>. Upon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 determined by the Board) an amount of cash equal to the fair market value (valued in the manner determined by (or in a manner approved by) the Board) of such number of shares or a combination thereof. The Board may provide that settlement of RSUs shall be deferred, on a mandatory basis or at the election of the Participant, in a manner that complies with Section 409A of the Code or any successor provision thereto, and the regulations thereunder (“</w:t>
      </w:r>
      <w:r>
        <w:rPr>
          <w:rFonts w:ascii="Arial" w:cs="Arial" w:eastAsia="Arial" w:hAnsi="Arial"/>
          <w:sz w:val="21"/>
          <w:szCs w:val="21"/>
          <w:b w:val="1"/>
          <w:bCs w:val="1"/>
          <w:i w:val="1"/>
          <w:iCs w:val="1"/>
          <w:color w:val="auto"/>
        </w:rPr>
        <w:t>Section 409A</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ind w:left="2640" w:hanging="905"/>
        <w:spacing w:after="0"/>
        <w:tabs>
          <w:tab w:leader="none" w:pos="2640"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 A Participant shall have no voting rights with respect to any RSUs.</w:t>
      </w:r>
    </w:p>
    <w:p>
      <w:pPr>
        <w:spacing w:after="0" w:line="206" w:lineRule="exact"/>
        <w:rPr>
          <w:rFonts w:ascii="Arial" w:cs="Arial" w:eastAsia="Arial" w:hAnsi="Arial"/>
          <w:sz w:val="22"/>
          <w:szCs w:val="22"/>
          <w:color w:val="auto"/>
        </w:rPr>
      </w:pPr>
    </w:p>
    <w:p>
      <w:pPr>
        <w:ind w:right="120" w:firstLine="1735"/>
        <w:spacing w:after="0" w:line="250" w:lineRule="auto"/>
        <w:tabs>
          <w:tab w:leader="none" w:pos="2627"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The Award agreement for RSUs may provide Participants with the right to receive an amount equal to any dividends or other distributions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07" w:name="page208"/>
    <w:bookmarkEnd w:id="207"/>
    <w:p>
      <w:pPr>
        <w:ind w:right="60"/>
        <w:spacing w:after="0" w:line="238" w:lineRule="auto"/>
        <w:rPr>
          <w:sz w:val="20"/>
          <w:szCs w:val="20"/>
          <w:color w:val="auto"/>
        </w:rPr>
      </w:pPr>
      <w:r>
        <w:rPr>
          <w:rFonts w:ascii="Arial" w:cs="Arial" w:eastAsia="Arial" w:hAnsi="Arial"/>
          <w:sz w:val="22"/>
          <w:szCs w:val="22"/>
          <w:color w:val="auto"/>
        </w:rPr>
        <w:t>declared and paid on an equal number of outstanding shares of Common Stock (“</w:t>
      </w:r>
      <w:r>
        <w:rPr>
          <w:rFonts w:ascii="Arial" w:cs="Arial" w:eastAsia="Arial" w:hAnsi="Arial"/>
          <w:sz w:val="22"/>
          <w:szCs w:val="22"/>
          <w:b w:val="1"/>
          <w:bCs w:val="1"/>
          <w:i w:val="1"/>
          <w:iCs w:val="1"/>
          <w:color w:val="auto"/>
        </w:rPr>
        <w:t>Dividend Equivalents</w:t>
      </w:r>
      <w:r>
        <w:rPr>
          <w:rFonts w:ascii="Arial" w:cs="Arial" w:eastAsia="Arial" w:hAnsi="Arial"/>
          <w:sz w:val="22"/>
          <w:szCs w:val="22"/>
          <w:color w:val="auto"/>
        </w:rPr>
        <w:t>”). Dividend Equivalents will be credited to an account for the Participant, may be settled in cash and/or shares of Common Stock as set forth in the Award agreement and shall be subject to the same restrictions on transfer and forfeitability as the RSUs with respect to which paid. No interest will be paid on Dividend Equivalents.</w:t>
      </w:r>
    </w:p>
    <w:p>
      <w:pPr>
        <w:spacing w:after="0" w:line="185" w:lineRule="exact"/>
        <w:rPr>
          <w:sz w:val="20"/>
          <w:szCs w:val="20"/>
          <w:color w:val="auto"/>
        </w:rPr>
      </w:pPr>
    </w:p>
    <w:p>
      <w:pPr>
        <w:ind w:left="820" w:hanging="812"/>
        <w:spacing w:after="0"/>
        <w:tabs>
          <w:tab w:leader="none" w:pos="82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Other Stock-Based and Cash-Based Awards</w:t>
      </w:r>
    </w:p>
    <w:p>
      <w:pPr>
        <w:spacing w:after="0" w:line="206" w:lineRule="exact"/>
        <w:rPr>
          <w:rFonts w:ascii="Arial" w:cs="Arial" w:eastAsia="Arial" w:hAnsi="Arial"/>
          <w:sz w:val="22"/>
          <w:szCs w:val="22"/>
          <w:color w:val="auto"/>
        </w:rPr>
      </w:pPr>
    </w:p>
    <w:p>
      <w:pPr>
        <w:ind w:right="180" w:firstLine="872"/>
        <w:spacing w:after="0" w:line="279" w:lineRule="auto"/>
        <w:tabs>
          <w:tab w:leader="none" w:pos="1751"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Board may grant other Awards of shares of Common Stock, and other Awards that are valued in whole or in part by reference to, or are otherwise based on, shares of Common Stock or other property (“</w:t>
      </w:r>
      <w:r>
        <w:rPr>
          <w:rFonts w:ascii="Arial" w:cs="Arial" w:eastAsia="Arial" w:hAnsi="Arial"/>
          <w:sz w:val="19"/>
          <w:szCs w:val="19"/>
          <w:b w:val="1"/>
          <w:bCs w:val="1"/>
          <w:i w:val="1"/>
          <w:iCs w:val="1"/>
          <w:color w:val="auto"/>
        </w:rPr>
        <w:t>Other Stock-Based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Awards</w:t>
      </w:r>
      <w:r>
        <w:rPr>
          <w:rFonts w:ascii="Arial" w:cs="Arial" w:eastAsia="Arial" w:hAnsi="Arial"/>
          <w:sz w:val="19"/>
          <w:szCs w:val="19"/>
          <w:color w:val="auto"/>
        </w:rPr>
        <w:t>”). Such Other Stock-Based Awards shall also be available as a form of payment in the settlement of other Awards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granted under the Plan or as payment in lieu of compensation to which a Participant is otherwise entitled. Other Stock-Based Awards may be paid in shares of Common Stock or cash, as the Board shall determine. The Company may also grant Awards denominated in cash rather than shares of Common Stock (“</w:t>
      </w:r>
      <w:r>
        <w:rPr>
          <w:rFonts w:ascii="Arial" w:cs="Arial" w:eastAsia="Arial" w:hAnsi="Arial"/>
          <w:sz w:val="19"/>
          <w:szCs w:val="19"/>
          <w:b w:val="1"/>
          <w:bCs w:val="1"/>
          <w:i w:val="1"/>
          <w:iCs w:val="1"/>
          <w:color w:val="auto"/>
        </w:rPr>
        <w:t>Cash-Based Awards</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right="720" w:firstLine="872"/>
        <w:spacing w:after="0" w:line="328" w:lineRule="auto"/>
        <w:tabs>
          <w:tab w:leader="none" w:pos="1763"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Terms and Conditions</w:t>
      </w:r>
      <w:r>
        <w:rPr>
          <w:rFonts w:ascii="Arial" w:cs="Arial" w:eastAsia="Arial" w:hAnsi="Arial"/>
          <w:sz w:val="19"/>
          <w:szCs w:val="19"/>
          <w:color w:val="auto"/>
        </w:rPr>
        <w:t>. Subject to the provisions of the Plan, the Board shall determine the terms and conditions of each Other Stock-Based Award or Cash-Based Award, including any purchase price applicable thereto.</w:t>
      </w:r>
    </w:p>
    <w:p>
      <w:pPr>
        <w:spacing w:after="0" w:line="104" w:lineRule="exact"/>
        <w:rPr>
          <w:rFonts w:ascii="Arial" w:cs="Arial" w:eastAsia="Arial" w:hAnsi="Arial"/>
          <w:sz w:val="19"/>
          <w:szCs w:val="19"/>
          <w:color w:val="auto"/>
        </w:rPr>
      </w:pPr>
    </w:p>
    <w:p>
      <w:pPr>
        <w:jc w:val="both"/>
        <w:ind w:firstLine="872"/>
        <w:spacing w:after="0" w:line="236" w:lineRule="auto"/>
        <w:tabs>
          <w:tab w:leader="none" w:pos="1751" w:val="left"/>
        </w:tabs>
        <w:numPr>
          <w:ilvl w:val="1"/>
          <w:numId w:val="130"/>
        </w:numPr>
        <w:rPr>
          <w:rFonts w:ascii="Arial" w:cs="Arial" w:eastAsia="Arial" w:hAnsi="Arial"/>
          <w:sz w:val="22"/>
          <w:szCs w:val="22"/>
          <w:color w:val="auto"/>
        </w:rPr>
      </w:pPr>
      <w:r>
        <w:rPr>
          <w:rFonts w:ascii="Arial" w:cs="Arial" w:eastAsia="Arial" w:hAnsi="Arial"/>
          <w:sz w:val="22"/>
          <w:szCs w:val="22"/>
          <w:u w:val="single" w:color="auto"/>
          <w:color w:val="auto"/>
        </w:rPr>
        <w:t>Dividend Equivalents</w:t>
      </w:r>
      <w:r>
        <w:rPr>
          <w:rFonts w:ascii="Arial" w:cs="Arial" w:eastAsia="Arial" w:hAnsi="Arial"/>
          <w:sz w:val="22"/>
          <w:szCs w:val="22"/>
          <w:color w:val="auto"/>
        </w:rPr>
        <w:t>. The Award agreement for an Other Stock-Based Award may provide Participants with the right to receive Dividend Equivalents. Dividend Equivalents will be credited to an account for the Participant, may be settled in cash and/or shares of Common Stock as set forth in the Award agreement and shall be subject to the same restrictions on transfer and forfeitability as the Other Stock-Based Award with respect to which paid. No interest will be paid on Dividend Equivalents.</w:t>
      </w:r>
    </w:p>
    <w:p>
      <w:pPr>
        <w:spacing w:after="0" w:line="187" w:lineRule="exact"/>
        <w:rPr>
          <w:rFonts w:ascii="Arial" w:cs="Arial" w:eastAsia="Arial" w:hAnsi="Arial"/>
          <w:sz w:val="22"/>
          <w:szCs w:val="22"/>
          <w:color w:val="auto"/>
        </w:rPr>
      </w:pPr>
    </w:p>
    <w:p>
      <w:pPr>
        <w:ind w:left="820" w:hanging="812"/>
        <w:spacing w:after="0"/>
        <w:tabs>
          <w:tab w:leader="none" w:pos="82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Performance Awards.</w:t>
      </w:r>
    </w:p>
    <w:p>
      <w:pPr>
        <w:spacing w:after="0" w:line="206" w:lineRule="exact"/>
        <w:rPr>
          <w:rFonts w:ascii="Arial" w:cs="Arial" w:eastAsia="Arial" w:hAnsi="Arial"/>
          <w:sz w:val="22"/>
          <w:szCs w:val="22"/>
          <w:color w:val="auto"/>
        </w:rPr>
      </w:pPr>
    </w:p>
    <w:p>
      <w:pPr>
        <w:ind w:right="340" w:firstLine="872"/>
        <w:spacing w:after="0" w:line="250" w:lineRule="auto"/>
        <w:tabs>
          <w:tab w:leader="none" w:pos="1751" w:val="left"/>
        </w:tabs>
        <w:numPr>
          <w:ilvl w:val="1"/>
          <w:numId w:val="130"/>
        </w:numPr>
        <w:rPr>
          <w:rFonts w:ascii="Arial" w:cs="Arial" w:eastAsia="Arial" w:hAnsi="Arial"/>
          <w:sz w:val="22"/>
          <w:szCs w:val="22"/>
          <w:color w:val="auto"/>
        </w:rPr>
      </w:pPr>
      <w:r>
        <w:rPr>
          <w:rFonts w:ascii="Arial" w:cs="Arial" w:eastAsia="Arial" w:hAnsi="Arial"/>
          <w:sz w:val="22"/>
          <w:szCs w:val="22"/>
          <w:u w:val="single" w:color="auto"/>
          <w:color w:val="auto"/>
        </w:rPr>
        <w:t>Grants</w:t>
      </w:r>
      <w:r>
        <w:rPr>
          <w:rFonts w:ascii="Arial" w:cs="Arial" w:eastAsia="Arial" w:hAnsi="Arial"/>
          <w:sz w:val="22"/>
          <w:szCs w:val="22"/>
          <w:color w:val="auto"/>
        </w:rPr>
        <w:t>. Awards under the Plan may be made subject to the achievement of performance goals pursuant to this Section 9 (“</w:t>
      </w:r>
      <w:r>
        <w:rPr>
          <w:rFonts w:ascii="Arial" w:cs="Arial" w:eastAsia="Arial" w:hAnsi="Arial"/>
          <w:sz w:val="22"/>
          <w:szCs w:val="22"/>
          <w:b w:val="1"/>
          <w:bCs w:val="1"/>
          <w:i w:val="1"/>
          <w:iCs w:val="1"/>
          <w:color w:val="auto"/>
        </w:rPr>
        <w:t>Performance Awards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872"/>
        <w:spacing w:after="0" w:line="273" w:lineRule="auto"/>
        <w:tabs>
          <w:tab w:leader="none" w:pos="1763"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Performance Measures</w:t>
      </w:r>
      <w:r>
        <w:rPr>
          <w:rFonts w:ascii="Arial" w:cs="Arial" w:eastAsia="Arial" w:hAnsi="Arial"/>
          <w:sz w:val="19"/>
          <w:szCs w:val="19"/>
          <w:color w:val="auto"/>
        </w:rPr>
        <w:t>. The Board may specify that the degree of granting, vesting and/or payout of any Performance Award shall be subject to the achievement of one or more performance measures established by the Board, which may be based on the relative or absolute attainment of specified levels of one or any combination of the following, and which may be determined pursuant to generally accepted accounting principles (“</w:t>
      </w:r>
      <w:r>
        <w:rPr>
          <w:rFonts w:ascii="Arial" w:cs="Arial" w:eastAsia="Arial" w:hAnsi="Arial"/>
          <w:sz w:val="19"/>
          <w:szCs w:val="19"/>
          <w:b w:val="1"/>
          <w:bCs w:val="1"/>
          <w:i w:val="1"/>
          <w:iCs w:val="1"/>
          <w:color w:val="auto"/>
        </w:rPr>
        <w:t>GAAP</w:t>
      </w:r>
      <w:r>
        <w:rPr>
          <w:rFonts w:ascii="Arial" w:cs="Arial" w:eastAsia="Arial" w:hAnsi="Arial"/>
          <w:sz w:val="19"/>
          <w:szCs w:val="19"/>
          <w:color w:val="auto"/>
        </w:rPr>
        <w:t>”) or on a non-GAAP basis, as determined by the Board: (1) enterprise value or value creation targets; (2) income or net income; operating income; net operating income or net operating income after tax; operating profit or net operating profit; (3) cash flow, including but not limited to, from operations or free cash flow; (4) specified objectives with regard to limiting the level of increase in all or a portion of bank debt or other long-term or short-term public or private debt or other similar financial obligations, or other capital structure improvements, which may be calculated net of cash balances or other offsets and adjustments as may be established by the Board; (5) net sales, revenues, net income, or earnings before income tax or other exclusions; (6) operating margin, return on operating revenue, or return on operating profit; (7) return measures (after tax</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8" w:name="page209"/>
    <w:bookmarkEnd w:id="208"/>
    <w:p>
      <w:pPr>
        <w:ind w:right="60"/>
        <w:spacing w:after="0" w:line="273" w:lineRule="auto"/>
        <w:rPr>
          <w:sz w:val="20"/>
          <w:szCs w:val="20"/>
          <w:color w:val="auto"/>
        </w:rPr>
      </w:pPr>
      <w:r>
        <w:rPr>
          <w:rFonts w:ascii="Arial" w:cs="Arial" w:eastAsia="Arial" w:hAnsi="Arial"/>
          <w:sz w:val="19"/>
          <w:szCs w:val="19"/>
          <w:color w:val="auto"/>
        </w:rPr>
        <w:t>or pre-tax), including return on capital employed, return on invested capital, return on equity, return on assets, return on net assets; (8) market capitalization, earnings per share, fair market value of the shares of the Company, franchise value (net of debt), economic value added; (9) total stockholder return or growth in total stockholder return (with or without dividend reinvestment);</w:t>
      </w:r>
    </w:p>
    <w:p>
      <w:pPr>
        <w:spacing w:after="0" w:line="1" w:lineRule="exact"/>
        <w:rPr>
          <w:sz w:val="20"/>
          <w:szCs w:val="20"/>
          <w:color w:val="auto"/>
        </w:rPr>
      </w:pPr>
    </w:p>
    <w:p>
      <w:pPr>
        <w:ind w:firstLine="8"/>
        <w:spacing w:after="0" w:line="266" w:lineRule="auto"/>
        <w:tabs>
          <w:tab w:leader="none" w:pos="41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financing and other capital raising transactions; (11) proprietary investment results; (12) estimated market share; (13) expansion of sales in additional geographies or markets; (14) expense management/control or reduction (including, without limitation, compensation and benefits expense; (15) customer satisfaction; (16) technological improvements/implementation, new product innovation; (17) collections and recoveries; (18) property or asset purchases; (19) litigation and regulatory resolution/implementation goals; (20) leases, contracts, or financings (including renewals, overhead, savings, G&amp;A, and other expense control goals); (21) risk management/implementation; (22) development and implementation of strategic plans or organizational restructuring goals; (23) development and implementation of risk and crisis management programs; compliance requirements and compliance relief; productivity goals; workforce management and succession planning goals; (24) employee satisfaction or staff development; (25) formations of joint ventures or partnerships or the completion of other similar transactions intended to enhance revenue or profitability or to enhance its customer base; (26) licensing or partnership arrangements; (27) progress of partnered programs and partner satisfaction; (28) progress of internal research or development programs; (29) submission of a new drug application (“</w:t>
      </w:r>
      <w:r>
        <w:rPr>
          <w:rFonts w:ascii="Arial" w:cs="Arial" w:eastAsia="Arial" w:hAnsi="Arial"/>
          <w:sz w:val="19"/>
          <w:szCs w:val="19"/>
          <w:b w:val="1"/>
          <w:bCs w:val="1"/>
          <w:i w:val="1"/>
          <w:iCs w:val="1"/>
          <w:color w:val="auto"/>
        </w:rPr>
        <w:t>NDA</w:t>
      </w:r>
      <w:r>
        <w:rPr>
          <w:rFonts w:ascii="Arial" w:cs="Arial" w:eastAsia="Arial" w:hAnsi="Arial"/>
          <w:sz w:val="19"/>
          <w:szCs w:val="19"/>
          <w:color w:val="auto"/>
        </w:rPr>
        <w:t>”) or the approval of the NDA by the U.S. Food and Drug Administration (“</w:t>
      </w:r>
      <w:r>
        <w:rPr>
          <w:rFonts w:ascii="Arial" w:cs="Arial" w:eastAsia="Arial" w:hAnsi="Arial"/>
          <w:sz w:val="19"/>
          <w:szCs w:val="19"/>
          <w:b w:val="1"/>
          <w:bCs w:val="1"/>
          <w:i w:val="1"/>
          <w:iCs w:val="1"/>
          <w:color w:val="auto"/>
        </w:rPr>
        <w:t>FDA</w:t>
      </w:r>
      <w:r>
        <w:rPr>
          <w:rFonts w:ascii="Arial" w:cs="Arial" w:eastAsia="Arial" w:hAnsi="Arial"/>
          <w:sz w:val="19"/>
          <w:szCs w:val="19"/>
          <w:color w:val="auto"/>
        </w:rPr>
        <w:t>”);</w:t>
      </w:r>
    </w:p>
    <w:p>
      <w:pPr>
        <w:spacing w:after="0" w:line="10" w:lineRule="exact"/>
        <w:rPr>
          <w:rFonts w:ascii="Arial" w:cs="Arial" w:eastAsia="Arial" w:hAnsi="Arial"/>
          <w:sz w:val="19"/>
          <w:szCs w:val="19"/>
          <w:color w:val="auto"/>
        </w:rPr>
      </w:pPr>
    </w:p>
    <w:p>
      <w:pPr>
        <w:ind w:right="60" w:firstLine="8"/>
        <w:spacing w:after="0" w:line="266" w:lineRule="auto"/>
        <w:tabs>
          <w:tab w:leader="none" w:pos="41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submission of an investigational new drug application (“</w:t>
      </w:r>
      <w:r>
        <w:rPr>
          <w:rFonts w:ascii="Arial" w:cs="Arial" w:eastAsia="Arial" w:hAnsi="Arial"/>
          <w:sz w:val="19"/>
          <w:szCs w:val="19"/>
          <w:b w:val="1"/>
          <w:bCs w:val="1"/>
          <w:i w:val="1"/>
          <w:iCs w:val="1"/>
          <w:color w:val="auto"/>
        </w:rPr>
        <w:t>IND</w:t>
      </w:r>
      <w:r>
        <w:rPr>
          <w:rFonts w:ascii="Arial" w:cs="Arial" w:eastAsia="Arial" w:hAnsi="Arial"/>
          <w:sz w:val="19"/>
          <w:szCs w:val="19"/>
          <w:color w:val="auto"/>
        </w:rPr>
        <w:t>”) or the approval of the IND by the FDA; (31) submission of a therapeutic biologics license application (“</w:t>
      </w:r>
      <w:r>
        <w:rPr>
          <w:rFonts w:ascii="Arial" w:cs="Arial" w:eastAsia="Arial" w:hAnsi="Arial"/>
          <w:sz w:val="19"/>
          <w:szCs w:val="19"/>
          <w:b w:val="1"/>
          <w:bCs w:val="1"/>
          <w:i w:val="1"/>
          <w:iCs w:val="1"/>
          <w:color w:val="auto"/>
        </w:rPr>
        <w:t>BLA</w:t>
      </w:r>
      <w:r>
        <w:rPr>
          <w:rFonts w:ascii="Arial" w:cs="Arial" w:eastAsia="Arial" w:hAnsi="Arial"/>
          <w:sz w:val="19"/>
          <w:szCs w:val="19"/>
          <w:color w:val="auto"/>
        </w:rPr>
        <w:t>”) or the approval of the BLA by the FDA; (32) submission to, or approval by, a foreign regulatory body of an applicable filing or a product; (33) strategic partnerships or transactions (including in-licensing and out-licensing of intellectual property; (34) achievement of a launch of a new drug; (35) initiation or completion of a clinical trial phase; (36) implementation or completion of critical projects; (37) achievement of specified milestones in the discovery and development of one or more of the Company’s products; (38) achievement of specified milestones in the commercialization of one or more of the Company’s products; (39) achievement of specified milestones in the manufacturing of one or more of the Company’s products; (40) achievement of specified regulatory milestones relating to one or more of the Company’s products;</w:t>
      </w:r>
    </w:p>
    <w:p>
      <w:pPr>
        <w:spacing w:after="0" w:line="6" w:lineRule="exact"/>
        <w:rPr>
          <w:rFonts w:ascii="Arial" w:cs="Arial" w:eastAsia="Arial" w:hAnsi="Arial"/>
          <w:sz w:val="19"/>
          <w:szCs w:val="19"/>
          <w:color w:val="auto"/>
        </w:rPr>
      </w:pPr>
    </w:p>
    <w:p>
      <w:pPr>
        <w:ind w:right="40" w:firstLine="8"/>
        <w:spacing w:after="0" w:line="266" w:lineRule="auto"/>
        <w:tabs>
          <w:tab w:leader="none" w:pos="41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completion of a merger, acquisition, or any transaction that results in the sale of all or substantially all of the stock or assets; or (42) any other measure selected by the Board.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The Board may specify that such performance measures shall be adjusted to exclude any one or more of (A) special, unusual, non-recurring or extraordinary items, events or circumstances, (B) gains or losses on the dispositions of discontinued businesses or operations, (C) the cumulative effects of changes in accounting principles, (D) the writedown of any asset, (E) fluctuation in foreign currency exchange rates, (F) charges for restructuring and rationalization programs, (G) non-cash, mark-to-market adjustments on derivative instruments, (H) amortization of purchased intangibles, (I) the net impact of tax rate changes,</w:t>
      </w:r>
    </w:p>
    <w:p>
      <w:pPr>
        <w:spacing w:after="0" w:line="7" w:lineRule="exact"/>
        <w:rPr>
          <w:rFonts w:ascii="Arial" w:cs="Arial" w:eastAsia="Arial" w:hAnsi="Arial"/>
          <w:sz w:val="19"/>
          <w:szCs w:val="19"/>
          <w:color w:val="auto"/>
        </w:rPr>
      </w:pPr>
    </w:p>
    <w:p>
      <w:pPr>
        <w:ind w:right="160"/>
        <w:spacing w:after="0" w:line="256" w:lineRule="auto"/>
        <w:rPr>
          <w:rFonts w:ascii="Arial" w:cs="Arial" w:eastAsia="Arial" w:hAnsi="Arial"/>
          <w:sz w:val="19"/>
          <w:szCs w:val="19"/>
          <w:color w:val="auto"/>
        </w:rPr>
      </w:pPr>
      <w:r>
        <w:rPr>
          <w:rFonts w:ascii="Arial" w:cs="Arial" w:eastAsia="Arial" w:hAnsi="Arial"/>
          <w:sz w:val="21"/>
          <w:szCs w:val="21"/>
          <w:color w:val="auto"/>
        </w:rPr>
        <w:t>(J) non-cash asset impairment charges, (K) gains on extinguishment of the tax receivable agreement and (L) any other factors as the Board may determine. Such performance measures: (x) may vary by Participant and may be different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9" w:name="page210"/>
    <w:bookmarkEnd w:id="209"/>
    <w:p>
      <w:pPr>
        <w:ind w:right="40"/>
        <w:spacing w:after="0" w:line="246" w:lineRule="auto"/>
        <w:rPr>
          <w:sz w:val="20"/>
          <w:szCs w:val="20"/>
          <w:color w:val="auto"/>
        </w:rPr>
      </w:pPr>
      <w:r>
        <w:rPr>
          <w:rFonts w:ascii="Arial" w:cs="Arial" w:eastAsia="Arial" w:hAnsi="Arial"/>
          <w:sz w:val="21"/>
          <w:szCs w:val="21"/>
          <w:color w:val="auto"/>
        </w:rPr>
        <w:t>for different Awards; (y) may be particular to a Participant or the department, branch, line of business, subsidiary or other unit in which the Participant works and (z) may cover such period as may be specified by the Board. The Board shall have the authority to make equitable adjustments to the performance goals in recognition of unusual or non-recurring events affecting the Company or the financial statements of the Company, in response to changes in applicable laws or regulations or to account for items of gain, loss or expense determined to be extraordinary or unusual in nature or infrequent in occurrence or related to the disposal of a segment of a business or related to a change in accounting principles. Any dividends or Dividend Equivalents awarded with respect to Performance Awards shall be subject to the same limitations on transfer and forfeitability as the Award with respect to which granted.</w:t>
      </w:r>
    </w:p>
    <w:p>
      <w:pPr>
        <w:spacing w:after="0" w:line="180" w:lineRule="exact"/>
        <w:rPr>
          <w:sz w:val="20"/>
          <w:szCs w:val="20"/>
          <w:color w:val="auto"/>
        </w:rPr>
      </w:pPr>
    </w:p>
    <w:p>
      <w:pPr>
        <w:ind w:right="140" w:firstLine="872"/>
        <w:spacing w:after="0"/>
        <w:tabs>
          <w:tab w:leader="none" w:pos="1751"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The Board may adjust the cash or number of shares payable pursuant to such Performance Award, and the Board may, at any time, waive the achievement of the applicable performance measures, including in the case of the death or disability of the Participant or a change in control of the Company.</w:t>
      </w:r>
    </w:p>
    <w:p>
      <w:pPr>
        <w:spacing w:after="0" w:line="186" w:lineRule="exact"/>
        <w:rPr>
          <w:rFonts w:ascii="Arial" w:cs="Arial" w:eastAsia="Arial" w:hAnsi="Arial"/>
          <w:sz w:val="22"/>
          <w:szCs w:val="22"/>
          <w:color w:val="auto"/>
        </w:rPr>
      </w:pPr>
    </w:p>
    <w:p>
      <w:pPr>
        <w:ind w:left="920" w:hanging="912"/>
        <w:spacing w:after="0"/>
        <w:tabs>
          <w:tab w:leader="none" w:pos="92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Adjustments for Changes in Common Stock and Certain Other Events</w:t>
      </w:r>
    </w:p>
    <w:p>
      <w:pPr>
        <w:spacing w:after="0" w:line="206" w:lineRule="exact"/>
        <w:rPr>
          <w:rFonts w:ascii="Arial" w:cs="Arial" w:eastAsia="Arial" w:hAnsi="Arial"/>
          <w:sz w:val="22"/>
          <w:szCs w:val="22"/>
          <w:color w:val="auto"/>
        </w:rPr>
      </w:pPr>
    </w:p>
    <w:p>
      <w:pPr>
        <w:ind w:firstLine="872"/>
        <w:spacing w:after="0" w:line="271" w:lineRule="auto"/>
        <w:tabs>
          <w:tab w:leader="none" w:pos="1751"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Changes in Capitalization</w:t>
      </w:r>
      <w:r>
        <w:rPr>
          <w:rFonts w:ascii="Arial" w:cs="Arial" w:eastAsia="Arial" w:hAnsi="Arial"/>
          <w:sz w:val="19"/>
          <w:szCs w:val="19"/>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and sublimit set forth in Sections 4(a) and 4(b),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1780" w:hanging="908"/>
        <w:spacing w:after="0"/>
        <w:tabs>
          <w:tab w:leader="none" w:pos="1780"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Reorganization Events</w:t>
      </w:r>
      <w:r>
        <w:rPr>
          <w:rFonts w:ascii="Arial" w:cs="Arial" w:eastAsia="Arial" w:hAnsi="Arial"/>
          <w:sz w:val="22"/>
          <w:szCs w:val="22"/>
          <w:color w:val="auto"/>
        </w:rPr>
        <w:t>.</w:t>
      </w:r>
    </w:p>
    <w:p>
      <w:pPr>
        <w:spacing w:after="0" w:line="206" w:lineRule="exact"/>
        <w:rPr>
          <w:sz w:val="20"/>
          <w:szCs w:val="20"/>
          <w:color w:val="auto"/>
        </w:rPr>
      </w:pPr>
    </w:p>
    <w:p>
      <w:pPr>
        <w:ind w:right="60" w:firstLine="1735"/>
        <w:spacing w:after="0" w:line="236" w:lineRule="auto"/>
        <w:tabs>
          <w:tab w:leader="none" w:pos="2627"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Definition</w:t>
      </w:r>
      <w:r>
        <w:rPr>
          <w:rFonts w:ascii="Arial" w:cs="Arial" w:eastAsia="Arial" w:hAnsi="Arial"/>
          <w:sz w:val="22"/>
          <w:szCs w:val="22"/>
          <w:color w:val="auto"/>
        </w:rPr>
        <w:t>. A “</w:t>
      </w:r>
      <w:r>
        <w:rPr>
          <w:rFonts w:ascii="Arial" w:cs="Arial" w:eastAsia="Arial" w:hAnsi="Arial"/>
          <w:sz w:val="22"/>
          <w:szCs w:val="22"/>
          <w:b w:val="1"/>
          <w:bCs w:val="1"/>
          <w:i w:val="1"/>
          <w:iCs w:val="1"/>
          <w:color w:val="auto"/>
        </w:rPr>
        <w:t>Reorganization Event</w:t>
      </w:r>
      <w:r>
        <w:rPr>
          <w:rFonts w:ascii="Arial" w:cs="Arial" w:eastAsia="Arial" w:hAnsi="Arial"/>
          <w:sz w:val="22"/>
          <w:szCs w:val="22"/>
          <w:color w:val="auto"/>
        </w:rPr>
        <w:t>” shall mean: (a) any merger or consolidation of the Company with or into another entity as a result of which all of the Common Stock of the Company is converted into or exchanged for the right to receive cash, securities or other property or is canceled, (b) any transfer or disposition of all of the Common Stock of the Company for cash, securities or other property pursuant to a share exchange or other transaction or (c) any liquidation or dissolution of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10" w:name="page211"/>
    <w:bookmarkEnd w:id="210"/>
    <w:p>
      <w:pPr>
        <w:ind w:left="2632" w:hanging="905"/>
        <w:spacing w:after="0"/>
        <w:tabs>
          <w:tab w:leader="none" w:pos="2632"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Consequences of a Reorganization Event on Awards Other than Restricted Stock</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 w:right="20" w:firstLine="2600"/>
        <w:spacing w:after="0" w:line="270" w:lineRule="auto"/>
        <w:tabs>
          <w:tab w:leader="none" w:pos="3532" w:val="left"/>
        </w:tabs>
        <w:numPr>
          <w:ilvl w:val="2"/>
          <w:numId w:val="137"/>
        </w:numPr>
        <w:rPr>
          <w:rFonts w:ascii="Arial" w:cs="Arial" w:eastAsia="Arial" w:hAnsi="Arial"/>
          <w:sz w:val="19"/>
          <w:szCs w:val="19"/>
          <w:color w:val="auto"/>
        </w:rPr>
      </w:pPr>
      <w:r>
        <w:rPr>
          <w:rFonts w:ascii="Arial" w:cs="Arial" w:eastAsia="Arial" w:hAnsi="Arial"/>
          <w:sz w:val="19"/>
          <w:szCs w:val="19"/>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 or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9"/>
          <w:szCs w:val="19"/>
          <w:b w:val="1"/>
          <w:bCs w:val="1"/>
          <w:i w:val="1"/>
          <w:iCs w:val="1"/>
          <w:color w:val="auto"/>
        </w:rPr>
        <w:t>Acquisition Price</w:t>
      </w:r>
      <w:r>
        <w:rPr>
          <w:rFonts w:ascii="Arial" w:cs="Arial" w:eastAsia="Arial" w:hAnsi="Arial"/>
          <w:sz w:val="19"/>
          <w:szCs w:val="19"/>
          <w:color w:val="auto"/>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10(b)(2)(A), the Board shall not be obligated by the Plan to treat all Awards, all Awards held by a Participant, or all Awards of the same type, identically.</w:t>
      </w:r>
    </w:p>
    <w:p>
      <w:pPr>
        <w:spacing w:after="0" w:line="160" w:lineRule="exact"/>
        <w:rPr>
          <w:rFonts w:ascii="Arial" w:cs="Arial" w:eastAsia="Arial" w:hAnsi="Arial"/>
          <w:sz w:val="19"/>
          <w:szCs w:val="19"/>
          <w:color w:val="auto"/>
        </w:rPr>
      </w:pPr>
    </w:p>
    <w:p>
      <w:pPr>
        <w:ind w:left="-8" w:firstLine="2600"/>
        <w:spacing w:after="0" w:line="269" w:lineRule="auto"/>
        <w:tabs>
          <w:tab w:leader="none" w:pos="3520" w:val="left"/>
        </w:tabs>
        <w:numPr>
          <w:ilvl w:val="2"/>
          <w:numId w:val="137"/>
        </w:numPr>
        <w:rPr>
          <w:rFonts w:ascii="Arial" w:cs="Arial" w:eastAsia="Arial" w:hAnsi="Arial"/>
          <w:sz w:val="19"/>
          <w:szCs w:val="19"/>
          <w:color w:val="auto"/>
        </w:rPr>
      </w:pPr>
      <w:r>
        <w:rPr>
          <w:rFonts w:ascii="Arial" w:cs="Arial" w:eastAsia="Arial" w:hAnsi="Arial"/>
          <w:sz w:val="19"/>
          <w:szCs w:val="19"/>
          <w:color w:val="auto"/>
        </w:rPr>
        <w:t>Notwithstanding the terms of Section 10(b)(2)(A)(i), in the case of outstanding RSUs that are subject to Section 409A: (i) 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10(b)(2)(A)(i) and the RSUs shall instead be settled in accordance with the terms of the applicable RSU agreement; and (ii) the Board may only undertake the actions set forth in clauses (iii), (iv) or (v) of Section 10(b)(2)(A)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w:t>
      </w:r>
    </w:p>
    <w:p>
      <w:pPr>
        <w:spacing w:after="0" w:line="1" w:lineRule="exact"/>
        <w:rPr>
          <w:rFonts w:ascii="Arial" w:cs="Arial" w:eastAsia="Arial" w:hAnsi="Arial"/>
          <w:sz w:val="19"/>
          <w:szCs w:val="19"/>
          <w:color w:val="auto"/>
        </w:rPr>
      </w:pPr>
    </w:p>
    <w:p>
      <w:pPr>
        <w:ind w:left="-8" w:right="100" w:firstLine="8"/>
        <w:spacing w:after="0" w:line="236" w:lineRule="auto"/>
        <w:tabs>
          <w:tab w:leader="none" w:pos="25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of Section 10(b)(2)(A), then the unvested RSUs shall terminate immediately prior to the consummation of the Reorganization Event without any payment in exchange therefor.</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200025</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334" w:right="359" w:bottom="1440" w:gutter="0" w:footer="0" w:header="0"/>
        </w:sectPr>
      </w:pPr>
    </w:p>
    <w:bookmarkStart w:id="211" w:name="page212"/>
    <w:bookmarkEnd w:id="211"/>
    <w:p>
      <w:pPr>
        <w:ind w:left="-8" w:firstLine="2600"/>
        <w:spacing w:after="0" w:line="272" w:lineRule="auto"/>
        <w:tabs>
          <w:tab w:leader="none" w:pos="3520" w:val="left"/>
        </w:tabs>
        <w:numPr>
          <w:ilvl w:val="3"/>
          <w:numId w:val="139"/>
        </w:numPr>
        <w:rPr>
          <w:rFonts w:ascii="Arial" w:cs="Arial" w:eastAsia="Arial" w:hAnsi="Arial"/>
          <w:sz w:val="19"/>
          <w:szCs w:val="19"/>
          <w:color w:val="auto"/>
        </w:rPr>
      </w:pPr>
      <w:r>
        <w:rPr>
          <w:rFonts w:ascii="Arial" w:cs="Arial" w:eastAsia="Arial" w:hAnsi="Arial"/>
          <w:sz w:val="19"/>
          <w:szCs w:val="19"/>
          <w:color w:val="auto"/>
        </w:rPr>
        <w:t xml:space="preserve">For purposes of Section 10(b)(2)(A)(i),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w:t>
      </w:r>
    </w:p>
    <w:p>
      <w:pPr>
        <w:spacing w:after="0" w:line="155" w:lineRule="exact"/>
        <w:rPr>
          <w:rFonts w:ascii="Arial" w:cs="Arial" w:eastAsia="Arial" w:hAnsi="Arial"/>
          <w:sz w:val="19"/>
          <w:szCs w:val="19"/>
          <w:color w:val="auto"/>
        </w:rPr>
      </w:pPr>
    </w:p>
    <w:p>
      <w:pPr>
        <w:ind w:left="-8" w:right="180" w:firstLine="1735"/>
        <w:spacing w:after="0" w:line="273" w:lineRule="auto"/>
        <w:tabs>
          <w:tab w:leader="none" w:pos="2619" w:val="left"/>
        </w:tabs>
        <w:numPr>
          <w:ilvl w:val="2"/>
          <w:numId w:val="140"/>
        </w:numPr>
        <w:rPr>
          <w:rFonts w:ascii="Arial" w:cs="Arial" w:eastAsia="Arial" w:hAnsi="Arial"/>
          <w:sz w:val="19"/>
          <w:szCs w:val="19"/>
          <w:color w:val="auto"/>
        </w:rPr>
      </w:pPr>
      <w:r>
        <w:rPr>
          <w:rFonts w:ascii="Arial" w:cs="Arial" w:eastAsia="Arial" w:hAnsi="Arial"/>
          <w:sz w:val="19"/>
          <w:szCs w:val="19"/>
          <w:u w:val="single" w:color="auto"/>
          <w:color w:val="auto"/>
        </w:rPr>
        <w:t>Consequences of a Reorganization Event on Restricted Stock</w:t>
      </w:r>
      <w:r>
        <w:rPr>
          <w:rFonts w:ascii="Arial" w:cs="Arial" w:eastAsia="Arial" w:hAnsi="Arial"/>
          <w:sz w:val="19"/>
          <w:szCs w:val="19"/>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may either provide for termination or deemed satisfaction of such repurchase or other rights</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instrument evidencing 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55" w:lineRule="exact"/>
        <w:rPr>
          <w:rFonts w:ascii="Arial" w:cs="Arial" w:eastAsia="Arial" w:hAnsi="Arial"/>
          <w:sz w:val="19"/>
          <w:szCs w:val="19"/>
          <w:color w:val="auto"/>
        </w:rPr>
      </w:pPr>
    </w:p>
    <w:p>
      <w:pPr>
        <w:ind w:left="912" w:hanging="912"/>
        <w:spacing w:after="0"/>
        <w:tabs>
          <w:tab w:leader="none" w:pos="912"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General Provisions Applicable to Awards</w:t>
      </w:r>
    </w:p>
    <w:p>
      <w:pPr>
        <w:spacing w:after="0" w:line="206" w:lineRule="exact"/>
        <w:rPr>
          <w:rFonts w:ascii="Arial" w:cs="Arial" w:eastAsia="Arial" w:hAnsi="Arial"/>
          <w:sz w:val="22"/>
          <w:szCs w:val="22"/>
          <w:color w:val="auto"/>
        </w:rPr>
      </w:pPr>
    </w:p>
    <w:p>
      <w:pPr>
        <w:ind w:left="-8" w:firstLine="872"/>
        <w:spacing w:after="0" w:line="245" w:lineRule="auto"/>
        <w:tabs>
          <w:tab w:leader="none" w:pos="1743" w:val="left"/>
        </w:tabs>
        <w:numPr>
          <w:ilvl w:val="1"/>
          <w:numId w:val="141"/>
        </w:numPr>
        <w:rPr>
          <w:rFonts w:ascii="Arial" w:cs="Arial" w:eastAsia="Arial" w:hAnsi="Arial"/>
          <w:sz w:val="21"/>
          <w:szCs w:val="21"/>
          <w:color w:val="auto"/>
        </w:rPr>
      </w:pPr>
      <w:r>
        <w:rPr>
          <w:rFonts w:ascii="Arial" w:cs="Arial" w:eastAsia="Arial" w:hAnsi="Arial"/>
          <w:sz w:val="21"/>
          <w:szCs w:val="21"/>
          <w:u w:val="single" w:color="auto"/>
          <w:color w:val="auto"/>
        </w:rPr>
        <w:t>Transferability of Awards</w:t>
      </w:r>
      <w:r>
        <w:rPr>
          <w:rFonts w:ascii="Arial" w:cs="Arial" w:eastAsia="Arial" w:hAnsi="Arial"/>
          <w:sz w:val="21"/>
          <w:szCs w:val="21"/>
          <w:color w:val="auto"/>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except with respect to Awards subject to Section 409A,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Arial" w:cs="Arial" w:eastAsia="Arial" w:hAnsi="Arial"/>
          <w:sz w:val="21"/>
          <w:szCs w:val="21"/>
          <w:i w:val="1"/>
          <w:iCs w:val="1"/>
          <w:color w:val="auto"/>
        </w:rPr>
        <w:t>provided further</w:t>
      </w:r>
      <w:r>
        <w:rPr>
          <w:rFonts w:ascii="Arial" w:cs="Arial" w:eastAsia="Arial" w:hAnsi="Arial"/>
          <w:sz w:val="21"/>
          <w:szCs w:val="21"/>
          <w:color w:val="auto"/>
        </w:rPr>
        <w:t>, that the Company shall not be required to recognize</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200025</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34" w:right="339" w:bottom="1440" w:gutter="0" w:footer="0" w:header="0"/>
        </w:sectPr>
      </w:pPr>
    </w:p>
    <w:bookmarkStart w:id="212" w:name="page213"/>
    <w:bookmarkEnd w:id="212"/>
    <w:p>
      <w:pPr>
        <w:ind w:right="40"/>
        <w:spacing w:after="0" w:line="236" w:lineRule="auto"/>
        <w:rPr>
          <w:sz w:val="20"/>
          <w:szCs w:val="20"/>
          <w:color w:val="auto"/>
        </w:rPr>
      </w:pPr>
      <w:r>
        <w:rPr>
          <w:rFonts w:ascii="Arial" w:cs="Arial" w:eastAsia="Arial" w:hAnsi="Arial"/>
          <w:sz w:val="22"/>
          <w:szCs w:val="22"/>
          <w:color w:val="auto"/>
        </w:rPr>
        <w:t>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spacing w:after="0" w:line="187" w:lineRule="exact"/>
        <w:rPr>
          <w:sz w:val="20"/>
          <w:szCs w:val="20"/>
          <w:color w:val="auto"/>
        </w:rPr>
      </w:pPr>
    </w:p>
    <w:p>
      <w:pPr>
        <w:ind w:right="40" w:firstLine="872"/>
        <w:spacing w:after="0" w:line="274" w:lineRule="auto"/>
        <w:tabs>
          <w:tab w:leader="none" w:pos="1763"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Documentation</w:t>
      </w:r>
      <w:r>
        <w:rPr>
          <w:rFonts w:ascii="Arial" w:cs="Arial" w:eastAsia="Arial" w:hAnsi="Arial"/>
          <w:sz w:val="21"/>
          <w:szCs w:val="21"/>
          <w:color w:val="auto"/>
        </w:rPr>
        <w:t>. Each Award shall be evidenced in such form (written, electronic or otherwise) as the Board shall determine. Each Award may contain terms and conditions in addition to those set forth in the Plan.</w:t>
      </w:r>
    </w:p>
    <w:p>
      <w:pPr>
        <w:spacing w:after="0" w:line="150" w:lineRule="exact"/>
        <w:rPr>
          <w:rFonts w:ascii="Arial" w:cs="Arial" w:eastAsia="Arial" w:hAnsi="Arial"/>
          <w:sz w:val="21"/>
          <w:szCs w:val="21"/>
          <w:color w:val="auto"/>
        </w:rPr>
      </w:pPr>
    </w:p>
    <w:p>
      <w:pPr>
        <w:jc w:val="both"/>
        <w:ind w:right="20" w:firstLine="872"/>
        <w:spacing w:after="0" w:line="287" w:lineRule="auto"/>
        <w:tabs>
          <w:tab w:leader="none" w:pos="1751"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Termination of Status</w:t>
      </w:r>
      <w:r>
        <w:rPr>
          <w:rFonts w:ascii="Arial" w:cs="Arial" w:eastAsia="Arial" w:hAnsi="Arial"/>
          <w:sz w:val="19"/>
          <w:szCs w:val="19"/>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spacing w:after="0" w:line="142" w:lineRule="exact"/>
        <w:rPr>
          <w:rFonts w:ascii="Arial" w:cs="Arial" w:eastAsia="Arial" w:hAnsi="Arial"/>
          <w:sz w:val="19"/>
          <w:szCs w:val="19"/>
          <w:color w:val="auto"/>
        </w:rPr>
      </w:pPr>
    </w:p>
    <w:p>
      <w:pPr>
        <w:ind w:firstLine="872"/>
        <w:spacing w:after="0" w:line="267" w:lineRule="auto"/>
        <w:tabs>
          <w:tab w:leader="none" w:pos="1763"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w:t>
      </w:r>
    </w:p>
    <w:p>
      <w:pPr>
        <w:spacing w:after="0" w:line="16" w:lineRule="exact"/>
        <w:rPr>
          <w:rFonts w:ascii="Arial" w:cs="Arial" w:eastAsia="Arial" w:hAnsi="Arial"/>
          <w:sz w:val="19"/>
          <w:szCs w:val="19"/>
          <w:color w:val="auto"/>
        </w:rPr>
      </w:pPr>
    </w:p>
    <w:p>
      <w:pPr>
        <w:spacing w:after="0" w:line="236" w:lineRule="auto"/>
        <w:rPr>
          <w:rFonts w:ascii="Arial" w:cs="Arial" w:eastAsia="Arial" w:hAnsi="Arial"/>
          <w:sz w:val="19"/>
          <w:szCs w:val="19"/>
          <w:color w:val="auto"/>
        </w:rPr>
      </w:pPr>
      <w:r>
        <w:rPr>
          <w:rFonts w:ascii="Arial" w:cs="Arial" w:eastAsia="Arial" w:hAnsi="Arial"/>
          <w:sz w:val="22"/>
          <w:szCs w:val="22"/>
          <w:color w:val="auto"/>
        </w:rPr>
        <w:t>Award. Shares used to satisfy tax withholding requirements cannot be subject to any repurchase, forfeiture, unfulfilled vesting or other similar requirements.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213" w:name="page214"/>
    <w:bookmarkEnd w:id="213"/>
    <w:p>
      <w:pPr>
        <w:ind w:right="120" w:firstLine="872"/>
        <w:spacing w:after="0" w:line="270" w:lineRule="auto"/>
        <w:tabs>
          <w:tab w:leader="none" w:pos="1751"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Amendment of Award</w:t>
      </w:r>
      <w:r>
        <w:rPr>
          <w:rFonts w:ascii="Arial" w:cs="Arial" w:eastAsia="Arial" w:hAnsi="Arial"/>
          <w:sz w:val="19"/>
          <w:szCs w:val="19"/>
          <w:color w:val="auto"/>
        </w:rPr>
        <w:t>. Except as otherwise provided in Sections 5(g) and 6(e) related to repricings,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w:t>
      </w:r>
    </w:p>
    <w:p>
      <w:pPr>
        <w:spacing w:after="0" w:line="4" w:lineRule="exact"/>
        <w:rPr>
          <w:rFonts w:ascii="Arial" w:cs="Arial" w:eastAsia="Arial" w:hAnsi="Arial"/>
          <w:sz w:val="19"/>
          <w:szCs w:val="19"/>
          <w:color w:val="auto"/>
        </w:rPr>
      </w:pPr>
    </w:p>
    <w:p>
      <w:pPr>
        <w:ind w:left="320" w:hanging="312"/>
        <w:spacing w:after="0"/>
        <w:tabs>
          <w:tab w:leader="none" w:pos="3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change is permitted under Section 10.</w:t>
      </w:r>
    </w:p>
    <w:p>
      <w:pPr>
        <w:spacing w:after="0" w:line="188" w:lineRule="exact"/>
        <w:rPr>
          <w:rFonts w:ascii="Arial" w:cs="Arial" w:eastAsia="Arial" w:hAnsi="Arial"/>
          <w:sz w:val="22"/>
          <w:szCs w:val="22"/>
          <w:color w:val="auto"/>
        </w:rPr>
      </w:pPr>
    </w:p>
    <w:p>
      <w:pPr>
        <w:ind w:firstLine="872"/>
        <w:spacing w:after="0" w:line="277" w:lineRule="auto"/>
        <w:tabs>
          <w:tab w:leader="none" w:pos="1727" w:val="left"/>
        </w:tabs>
        <w:numPr>
          <w:ilvl w:val="1"/>
          <w:numId w:val="144"/>
        </w:numPr>
        <w:rPr>
          <w:rFonts w:ascii="Arial" w:cs="Arial" w:eastAsia="Arial" w:hAnsi="Arial"/>
          <w:sz w:val="19"/>
          <w:szCs w:val="19"/>
          <w:color w:val="auto"/>
        </w:rPr>
      </w:pPr>
      <w:r>
        <w:rPr>
          <w:rFonts w:ascii="Arial" w:cs="Arial" w:eastAsia="Arial" w:hAnsi="Arial"/>
          <w:sz w:val="19"/>
          <w:szCs w:val="19"/>
          <w:u w:val="single" w:color="auto"/>
          <w:color w:val="auto"/>
        </w:rPr>
        <w:t>Conditions on Delivery of Stock</w:t>
      </w:r>
      <w:r>
        <w:rPr>
          <w:rFonts w:ascii="Arial" w:cs="Arial" w:eastAsia="Arial" w:hAnsi="Arial"/>
          <w:sz w:val="19"/>
          <w:szCs w:val="19"/>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51" w:lineRule="exact"/>
        <w:rPr>
          <w:rFonts w:ascii="Arial" w:cs="Arial" w:eastAsia="Arial" w:hAnsi="Arial"/>
          <w:sz w:val="19"/>
          <w:szCs w:val="19"/>
          <w:color w:val="auto"/>
        </w:rPr>
      </w:pPr>
    </w:p>
    <w:p>
      <w:pPr>
        <w:jc w:val="both"/>
        <w:ind w:right="260" w:firstLine="872"/>
        <w:spacing w:after="0" w:line="328" w:lineRule="auto"/>
        <w:tabs>
          <w:tab w:leader="none" w:pos="1763" w:val="left"/>
        </w:tabs>
        <w:numPr>
          <w:ilvl w:val="1"/>
          <w:numId w:val="144"/>
        </w:numPr>
        <w:rPr>
          <w:rFonts w:ascii="Arial" w:cs="Arial" w:eastAsia="Arial" w:hAnsi="Arial"/>
          <w:sz w:val="19"/>
          <w:szCs w:val="19"/>
          <w:color w:val="auto"/>
        </w:rPr>
      </w:pPr>
      <w:r>
        <w:rPr>
          <w:rFonts w:ascii="Arial" w:cs="Arial" w:eastAsia="Arial" w:hAnsi="Arial"/>
          <w:sz w:val="19"/>
          <w:szCs w:val="19"/>
          <w:u w:val="single" w:color="auto"/>
          <w:color w:val="auto"/>
        </w:rPr>
        <w:t>Acceleration</w:t>
      </w:r>
      <w:r>
        <w:rPr>
          <w:rFonts w:ascii="Arial" w:cs="Arial" w:eastAsia="Arial" w:hAnsi="Arial"/>
          <w:sz w:val="19"/>
          <w:szCs w:val="19"/>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105" w:lineRule="exact"/>
        <w:rPr>
          <w:sz w:val="20"/>
          <w:szCs w:val="20"/>
          <w:color w:val="auto"/>
        </w:rPr>
      </w:pPr>
    </w:p>
    <w:p>
      <w:pPr>
        <w:ind w:left="920" w:hanging="912"/>
        <w:spacing w:after="0"/>
        <w:tabs>
          <w:tab w:leader="none" w:pos="92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06" w:lineRule="exact"/>
        <w:rPr>
          <w:rFonts w:ascii="Arial" w:cs="Arial" w:eastAsia="Arial" w:hAnsi="Arial"/>
          <w:sz w:val="22"/>
          <w:szCs w:val="22"/>
          <w:color w:val="auto"/>
        </w:rPr>
      </w:pPr>
    </w:p>
    <w:p>
      <w:pPr>
        <w:ind w:right="240" w:firstLine="872"/>
        <w:spacing w:after="0" w:line="236" w:lineRule="auto"/>
        <w:tabs>
          <w:tab w:leader="none" w:pos="1751" w:val="left"/>
        </w:tabs>
        <w:numPr>
          <w:ilvl w:val="1"/>
          <w:numId w:val="145"/>
        </w:numPr>
        <w:rPr>
          <w:rFonts w:ascii="Arial" w:cs="Arial" w:eastAsia="Arial" w:hAnsi="Arial"/>
          <w:sz w:val="22"/>
          <w:szCs w:val="22"/>
          <w:color w:val="auto"/>
        </w:rPr>
      </w:pPr>
      <w:r>
        <w:rPr>
          <w:rFonts w:ascii="Arial" w:cs="Arial" w:eastAsia="Arial" w:hAnsi="Arial"/>
          <w:sz w:val="22"/>
          <w:szCs w:val="22"/>
          <w:u w:val="single" w:color="auto"/>
          <w:color w:val="auto"/>
        </w:rPr>
        <w:t>No Right To Employment or Other Status</w:t>
      </w:r>
      <w:r>
        <w:rPr>
          <w:rFonts w:ascii="Arial" w:cs="Arial" w:eastAsia="Arial" w:hAnsi="Arial"/>
          <w:sz w:val="22"/>
          <w:szCs w:val="22"/>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87" w:lineRule="exact"/>
        <w:rPr>
          <w:rFonts w:ascii="Arial" w:cs="Arial" w:eastAsia="Arial" w:hAnsi="Arial"/>
          <w:sz w:val="22"/>
          <w:szCs w:val="22"/>
          <w:color w:val="auto"/>
        </w:rPr>
      </w:pPr>
    </w:p>
    <w:p>
      <w:pPr>
        <w:ind w:right="240" w:firstLine="872"/>
        <w:spacing w:after="0" w:line="287" w:lineRule="auto"/>
        <w:tabs>
          <w:tab w:leader="none" w:pos="1763" w:val="left"/>
        </w:tabs>
        <w:numPr>
          <w:ilvl w:val="1"/>
          <w:numId w:val="145"/>
        </w:numPr>
        <w:rPr>
          <w:rFonts w:ascii="Arial" w:cs="Arial" w:eastAsia="Arial" w:hAnsi="Arial"/>
          <w:sz w:val="19"/>
          <w:szCs w:val="19"/>
          <w:color w:val="auto"/>
        </w:rPr>
      </w:pPr>
      <w:r>
        <w:rPr>
          <w:rFonts w:ascii="Arial" w:cs="Arial" w:eastAsia="Arial" w:hAnsi="Arial"/>
          <w:sz w:val="19"/>
          <w:szCs w:val="19"/>
          <w:u w:val="single" w:color="auto"/>
          <w:color w:val="auto"/>
        </w:rPr>
        <w:t>No Rights As Stockholder; Clawback</w:t>
      </w:r>
      <w:r>
        <w:rPr>
          <w:rFonts w:ascii="Arial" w:cs="Arial" w:eastAsia="Arial" w:hAnsi="Arial"/>
          <w:sz w:val="19"/>
          <w:szCs w:val="19"/>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the Participant agrees to be bound by any clawback policy that the Company has in effect or may adopt in the future.</w:t>
      </w:r>
    </w:p>
    <w:p>
      <w:pPr>
        <w:spacing w:after="0" w:line="142" w:lineRule="exact"/>
        <w:rPr>
          <w:rFonts w:ascii="Arial" w:cs="Arial" w:eastAsia="Arial" w:hAnsi="Arial"/>
          <w:sz w:val="19"/>
          <w:szCs w:val="19"/>
          <w:color w:val="auto"/>
        </w:rPr>
      </w:pPr>
    </w:p>
    <w:p>
      <w:pPr>
        <w:ind w:right="20" w:firstLine="872"/>
        <w:spacing w:after="0"/>
        <w:tabs>
          <w:tab w:leader="none" w:pos="1751" w:val="left"/>
        </w:tabs>
        <w:numPr>
          <w:ilvl w:val="1"/>
          <w:numId w:val="145"/>
        </w:numPr>
        <w:rPr>
          <w:rFonts w:ascii="Arial" w:cs="Arial" w:eastAsia="Arial" w:hAnsi="Arial"/>
          <w:sz w:val="22"/>
          <w:szCs w:val="22"/>
          <w:color w:val="auto"/>
        </w:rPr>
      </w:pPr>
      <w:r>
        <w:rPr>
          <w:rFonts w:ascii="Arial" w:cs="Arial" w:eastAsia="Arial" w:hAnsi="Arial"/>
          <w:sz w:val="22"/>
          <w:szCs w:val="22"/>
          <w:u w:val="single" w:color="auto"/>
          <w:color w:val="auto"/>
        </w:rPr>
        <w:t>Effective Date and Term of Plan</w:t>
      </w:r>
      <w:r>
        <w:rPr>
          <w:rFonts w:ascii="Arial" w:cs="Arial" w:eastAsia="Arial" w:hAnsi="Arial"/>
          <w:sz w:val="22"/>
          <w:szCs w:val="22"/>
          <w:color w:val="auto"/>
        </w:rPr>
        <w:t>. The Plan shall become effective on the Effective Date. No Awards shall be granted under the Plan after the expiration of 10 years from the Effective Date, but Awards previously granted may extend beyond that date.</w:t>
      </w:r>
    </w:p>
    <w:p>
      <w:pPr>
        <w:spacing w:after="0" w:line="186" w:lineRule="exact"/>
        <w:rPr>
          <w:rFonts w:ascii="Arial" w:cs="Arial" w:eastAsia="Arial" w:hAnsi="Arial"/>
          <w:sz w:val="22"/>
          <w:szCs w:val="22"/>
          <w:color w:val="auto"/>
        </w:rPr>
      </w:pPr>
    </w:p>
    <w:p>
      <w:pPr>
        <w:ind w:firstLine="872"/>
        <w:spacing w:after="0" w:line="252" w:lineRule="auto"/>
        <w:tabs>
          <w:tab w:leader="none" w:pos="1763" w:val="left"/>
        </w:tabs>
        <w:numPr>
          <w:ilvl w:val="1"/>
          <w:numId w:val="145"/>
        </w:numPr>
        <w:rPr>
          <w:rFonts w:ascii="Arial" w:cs="Arial" w:eastAsia="Arial" w:hAnsi="Arial"/>
          <w:sz w:val="21"/>
          <w:szCs w:val="21"/>
          <w:color w:val="auto"/>
        </w:rPr>
      </w:pPr>
      <w:r>
        <w:rPr>
          <w:rFonts w:ascii="Arial" w:cs="Arial" w:eastAsia="Arial" w:hAnsi="Arial"/>
          <w:sz w:val="21"/>
          <w:szCs w:val="21"/>
          <w:u w:val="single" w:color="auto"/>
          <w:color w:val="auto"/>
        </w:rPr>
        <w:t>Amendment of Plan</w:t>
      </w:r>
      <w:r>
        <w:rPr>
          <w:rFonts w:ascii="Arial" w:cs="Arial" w:eastAsia="Arial" w:hAnsi="Arial"/>
          <w:sz w:val="21"/>
          <w:szCs w:val="21"/>
          <w:color w:val="auto"/>
        </w:rPr>
        <w:t>. The Board may amend, suspend or terminate the Plan or any portion thereof at any time provided that (i) neither Section 5(g) nor 6(e) requiring stockholder approval of any option or SAR repricing may be amended without stockholder approval; (ii) no amendment that would require stockholder approval under the rules of the national securities exchange on which the Company then maintains its primary listing may be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4" w:name="page215"/>
    <w:bookmarkEnd w:id="214"/>
    <w:p>
      <w:pPr>
        <w:ind w:right="20"/>
        <w:spacing w:after="0" w:line="271" w:lineRule="auto"/>
        <w:rPr>
          <w:sz w:val="20"/>
          <w:szCs w:val="20"/>
          <w:color w:val="auto"/>
        </w:rPr>
      </w:pPr>
      <w:r>
        <w:rPr>
          <w:rFonts w:ascii="Arial" w:cs="Arial" w:eastAsia="Arial" w:hAnsi="Arial"/>
          <w:sz w:val="19"/>
          <w:szCs w:val="19"/>
          <w:color w:val="auto"/>
        </w:rPr>
        <w:t>made effective unless and until the Company’s stockholders approve such amendment; and (iii)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4(c)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spacing w:after="0" w:line="200" w:lineRule="exact"/>
        <w:rPr>
          <w:sz w:val="20"/>
          <w:szCs w:val="20"/>
          <w:color w:val="auto"/>
        </w:rPr>
      </w:pPr>
    </w:p>
    <w:p>
      <w:pPr>
        <w:spacing w:after="0" w:line="203" w:lineRule="exact"/>
        <w:rPr>
          <w:sz w:val="20"/>
          <w:szCs w:val="20"/>
          <w:color w:val="auto"/>
        </w:rPr>
      </w:pPr>
    </w:p>
    <w:p>
      <w:pPr>
        <w:ind w:firstLine="872"/>
        <w:spacing w:after="0" w:line="234" w:lineRule="auto"/>
        <w:tabs>
          <w:tab w:leader="none" w:pos="1751"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Authorization of Sub-Plans (including for Grants to non-U.S. Employees)</w:t>
      </w:r>
      <w:r>
        <w:rPr>
          <w:rFonts w:ascii="Arial" w:cs="Arial" w:eastAsia="Arial" w:hAnsi="Arial"/>
          <w:sz w:val="22"/>
          <w:szCs w:val="22"/>
          <w:color w:val="auto"/>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86" w:lineRule="exact"/>
        <w:rPr>
          <w:rFonts w:ascii="Arial" w:cs="Arial" w:eastAsia="Arial" w:hAnsi="Arial"/>
          <w:sz w:val="22"/>
          <w:szCs w:val="22"/>
          <w:color w:val="auto"/>
        </w:rPr>
      </w:pPr>
    </w:p>
    <w:p>
      <w:pPr>
        <w:ind w:firstLine="872"/>
        <w:spacing w:after="0" w:line="273" w:lineRule="auto"/>
        <w:tabs>
          <w:tab w:leader="none" w:pos="1727"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 of the Code</w:t>
      </w:r>
      <w:r>
        <w:rPr>
          <w:rFonts w:ascii="Arial" w:cs="Arial" w:eastAsia="Arial" w:hAnsi="Arial"/>
          <w:sz w:val="19"/>
          <w:szCs w:val="19"/>
          <w:color w:val="auto"/>
        </w:rPr>
        <w: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Arial" w:cs="Arial" w:eastAsia="Arial" w:hAnsi="Arial"/>
          <w:sz w:val="19"/>
          <w:szCs w:val="19"/>
          <w:b w:val="1"/>
          <w:bCs w:val="1"/>
          <w:i w:val="1"/>
          <w:iCs w:val="1"/>
          <w:color w:val="auto"/>
        </w:rPr>
        <w:t>New Payment Date</w:t>
      </w:r>
      <w:r>
        <w:rPr>
          <w:rFonts w:ascii="Arial" w:cs="Arial" w:eastAsia="Arial" w:hAnsi="Arial"/>
          <w:sz w:val="19"/>
          <w:szCs w:val="19"/>
          <w:color w:val="auto"/>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15" w:name="page216"/>
    <w:bookmarkEnd w:id="215"/>
    <w:p>
      <w:pPr>
        <w:jc w:val="both"/>
        <w:ind w:right="120" w:firstLine="864"/>
        <w:spacing w:after="0" w:line="257" w:lineRule="auto"/>
        <w:rPr>
          <w:sz w:val="20"/>
          <w:szCs w:val="20"/>
          <w:color w:val="auto"/>
        </w:rPr>
      </w:pPr>
      <w:r>
        <w:rPr>
          <w:rFonts w:ascii="Arial" w:cs="Arial" w:eastAsia="Arial" w:hAnsi="Arial"/>
          <w:sz w:val="21"/>
          <w:szCs w:val="21"/>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spacing w:after="0" w:line="169" w:lineRule="exact"/>
        <w:rPr>
          <w:sz w:val="20"/>
          <w:szCs w:val="20"/>
          <w:color w:val="auto"/>
        </w:rPr>
      </w:pPr>
    </w:p>
    <w:p>
      <w:pPr>
        <w:ind w:firstLine="872"/>
        <w:spacing w:after="0" w:line="245" w:lineRule="auto"/>
        <w:tabs>
          <w:tab w:leader="none" w:pos="1763"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Limitations on Liability</w:t>
      </w:r>
      <w:r>
        <w:rPr>
          <w:rFonts w:ascii="Arial" w:cs="Arial" w:eastAsia="Arial" w:hAnsi="Arial"/>
          <w:sz w:val="21"/>
          <w:szCs w:val="21"/>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84" w:lineRule="exact"/>
        <w:rPr>
          <w:rFonts w:ascii="Arial" w:cs="Arial" w:eastAsia="Arial" w:hAnsi="Arial"/>
          <w:sz w:val="21"/>
          <w:szCs w:val="21"/>
          <w:color w:val="auto"/>
        </w:rPr>
      </w:pPr>
    </w:p>
    <w:p>
      <w:pPr>
        <w:ind w:right="140" w:firstLine="872"/>
        <w:spacing w:after="0"/>
        <w:tabs>
          <w:tab w:leader="none" w:pos="1763"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6" w:name="page217"/>
    <w:bookmarkEnd w:id="216"/>
    <w:p>
      <w:pPr>
        <w:ind w:left="4420"/>
        <w:spacing w:after="0"/>
        <w:rPr>
          <w:sz w:val="20"/>
          <w:szCs w:val="20"/>
          <w:color w:val="auto"/>
        </w:rPr>
      </w:pPr>
      <w:r>
        <w:rPr>
          <w:rFonts w:ascii="Arial" w:cs="Arial" w:eastAsia="Arial" w:hAnsi="Arial"/>
          <w:sz w:val="22"/>
          <w:szCs w:val="22"/>
          <w:b w:val="1"/>
          <w:bCs w:val="1"/>
          <w:u w:val="single" w:color="auto"/>
          <w:color w:val="auto"/>
        </w:rPr>
        <w:t>AMENDMENT NO. 1 TO</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22"/>
          <w:szCs w:val="22"/>
          <w:b w:val="1"/>
          <w:bCs w:val="1"/>
          <w:u w:val="single" w:color="auto"/>
          <w:color w:val="auto"/>
        </w:rPr>
        <w:t>2020 STOCK INCENTIVE PLAN</w:t>
      </w:r>
    </w:p>
    <w:p>
      <w:pPr>
        <w:ind w:left="440"/>
        <w:spacing w:after="0"/>
        <w:rPr>
          <w:sz w:val="20"/>
          <w:szCs w:val="20"/>
          <w:color w:val="auto"/>
        </w:rPr>
      </w:pPr>
      <w:r>
        <w:rPr>
          <w:rFonts w:ascii="Arial" w:cs="Arial" w:eastAsia="Arial" w:hAnsi="Arial"/>
          <w:sz w:val="22"/>
          <w:szCs w:val="22"/>
          <w:color w:val="auto"/>
        </w:rPr>
        <w:t>The 2020 Stock Incentive Plan (the “Plan”) of Solid Biosciences Inc. is hereby amended as follows:</w:t>
      </w:r>
    </w:p>
    <w:p>
      <w:pPr>
        <w:spacing w:after="0" w:line="188" w:lineRule="exact"/>
        <w:rPr>
          <w:sz w:val="20"/>
          <w:szCs w:val="20"/>
          <w:color w:val="auto"/>
        </w:rPr>
      </w:pPr>
    </w:p>
    <w:p>
      <w:pPr>
        <w:ind w:firstLine="440"/>
        <w:spacing w:after="0" w:line="250" w:lineRule="auto"/>
        <w:tabs>
          <w:tab w:leader="none" w:pos="702" w:val="left"/>
        </w:tabs>
        <w:numPr>
          <w:ilvl w:val="0"/>
          <w:numId w:val="148"/>
        </w:numPr>
        <w:rPr>
          <w:rFonts w:ascii="Arial" w:cs="Arial" w:eastAsia="Arial" w:hAnsi="Arial"/>
          <w:sz w:val="22"/>
          <w:szCs w:val="22"/>
          <w:color w:val="auto"/>
        </w:rPr>
      </w:pPr>
      <w:r>
        <w:rPr>
          <w:rFonts w:ascii="Arial" w:cs="Arial" w:eastAsia="Arial" w:hAnsi="Arial"/>
          <w:sz w:val="22"/>
          <w:szCs w:val="22"/>
          <w:color w:val="auto"/>
        </w:rPr>
        <w:t>Section 4(a)(1)(A) of the Plan is hereby deleted and a new Section 4(a)(1)(A) is inserted in lieu thereof which shall read as follows:</w:t>
      </w:r>
    </w:p>
    <w:p>
      <w:pPr>
        <w:spacing w:after="0" w:line="175" w:lineRule="exact"/>
        <w:rPr>
          <w:sz w:val="20"/>
          <w:szCs w:val="20"/>
          <w:color w:val="auto"/>
        </w:rPr>
      </w:pPr>
    </w:p>
    <w:p>
      <w:pPr>
        <w:ind w:left="1660"/>
        <w:spacing w:after="0"/>
        <w:tabs>
          <w:tab w:leader="none" w:pos="22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10,000,000 shares of Common Stock; plus”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Except as set forth above, the remainder of the Plan remains in full force and effect.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Adopted by the Board of Directors on April 27,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Approved by the Stockholders on June 16, 2021.</w:t>
      </w: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080"/>
          </w:cols>
          <w:pgMar w:left="320" w:top="976" w:right="499" w:bottom="1440" w:gutter="0" w:footer="0" w:header="0"/>
        </w:sectPr>
      </w:pPr>
    </w:p>
    <w:bookmarkStart w:id="217" w:name="page218"/>
    <w:bookmarkEnd w:id="217"/>
    <w:p>
      <w:pPr>
        <w:jc w:val="right"/>
        <w:ind w:right="20"/>
        <w:spacing w:after="0"/>
        <w:rPr>
          <w:sz w:val="20"/>
          <w:szCs w:val="20"/>
          <w:color w:val="auto"/>
        </w:rPr>
      </w:pPr>
      <w:r>
        <w:rPr>
          <w:rFonts w:ascii="Arial" w:cs="Arial" w:eastAsia="Arial" w:hAnsi="Arial"/>
          <w:sz w:val="22"/>
          <w:szCs w:val="22"/>
          <w:b w:val="1"/>
          <w:bCs w:val="1"/>
          <w:color w:val="auto"/>
        </w:rPr>
        <w:t>Exhibit 10.28</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SOLID BIOSCIENCES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RESTRICTED STOCK UNIT AGREEMENT</w:t>
      </w:r>
    </w:p>
    <w:p>
      <w:pPr>
        <w:spacing w:after="0" w:line="188" w:lineRule="exact"/>
        <w:rPr>
          <w:sz w:val="20"/>
          <w:szCs w:val="20"/>
          <w:color w:val="auto"/>
        </w:rPr>
      </w:pPr>
    </w:p>
    <w:p>
      <w:pPr>
        <w:ind w:right="240" w:firstLine="864"/>
        <w:spacing w:after="0" w:line="250" w:lineRule="auto"/>
        <w:rPr>
          <w:sz w:val="20"/>
          <w:szCs w:val="20"/>
          <w:color w:val="auto"/>
        </w:rPr>
      </w:pPr>
      <w:r>
        <w:rPr>
          <w:rFonts w:ascii="Arial" w:cs="Arial" w:eastAsia="Arial" w:hAnsi="Arial"/>
          <w:sz w:val="22"/>
          <w:szCs w:val="22"/>
          <w:color w:val="auto"/>
        </w:rPr>
        <w:t>Solid Biosciences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hereby grants the following restricted stock units pursuant to its 2020 Equity Incentive Plan. The terms and conditions attached hereto are also a part hereof.</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Notice of Grant</w:t>
      </w:r>
    </w:p>
    <w:p>
      <w:pPr>
        <w:spacing w:after="0" w:line="220" w:lineRule="exact"/>
        <w:rPr>
          <w:sz w:val="20"/>
          <w:szCs w:val="20"/>
          <w:color w:val="auto"/>
        </w:rPr>
      </w:pPr>
    </w:p>
    <w:p>
      <w:pPr>
        <w:ind w:left="80"/>
        <w:spacing w:after="0"/>
        <w:rPr>
          <w:sz w:val="20"/>
          <w:szCs w:val="20"/>
          <w:color w:val="auto"/>
        </w:rPr>
      </w:pPr>
      <w:r>
        <w:rPr>
          <w:rFonts w:ascii="Arial" w:cs="Arial" w:eastAsia="Arial" w:hAnsi="Arial"/>
          <w:sz w:val="22"/>
          <w:szCs w:val="22"/>
          <w:color w:val="auto"/>
        </w:rPr>
        <w:t>Name of recipient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6597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7132320" cy="65976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22"/>
          <w:szCs w:val="22"/>
          <w:color w:val="auto"/>
        </w:rPr>
        <w:t>Grant Date:</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color w:val="auto"/>
        </w:rPr>
        <w:t>Number of restricted stock units (“</w:t>
      </w:r>
      <w:r>
        <w:rPr>
          <w:rFonts w:ascii="Arial" w:cs="Arial" w:eastAsia="Arial" w:hAnsi="Arial"/>
          <w:sz w:val="22"/>
          <w:szCs w:val="22"/>
          <w:u w:val="single" w:color="auto"/>
          <w:color w:val="auto"/>
        </w:rPr>
        <w:t>RSUs</w:t>
      </w:r>
      <w:r>
        <w:rPr>
          <w:rFonts w:ascii="Arial" w:cs="Arial" w:eastAsia="Arial" w:hAnsi="Arial"/>
          <w:sz w:val="22"/>
          <w:szCs w:val="22"/>
          <w:color w:val="auto"/>
        </w:rPr>
        <w:t>”) granted:</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color w:val="auto"/>
        </w:rPr>
        <w:t>Vesting Start Date:</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144145</wp:posOffset>
            </wp:positionV>
            <wp:extent cx="7132320" cy="6261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7132320" cy="626110"/>
                    </a:xfrm>
                    <a:prstGeom prst="rect">
                      <a:avLst/>
                    </a:prstGeom>
                    <a:noFill/>
                  </pic:spPr>
                </pic:pic>
              </a:graphicData>
            </a:graphic>
          </wp:anchor>
        </w:drawing>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 w:type="dxa"/>
            <w:vAlign w:val="bottom"/>
            <w:tcBorders>
              <w:top w:val="single" w:sz="8" w:color="auto"/>
            </w:tcBorders>
          </w:tcPr>
          <w:p>
            <w:pPr>
              <w:spacing w:after="0"/>
              <w:rPr>
                <w:sz w:val="18"/>
                <w:szCs w:val="18"/>
                <w:color w:val="auto"/>
              </w:rPr>
            </w:pPr>
          </w:p>
        </w:tc>
        <w:tc>
          <w:tcPr>
            <w:tcW w:w="5600" w:type="dxa"/>
            <w:vAlign w:val="bottom"/>
            <w:tcBorders>
              <w:top w:val="single" w:sz="8" w:color="auto"/>
            </w:tcBorders>
            <w:gridSpan w:val="2"/>
          </w:tcPr>
          <w:p>
            <w:pPr>
              <w:spacing w:after="0" w:line="216" w:lineRule="exact"/>
              <w:rPr>
                <w:sz w:val="20"/>
                <w:szCs w:val="20"/>
                <w:color w:val="auto"/>
              </w:rPr>
            </w:pPr>
            <w:r>
              <w:rPr>
                <w:rFonts w:ascii="Arial" w:cs="Arial" w:eastAsia="Arial" w:hAnsi="Arial"/>
                <w:sz w:val="22"/>
                <w:szCs w:val="22"/>
                <w:color w:val="auto"/>
              </w:rPr>
              <w:t>Vesting Date:</w:t>
            </w:r>
          </w:p>
        </w:tc>
        <w:tc>
          <w:tcPr>
            <w:tcW w:w="5580" w:type="dxa"/>
            <w:vAlign w:val="bottom"/>
            <w:tcBorders>
              <w:top w:val="single" w:sz="8" w:color="auto"/>
            </w:tcBorders>
            <w:gridSpan w:val="2"/>
          </w:tcPr>
          <w:p>
            <w:pPr>
              <w:spacing w:after="0" w:line="216" w:lineRule="exact"/>
              <w:rPr>
                <w:sz w:val="20"/>
                <w:szCs w:val="20"/>
                <w:color w:val="auto"/>
              </w:rPr>
            </w:pPr>
            <w:r>
              <w:rPr>
                <w:rFonts w:ascii="Arial" w:cs="Arial" w:eastAsia="Arial" w:hAnsi="Arial"/>
                <w:sz w:val="22"/>
                <w:szCs w:val="22"/>
                <w:color w:val="auto"/>
              </w:rPr>
              <w:t>Number of RSUs that Vest:</w:t>
            </w:r>
          </w:p>
        </w:tc>
      </w:tr>
      <w:tr>
        <w:trPr>
          <w:trHeight w:val="20"/>
        </w:trPr>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Arial" w:cs="Arial" w:eastAsia="Arial" w:hAnsi="Arial"/>
          <w:sz w:val="22"/>
          <w:szCs w:val="22"/>
          <w:color w:val="auto"/>
        </w:rPr>
        <w:t>All vesting is dependent on the Participant remaining an Eligible Participant, as provided herein.</w:t>
      </w:r>
    </w:p>
    <w:p>
      <w:pPr>
        <w:spacing w:after="0" w:line="220" w:lineRule="exact"/>
        <w:rPr>
          <w:sz w:val="20"/>
          <w:szCs w:val="20"/>
          <w:color w:val="auto"/>
        </w:rPr>
      </w:pPr>
    </w:p>
    <w:p>
      <w:pPr>
        <w:ind w:right="780" w:firstLine="864"/>
        <w:spacing w:after="0" w:line="250" w:lineRule="auto"/>
        <w:rPr>
          <w:sz w:val="20"/>
          <w:szCs w:val="20"/>
          <w:color w:val="auto"/>
        </w:rPr>
      </w:pPr>
      <w:r>
        <w:rPr>
          <w:rFonts w:ascii="Arial" w:cs="Arial" w:eastAsia="Arial" w:hAnsi="Arial"/>
          <w:sz w:val="22"/>
          <w:szCs w:val="22"/>
          <w:color w:val="auto"/>
        </w:rPr>
        <w:t>This grant of RSUs satisfies in full all commitments that the Company has to the Participant with respect to the issuance of stock, stock options or other equity securities.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520" w:type="dxa"/>
            <w:vAlign w:val="bottom"/>
          </w:tcPr>
          <w:p>
            <w:pPr>
              <w:spacing w:after="0"/>
              <w:rPr>
                <w:sz w:val="23"/>
                <w:szCs w:val="23"/>
                <w:color w:val="auto"/>
              </w:rPr>
            </w:pPr>
          </w:p>
        </w:tc>
        <w:tc>
          <w:tcPr>
            <w:tcW w:w="5720" w:type="dxa"/>
            <w:vAlign w:val="bottom"/>
            <w:gridSpan w:val="2"/>
          </w:tcPr>
          <w:p>
            <w:pPr>
              <w:ind w:left="220"/>
              <w:spacing w:after="0"/>
              <w:rPr>
                <w:sz w:val="20"/>
                <w:szCs w:val="20"/>
                <w:color w:val="auto"/>
              </w:rPr>
            </w:pPr>
            <w:r>
              <w:rPr>
                <w:rFonts w:ascii="Arial" w:cs="Arial" w:eastAsia="Arial" w:hAnsi="Arial"/>
                <w:sz w:val="22"/>
                <w:szCs w:val="22"/>
                <w:color w:val="auto"/>
              </w:rPr>
              <w:t>SOLID BIOSCIENCES INC.</w:t>
            </w:r>
          </w:p>
        </w:tc>
        <w:tc>
          <w:tcPr>
            <w:tcW w:w="0" w:type="dxa"/>
            <w:vAlign w:val="bottom"/>
          </w:tcPr>
          <w:p>
            <w:pPr>
              <w:spacing w:after="0"/>
              <w:rPr>
                <w:sz w:val="1"/>
                <w:szCs w:val="1"/>
                <w:color w:val="auto"/>
              </w:rPr>
            </w:pPr>
          </w:p>
        </w:tc>
      </w:tr>
      <w:tr>
        <w:trPr>
          <w:trHeight w:val="206"/>
        </w:trPr>
        <w:tc>
          <w:tcPr>
            <w:tcW w:w="5520" w:type="dxa"/>
            <w:vAlign w:val="bottom"/>
            <w:tcBorders>
              <w:bottom w:val="single" w:sz="8" w:color="auto"/>
            </w:tcBorders>
          </w:tcPr>
          <w:p>
            <w:pPr>
              <w:spacing w:after="0"/>
              <w:rPr>
                <w:sz w:val="17"/>
                <w:szCs w:val="17"/>
                <w:color w:val="auto"/>
              </w:rPr>
            </w:pPr>
          </w:p>
        </w:tc>
        <w:tc>
          <w:tcPr>
            <w:tcW w:w="5720" w:type="dxa"/>
            <w:vAlign w:val="bottom"/>
            <w:gridSpan w:val="2"/>
            <w:vMerge w:val="restart"/>
          </w:tcPr>
          <w:p>
            <w:pPr>
              <w:ind w:left="220"/>
              <w:spacing w:after="0"/>
              <w:rPr>
                <w:sz w:val="20"/>
                <w:szCs w:val="20"/>
                <w:color w:val="auto"/>
              </w:rPr>
            </w:pPr>
            <w:r>
              <w:rPr>
                <w:rFonts w:ascii="Arial" w:cs="Arial" w:eastAsia="Arial" w:hAnsi="Arial"/>
                <w:sz w:val="22"/>
                <w:szCs w:val="22"/>
                <w:color w:val="auto"/>
              </w:rPr>
              <w:t>By:</w:t>
            </w:r>
          </w:p>
        </w:tc>
        <w:tc>
          <w:tcPr>
            <w:tcW w:w="0" w:type="dxa"/>
            <w:vAlign w:val="bottom"/>
          </w:tcPr>
          <w:p>
            <w:pPr>
              <w:spacing w:after="0"/>
              <w:rPr>
                <w:sz w:val="1"/>
                <w:szCs w:val="1"/>
                <w:color w:val="auto"/>
              </w:rPr>
            </w:pPr>
          </w:p>
        </w:tc>
      </w:tr>
      <w:tr>
        <w:trPr>
          <w:trHeight w:val="237"/>
        </w:trPr>
        <w:tc>
          <w:tcPr>
            <w:tcW w:w="5520" w:type="dxa"/>
            <w:vAlign w:val="bottom"/>
          </w:tcPr>
          <w:p>
            <w:pPr>
              <w:spacing w:after="0" w:line="237" w:lineRule="exact"/>
              <w:rPr>
                <w:sz w:val="20"/>
                <w:szCs w:val="20"/>
                <w:color w:val="auto"/>
              </w:rPr>
            </w:pPr>
            <w:r>
              <w:rPr>
                <w:rFonts w:ascii="Arial" w:cs="Arial" w:eastAsia="Arial" w:hAnsi="Arial"/>
                <w:sz w:val="22"/>
                <w:szCs w:val="22"/>
                <w:color w:val="auto"/>
              </w:rPr>
              <w:t>Signature of Participant</w:t>
            </w:r>
          </w:p>
        </w:tc>
        <w:tc>
          <w:tcPr>
            <w:tcW w:w="57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2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5040" w:type="dxa"/>
            <w:vAlign w:val="bottom"/>
            <w:tcBorders>
              <w:top w:val="single" w:sz="8" w:color="auto"/>
            </w:tcBorders>
          </w:tcPr>
          <w:p>
            <w:pPr>
              <w:spacing w:after="0" w:line="237" w:lineRule="exact"/>
              <w:rPr>
                <w:sz w:val="20"/>
                <w:szCs w:val="20"/>
                <w:color w:val="auto"/>
              </w:rPr>
            </w:pPr>
            <w:r>
              <w:rPr>
                <w:rFonts w:ascii="Arial" w:cs="Arial" w:eastAsia="Arial" w:hAnsi="Arial"/>
                <w:sz w:val="22"/>
                <w:szCs w:val="22"/>
                <w:color w:val="auto"/>
              </w:rPr>
              <w:t>Name of Officer</w:t>
            </w:r>
          </w:p>
        </w:tc>
        <w:tc>
          <w:tcPr>
            <w:tcW w:w="0" w:type="dxa"/>
            <w:vAlign w:val="bottom"/>
          </w:tcPr>
          <w:p>
            <w:pPr>
              <w:spacing w:after="0"/>
              <w:rPr>
                <w:sz w:val="1"/>
                <w:szCs w:val="1"/>
                <w:color w:val="auto"/>
              </w:rPr>
            </w:pPr>
          </w:p>
        </w:tc>
      </w:tr>
      <w:tr>
        <w:trPr>
          <w:trHeight w:val="268"/>
        </w:trPr>
        <w:tc>
          <w:tcPr>
            <w:tcW w:w="5520" w:type="dxa"/>
            <w:vAlign w:val="bottom"/>
          </w:tcPr>
          <w:p>
            <w:pPr>
              <w:spacing w:after="0"/>
              <w:rPr>
                <w:sz w:val="20"/>
                <w:szCs w:val="20"/>
                <w:color w:val="auto"/>
              </w:rPr>
            </w:pPr>
            <w:r>
              <w:rPr>
                <w:rFonts w:ascii="Arial" w:cs="Arial" w:eastAsia="Arial" w:hAnsi="Arial"/>
                <w:sz w:val="22"/>
                <w:szCs w:val="22"/>
                <w:color w:val="auto"/>
              </w:rPr>
              <w:t>Street Address</w:t>
            </w:r>
          </w:p>
        </w:tc>
        <w:tc>
          <w:tcPr>
            <w:tcW w:w="680" w:type="dxa"/>
            <w:vAlign w:val="bottom"/>
          </w:tcPr>
          <w:p>
            <w:pPr>
              <w:spacing w:after="0"/>
              <w:rPr>
                <w:sz w:val="23"/>
                <w:szCs w:val="23"/>
                <w:color w:val="auto"/>
              </w:rPr>
            </w:pPr>
          </w:p>
        </w:tc>
        <w:tc>
          <w:tcPr>
            <w:tcW w:w="5040" w:type="dxa"/>
            <w:vAlign w:val="bottom"/>
          </w:tcPr>
          <w:p>
            <w:pPr>
              <w:spacing w:after="0"/>
              <w:rPr>
                <w:sz w:val="20"/>
                <w:szCs w:val="20"/>
                <w:color w:val="auto"/>
              </w:rPr>
            </w:pPr>
            <w:r>
              <w:rPr>
                <w:rFonts w:ascii="Arial" w:cs="Arial" w:eastAsia="Arial" w:hAnsi="Arial"/>
                <w:sz w:val="22"/>
                <w:szCs w:val="22"/>
                <w:color w:val="auto"/>
              </w:rPr>
              <w:t>Title:</w:t>
            </w:r>
          </w:p>
        </w:tc>
        <w:tc>
          <w:tcPr>
            <w:tcW w:w="0" w:type="dxa"/>
            <w:vAlign w:val="bottom"/>
          </w:tcPr>
          <w:p>
            <w:pPr>
              <w:spacing w:after="0"/>
              <w:rPr>
                <w:sz w:val="1"/>
                <w:szCs w:val="1"/>
                <w:color w:val="auto"/>
              </w:rPr>
            </w:pPr>
          </w:p>
        </w:tc>
      </w:tr>
      <w:tr>
        <w:trPr>
          <w:trHeight w:val="185"/>
        </w:trPr>
        <w:tc>
          <w:tcPr>
            <w:tcW w:w="552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520" w:type="dxa"/>
            <w:vAlign w:val="bottom"/>
          </w:tcPr>
          <w:p>
            <w:pPr>
              <w:spacing w:after="0"/>
              <w:rPr>
                <w:sz w:val="20"/>
                <w:szCs w:val="20"/>
                <w:color w:val="auto"/>
              </w:rPr>
            </w:pPr>
            <w:r>
              <w:rPr>
                <w:rFonts w:ascii="Arial" w:cs="Arial" w:eastAsia="Arial" w:hAnsi="Arial"/>
                <w:sz w:val="22"/>
                <w:szCs w:val="22"/>
                <w:color w:val="auto"/>
              </w:rPr>
              <w:t>City/State/Zip Code</w:t>
            </w:r>
          </w:p>
        </w:tc>
        <w:tc>
          <w:tcPr>
            <w:tcW w:w="68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ActiveUS 179511573v.1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218" w:name="page219"/>
    <w:bookmarkEnd w:id="218"/>
    <w:p>
      <w:pPr>
        <w:ind w:left="4652"/>
        <w:spacing w:after="0"/>
        <w:rPr>
          <w:sz w:val="20"/>
          <w:szCs w:val="20"/>
          <w:color w:val="auto"/>
        </w:rPr>
      </w:pPr>
      <w:r>
        <w:rPr>
          <w:rFonts w:ascii="Arial" w:cs="Arial" w:eastAsia="Arial" w:hAnsi="Arial"/>
          <w:sz w:val="22"/>
          <w:szCs w:val="22"/>
          <w:color w:val="auto"/>
        </w:rPr>
        <w:t>Solid Biosciences Inc.</w:t>
      </w:r>
    </w:p>
    <w:p>
      <w:pPr>
        <w:spacing w:after="0" w:line="206" w:lineRule="exact"/>
        <w:rPr>
          <w:sz w:val="20"/>
          <w:szCs w:val="20"/>
          <w:color w:val="auto"/>
        </w:rPr>
      </w:pPr>
    </w:p>
    <w:p>
      <w:pPr>
        <w:ind w:left="4172"/>
        <w:spacing w:after="0"/>
        <w:rPr>
          <w:sz w:val="20"/>
          <w:szCs w:val="20"/>
          <w:color w:val="auto"/>
        </w:rPr>
      </w:pPr>
      <w:r>
        <w:rPr>
          <w:rFonts w:ascii="Arial" w:cs="Arial" w:eastAsia="Arial" w:hAnsi="Arial"/>
          <w:sz w:val="22"/>
          <w:szCs w:val="22"/>
          <w:color w:val="auto"/>
        </w:rPr>
        <w:t>Restricted Stock Unit Agreement</w:t>
      </w:r>
    </w:p>
    <w:p>
      <w:pPr>
        <w:spacing w:after="0" w:line="8" w:lineRule="exact"/>
        <w:rPr>
          <w:sz w:val="20"/>
          <w:szCs w:val="20"/>
          <w:color w:val="auto"/>
        </w:rPr>
      </w:pPr>
    </w:p>
    <w:p>
      <w:pPr>
        <w:jc w:val="center"/>
        <w:ind w:right="-11"/>
        <w:spacing w:after="0"/>
        <w:rPr>
          <w:sz w:val="20"/>
          <w:szCs w:val="20"/>
          <w:color w:val="auto"/>
        </w:rPr>
      </w:pPr>
      <w:r>
        <w:rPr>
          <w:rFonts w:ascii="Arial" w:cs="Arial" w:eastAsia="Arial" w:hAnsi="Arial"/>
          <w:sz w:val="22"/>
          <w:szCs w:val="22"/>
          <w:u w:val="single" w:color="auto"/>
          <w:color w:val="auto"/>
        </w:rPr>
        <w:t>Incorporated Terms and Conditions</w:t>
      </w:r>
    </w:p>
    <w:p>
      <w:pPr>
        <w:spacing w:after="0" w:line="188" w:lineRule="exact"/>
        <w:rPr>
          <w:sz w:val="20"/>
          <w:szCs w:val="20"/>
          <w:color w:val="auto"/>
        </w:rPr>
      </w:pPr>
    </w:p>
    <w:p>
      <w:pPr>
        <w:ind w:left="-8" w:right="80" w:firstLine="8"/>
        <w:spacing w:after="0" w:line="279" w:lineRule="auto"/>
        <w:tabs>
          <w:tab w:leader="none" w:pos="802"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Award of Restricted Stock Units</w:t>
      </w:r>
      <w:r>
        <w:rPr>
          <w:rFonts w:ascii="Arial" w:cs="Arial" w:eastAsia="Arial" w:hAnsi="Arial"/>
          <w:sz w:val="19"/>
          <w:szCs w:val="19"/>
          <w:color w:val="auto"/>
        </w:rPr>
        <w:t>. In consideration of services rendered and to be rendered to the Company, by the Participant, the Company has granted to the Participant, subject to the terms and conditions set forth in this Restricted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and in the Company’s 2020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an award with respect to the number of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set forth in the Notice of Grant that forms part of this Agreement (the “</w:t>
      </w:r>
      <w:r>
        <w:rPr>
          <w:rFonts w:ascii="Arial" w:cs="Arial" w:eastAsia="Arial" w:hAnsi="Arial"/>
          <w:sz w:val="19"/>
          <w:szCs w:val="19"/>
          <w:u w:val="single" w:color="auto"/>
          <w:color w:val="auto"/>
        </w:rPr>
        <w:t>Notice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Grant</w:t>
      </w:r>
      <w:r>
        <w:rPr>
          <w:rFonts w:ascii="Arial" w:cs="Arial" w:eastAsia="Arial" w:hAnsi="Arial"/>
          <w:sz w:val="19"/>
          <w:szCs w:val="19"/>
          <w:color w:val="auto"/>
        </w:rPr>
        <w:t>”). Each RSU represents the right to receive one share of common stock, $0.001 par value per share, of the Company (the “</w:t>
      </w:r>
      <w:r>
        <w:rPr>
          <w:rFonts w:ascii="Arial" w:cs="Arial" w:eastAsia="Arial" w:hAnsi="Arial"/>
          <w:sz w:val="19"/>
          <w:szCs w:val="19"/>
          <w:u w:val="single" w:color="auto"/>
          <w:color w:val="auto"/>
        </w:rPr>
        <w:t>Common Stock</w:t>
      </w:r>
      <w:r>
        <w:rPr>
          <w:rFonts w:ascii="Arial" w:cs="Arial" w:eastAsia="Arial" w:hAnsi="Arial"/>
          <w:sz w:val="19"/>
          <w:szCs w:val="19"/>
          <w:color w:val="auto"/>
        </w:rPr>
        <w:t>”) upon vesting of the RSU, subject to the terms and conditions set forth herein.</w:t>
      </w:r>
    </w:p>
    <w:p>
      <w:pPr>
        <w:spacing w:after="0" w:line="150" w:lineRule="exact"/>
        <w:rPr>
          <w:rFonts w:ascii="Arial" w:cs="Arial" w:eastAsia="Arial" w:hAnsi="Arial"/>
          <w:sz w:val="19"/>
          <w:szCs w:val="19"/>
          <w:color w:val="auto"/>
        </w:rPr>
      </w:pPr>
    </w:p>
    <w:p>
      <w:pPr>
        <w:ind w:left="-8" w:right="100" w:firstLine="8"/>
        <w:spacing w:after="0" w:line="235" w:lineRule="auto"/>
        <w:tabs>
          <w:tab w:leader="none" w:pos="802"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The RSUs shall vest in accordance with the Vesting Schedule set forth in the Notice of Grant (the “</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w:t>
      </w:r>
      <w:r>
        <w:rPr>
          <w:rFonts w:ascii="Arial" w:cs="Arial" w:eastAsia="Arial" w:hAnsi="Arial"/>
          <w:sz w:val="22"/>
          <w:szCs w:val="22"/>
          <w:color w:val="auto"/>
        </w:rPr>
        <w:t>”). Any fractional shares resulting from the application of any percentages used in the Vesting Schedule shall be rounded down to the nearest whole number of RSUs. Upon the vesting of the RSU, the Company will deliver to the Participant, for each RSU that becomes vested, one share of Common Stock, subject to the payment of any taxes pursuant to Section 7. The Common Stock will be delivered to the Participant as soon as practicable following each vesting date, but in any event within 30 days of such date.</w:t>
      </w:r>
    </w:p>
    <w:p>
      <w:pPr>
        <w:spacing w:after="0" w:line="187" w:lineRule="exact"/>
        <w:rPr>
          <w:rFonts w:ascii="Arial" w:cs="Arial" w:eastAsia="Arial" w:hAnsi="Arial"/>
          <w:sz w:val="22"/>
          <w:szCs w:val="22"/>
          <w:color w:val="auto"/>
        </w:rPr>
      </w:pPr>
    </w:p>
    <w:p>
      <w:pPr>
        <w:ind w:left="-8" w:right="80" w:firstLine="8"/>
        <w:spacing w:after="0" w:line="277" w:lineRule="auto"/>
        <w:tabs>
          <w:tab w:leader="none" w:pos="802"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Forfeiture of Unvested RSUs Upon Cessation of Service</w:t>
      </w:r>
      <w:r>
        <w:rPr>
          <w:rFonts w:ascii="Arial" w:cs="Arial" w:eastAsia="Arial" w:hAnsi="Arial"/>
          <w:sz w:val="19"/>
          <w:szCs w:val="19"/>
          <w:color w:val="auto"/>
        </w:rPr>
        <w:t>. In the event that the Participant ceases to be an Eligible Participant (as defined below) for any reason or no reason, with or without cause, all of the RSUs that are unvested as of the time of such cessation shall be forfeited immediately and automatically to the Company, without the payment of any consideration to the Participant, effective as of such cessation. The Participant shall have no further rights with respect to the unvested RSUs or any Common Stock that may have been issuable with respect thereto. The Participant shall be an “</w:t>
      </w:r>
      <w:r>
        <w:rPr>
          <w:rFonts w:ascii="Arial" w:cs="Arial" w:eastAsia="Arial" w:hAnsi="Arial"/>
          <w:sz w:val="19"/>
          <w:szCs w:val="19"/>
          <w:u w:val="single" w:color="auto"/>
          <w:color w:val="auto"/>
        </w:rPr>
        <w:t>Eligible Participant</w:t>
      </w:r>
      <w:r>
        <w:rPr>
          <w:rFonts w:ascii="Arial" w:cs="Arial" w:eastAsia="Arial" w:hAnsi="Arial"/>
          <w:sz w:val="19"/>
          <w:szCs w:val="19"/>
          <w:color w:val="auto"/>
        </w:rPr>
        <w:t>” if he or she is an employee, director or officer of, or consultant or advisor to, the Company or any other entity the employees, officers, directors, consultants or advisors of which are eligible to receive awards of RSUs under the Plan.</w:t>
      </w:r>
    </w:p>
    <w:p>
      <w:pPr>
        <w:spacing w:after="0" w:line="151" w:lineRule="exact"/>
        <w:rPr>
          <w:rFonts w:ascii="Arial" w:cs="Arial" w:eastAsia="Arial" w:hAnsi="Arial"/>
          <w:sz w:val="19"/>
          <w:szCs w:val="19"/>
          <w:color w:val="auto"/>
        </w:rPr>
      </w:pPr>
    </w:p>
    <w:p>
      <w:pPr>
        <w:ind w:left="-8" w:firstLine="8"/>
        <w:spacing w:after="0" w:line="238" w:lineRule="auto"/>
        <w:tabs>
          <w:tab w:leader="none" w:pos="802"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Restrictions on Transfer</w:t>
      </w:r>
      <w:r>
        <w:rPr>
          <w:rFonts w:ascii="Arial" w:cs="Arial" w:eastAsia="Arial" w:hAnsi="Arial"/>
          <w:sz w:val="22"/>
          <w:szCs w:val="22"/>
          <w:color w:val="auto"/>
        </w:rPr>
        <w:t>. The Participant shall not sell, assign, transfer, pledge, hypothecate, encumber or otherwise dispose of, by operation of law or otherwise (collectively “transfer”) any RSUs, or any interest therein. The Company shall not be required to treat as the owner of any RSUs or issue any Common Stock to any transferee to whom such RSUs have been transferred in violation of any of the provisions of this Agreement.</w:t>
      </w:r>
    </w:p>
    <w:p>
      <w:pPr>
        <w:spacing w:after="0" w:line="184" w:lineRule="exact"/>
        <w:rPr>
          <w:rFonts w:ascii="Arial" w:cs="Arial" w:eastAsia="Arial" w:hAnsi="Arial"/>
          <w:sz w:val="22"/>
          <w:szCs w:val="22"/>
          <w:color w:val="auto"/>
        </w:rPr>
      </w:pPr>
    </w:p>
    <w:p>
      <w:pPr>
        <w:ind w:left="-8" w:right="160" w:firstLine="8"/>
        <w:spacing w:after="0"/>
        <w:tabs>
          <w:tab w:leader="none" w:pos="802"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The Participant shall have no rights as a stockholder of the Company with respect to any shares of Common Stock that may be issuable with respect to the RSUs until the issuance of the shares of Common Stock to the Participant following the vesting of the RSUs.</w:t>
      </w:r>
    </w:p>
    <w:p>
      <w:pPr>
        <w:spacing w:after="0" w:line="186" w:lineRule="exact"/>
        <w:rPr>
          <w:rFonts w:ascii="Arial" w:cs="Arial" w:eastAsia="Arial" w:hAnsi="Arial"/>
          <w:sz w:val="22"/>
          <w:szCs w:val="22"/>
          <w:color w:val="auto"/>
        </w:rPr>
      </w:pPr>
    </w:p>
    <w:p>
      <w:pPr>
        <w:ind w:left="-8" w:right="520" w:firstLine="8"/>
        <w:spacing w:after="0" w:line="250" w:lineRule="auto"/>
        <w:tabs>
          <w:tab w:leader="none" w:pos="802"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Provisions of the Plan</w:t>
      </w:r>
      <w:r>
        <w:rPr>
          <w:rFonts w:ascii="Arial" w:cs="Arial" w:eastAsia="Arial" w:hAnsi="Arial"/>
          <w:sz w:val="22"/>
          <w:szCs w:val="22"/>
          <w:color w:val="auto"/>
        </w:rPr>
        <w:t>. This Agreement is subject to the provisions of the Plan, a copy of which is furnished to the Participant with this Agreement.</w:t>
      </w:r>
    </w:p>
    <w:p>
      <w:pPr>
        <w:spacing w:after="0" w:line="174" w:lineRule="exact"/>
        <w:rPr>
          <w:rFonts w:ascii="Arial" w:cs="Arial" w:eastAsia="Arial" w:hAnsi="Arial"/>
          <w:sz w:val="22"/>
          <w:szCs w:val="22"/>
          <w:color w:val="auto"/>
        </w:rPr>
      </w:pPr>
    </w:p>
    <w:p>
      <w:pPr>
        <w:ind w:left="812" w:hanging="812"/>
        <w:spacing w:after="0"/>
        <w:tabs>
          <w:tab w:leader="none" w:pos="812"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Tax Matters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337185</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34" w:right="339" w:bottom="1440" w:gutter="0" w:footer="0" w:header="0"/>
        </w:sectPr>
      </w:pPr>
    </w:p>
    <w:bookmarkStart w:id="219" w:name="page220"/>
    <w:bookmarkEnd w:id="219"/>
    <w:p>
      <w:pPr>
        <w:ind w:left="-8" w:firstLine="8"/>
        <w:spacing w:after="0" w:line="234" w:lineRule="auto"/>
        <w:tabs>
          <w:tab w:leader="none" w:pos="88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Acknowledgments; No Section 83(b) Election</w:t>
      </w:r>
      <w:r>
        <w:rPr>
          <w:rFonts w:ascii="Arial" w:cs="Arial" w:eastAsia="Arial" w:hAnsi="Arial"/>
          <w:sz w:val="22"/>
          <w:szCs w:val="22"/>
          <w:color w:val="auto"/>
        </w:rPr>
        <w:t>. The Participant acknowledges that he or she is responsible for obtaining the advice of the Participant’s own tax advisors with respect to the award of RSUs and the Participant is relying solely on such advisors and not on any statements or representations of the Company or any of its agents with respect to the tax consequences relating to the RSUs. The Participant understands that the Participant (and not the Company) shall be responsible for the Participant’s tax liability that may arise in connection with the acquisition, vesting and/or disposition of the RSUs. The Participant acknowledges that no election under Section 83(b) of the Internal Revenue Code of 1986, as amended, (the “Code”) is available with respect to RSUs.</w:t>
      </w:r>
    </w:p>
    <w:p>
      <w:pPr>
        <w:spacing w:after="0" w:line="190" w:lineRule="exact"/>
        <w:rPr>
          <w:rFonts w:ascii="Arial" w:cs="Arial" w:eastAsia="Arial" w:hAnsi="Arial"/>
          <w:sz w:val="22"/>
          <w:szCs w:val="22"/>
          <w:color w:val="auto"/>
        </w:rPr>
      </w:pPr>
    </w:p>
    <w:p>
      <w:pPr>
        <w:ind w:left="-8" w:right="20" w:firstLine="8"/>
        <w:spacing w:after="0" w:line="271" w:lineRule="auto"/>
        <w:tabs>
          <w:tab w:leader="none" w:pos="892"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Responsibility for Taxes; Withholding</w:t>
      </w:r>
      <w:r>
        <w:rPr>
          <w:rFonts w:ascii="Arial" w:cs="Arial" w:eastAsia="Arial" w:hAnsi="Arial"/>
          <w:sz w:val="19"/>
          <w:szCs w:val="19"/>
          <w:color w:val="auto"/>
        </w:rPr>
        <w:t>. The Participant acknowledges that, regardless of any action taken by the Company, the ultimate liability for all federal, state, local or other taxes of any kind related to the Participant’s participation in the Plan and legally applicable to the Participant is and remains the Participant’s responsibility and may exceed the amount, if any, actually withheld by the Company. The Participant acknowledges and agrees that in order to satisfy any applicable withholding with respect to the vesting of the RSUs, the Company has the right at its discretion to (i) deduct from payments of any kind otherwise due to the Participant the amount of any such required withholding obligations, or (ii) (A) withhold from shares of Common Stock to be issued to Participant upon vesting of the RSUs, or (B) cause its transfer agent and any manager of the Company’s equity incentive plan benefits to sell from the number of shares of Common Stock to be issued to Participant upon vesting of the RSUs, that number of shares of Common Stock necessary to satisfy all withholding , along with any applicable third-party commissions. The Participant further acknowledges that if none of the foregoing actions is taken by the Company to satisfy withholding obligations, under applicable law the Participant will owe taxes on the vesting date of RSUs issued hereunder on the portion of the award then vested and the Company shall be entitled to immediate payment from the Participant of the amount of any tax required to be withheld by the Company. The Company shall not deliver any shares of Common Stock to the Participant until it is satisfied that all required withholdings have been made.</w:t>
      </w:r>
    </w:p>
    <w:p>
      <w:pPr>
        <w:spacing w:after="0" w:line="164" w:lineRule="exact"/>
        <w:rPr>
          <w:sz w:val="20"/>
          <w:szCs w:val="20"/>
          <w:color w:val="auto"/>
        </w:rPr>
      </w:pPr>
    </w:p>
    <w:p>
      <w:pPr>
        <w:ind w:left="812" w:hanging="812"/>
        <w:spacing w:after="0"/>
        <w:tabs>
          <w:tab w:leader="none" w:pos="812"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8" w:right="180" w:firstLine="8"/>
        <w:spacing w:after="0" w:line="238" w:lineRule="auto"/>
        <w:tabs>
          <w:tab w:leader="none" w:pos="88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The RSUs awarded pursuant to this Agreement are intended to be exempt from or comply with the requirements of Section 409A of the Code and the Treasury Regulations issued thereunder (“</w:t>
      </w:r>
      <w:r>
        <w:rPr>
          <w:rFonts w:ascii="Arial" w:cs="Arial" w:eastAsia="Arial" w:hAnsi="Arial"/>
          <w:sz w:val="22"/>
          <w:szCs w:val="22"/>
          <w:u w:val="single" w:color="auto"/>
          <w:color w:val="auto"/>
        </w:rPr>
        <w:t>Section 409A</w:t>
      </w:r>
      <w:r>
        <w:rPr>
          <w:rFonts w:ascii="Arial" w:cs="Arial" w:eastAsia="Arial" w:hAnsi="Arial"/>
          <w:sz w:val="22"/>
          <w:szCs w:val="22"/>
          <w:color w:val="auto"/>
        </w:rPr>
        <w:t>”). The delivery of shares of Common Stock on the vesting of the RSUs may not be accelerated or deferred unless permitted or required by Section 409A.</w:t>
      </w:r>
    </w:p>
    <w:p>
      <w:pPr>
        <w:spacing w:after="0" w:line="184" w:lineRule="exact"/>
        <w:rPr>
          <w:rFonts w:ascii="Arial" w:cs="Arial" w:eastAsia="Arial" w:hAnsi="Arial"/>
          <w:sz w:val="22"/>
          <w:szCs w:val="22"/>
          <w:color w:val="auto"/>
        </w:rPr>
      </w:pPr>
    </w:p>
    <w:p>
      <w:pPr>
        <w:ind w:left="-8" w:right="60" w:firstLine="8"/>
        <w:spacing w:after="0" w:line="249" w:lineRule="auto"/>
        <w:tabs>
          <w:tab w:leader="none" w:pos="892"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Participant’s Acknowledgements</w:t>
      </w:r>
      <w:r>
        <w:rPr>
          <w:rFonts w:ascii="Arial" w:cs="Arial" w:eastAsia="Arial" w:hAnsi="Arial"/>
          <w:sz w:val="21"/>
          <w:szCs w:val="21"/>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agrees that in accepting this award, he or she will be bound by any clawback policy that the Company may adopt in the future.</w:t>
      </w:r>
    </w:p>
    <w:p>
      <w:pPr>
        <w:sectPr>
          <w:pgSz w:w="11900" w:h="16838" w:orient="portrait"/>
          <w:cols w:equalWidth="0" w:num="1">
            <w:col w:w="11232"/>
          </w:cols>
          <w:pgMar w:left="328" w:top="550"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20"/>
          <w:szCs w:val="20"/>
          <w:b w:val="1"/>
          <w:bCs w:val="1"/>
          <w:color w:val="auto"/>
        </w:rPr>
        <w:t>Exhibit 10.37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SUBLEASE</w:t>
      </w:r>
    </w:p>
    <w:p>
      <w:pPr>
        <w:spacing w:after="0" w:line="206" w:lineRule="exact"/>
        <w:rPr>
          <w:sz w:val="20"/>
          <w:szCs w:val="20"/>
          <w:color w:val="auto"/>
        </w:rPr>
      </w:pPr>
    </w:p>
    <w:p>
      <w:pPr>
        <w:ind w:right="180" w:firstLine="784"/>
        <w:spacing w:after="0" w:line="300" w:lineRule="auto"/>
        <w:rPr>
          <w:sz w:val="20"/>
          <w:szCs w:val="20"/>
          <w:color w:val="auto"/>
        </w:rPr>
      </w:pPr>
      <w:r>
        <w:rPr>
          <w:rFonts w:ascii="Arial" w:cs="Arial" w:eastAsia="Arial" w:hAnsi="Arial"/>
          <w:sz w:val="19"/>
          <w:szCs w:val="19"/>
          <w:b w:val="1"/>
          <w:bCs w:val="1"/>
          <w:color w:val="auto"/>
        </w:rPr>
        <w:t xml:space="preserve">THIS FIRST AMENDMENT TO SUBLEASE </w:t>
      </w:r>
      <w:r>
        <w:rPr>
          <w:rFonts w:ascii="Arial" w:cs="Arial" w:eastAsia="Arial" w:hAnsi="Arial"/>
          <w:sz w:val="19"/>
          <w:szCs w:val="19"/>
          <w:color w:val="auto"/>
        </w:rPr>
        <w:t>(“</w:t>
      </w:r>
      <w:r>
        <w:rPr>
          <w:rFonts w:ascii="Arial" w:cs="Arial" w:eastAsia="Arial" w:hAnsi="Arial"/>
          <w:sz w:val="19"/>
          <w:szCs w:val="19"/>
          <w:b w:val="1"/>
          <w:bCs w:val="1"/>
          <w:color w:val="auto"/>
        </w:rPr>
        <w:t>First Amendment</w:t>
      </w:r>
      <w:r>
        <w:rPr>
          <w:rFonts w:ascii="Arial" w:cs="Arial" w:eastAsia="Arial" w:hAnsi="Arial"/>
          <w:sz w:val="19"/>
          <w:szCs w:val="19"/>
          <w:color w:val="auto"/>
        </w:rPr>
        <w:t>”) is entered into as of December 3, 2021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First Amendment 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TWITTER, INC.</w:t>
      </w:r>
      <w:r>
        <w:rPr>
          <w:rFonts w:ascii="Arial" w:cs="Arial" w:eastAsia="Arial" w:hAnsi="Arial"/>
          <w:sz w:val="19"/>
          <w:szCs w:val="19"/>
          <w:color w:val="auto"/>
        </w:rPr>
        <w:t>, a Delaware corporation (“</w:t>
      </w:r>
      <w:r>
        <w:rPr>
          <w:rFonts w:ascii="Arial" w:cs="Arial" w:eastAsia="Arial" w:hAnsi="Arial"/>
          <w:sz w:val="19"/>
          <w:szCs w:val="19"/>
          <w:b w:val="1"/>
          <w:bCs w:val="1"/>
          <w:color w:val="auto"/>
        </w:rPr>
        <w:t>Sublandlord</w:t>
      </w:r>
      <w:r>
        <w:rPr>
          <w:rFonts w:ascii="Arial" w:cs="Arial" w:eastAsia="Arial" w:hAnsi="Arial"/>
          <w:sz w:val="19"/>
          <w:szCs w:val="19"/>
          <w:color w:val="auto"/>
        </w:rPr>
        <w:t xml:space="preserve">”), and </w:t>
      </w:r>
      <w:r>
        <w:rPr>
          <w:rFonts w:ascii="Arial" w:cs="Arial" w:eastAsia="Arial" w:hAnsi="Arial"/>
          <w:sz w:val="19"/>
          <w:szCs w:val="19"/>
          <w:b w:val="1"/>
          <w:bCs w:val="1"/>
          <w:color w:val="auto"/>
        </w:rPr>
        <w:t>SOLID BIOSCIENCES, LLC</w:t>
      </w:r>
      <w:r>
        <w:rPr>
          <w:rFonts w:ascii="Arial" w:cs="Arial" w:eastAsia="Arial" w:hAnsi="Arial"/>
          <w:sz w:val="19"/>
          <w:szCs w:val="19"/>
          <w:color w:val="auto"/>
        </w:rPr>
        <w:t>, a Delaware limited liability company (“</w:t>
      </w:r>
      <w:r>
        <w:rPr>
          <w:rFonts w:ascii="Arial" w:cs="Arial" w:eastAsia="Arial" w:hAnsi="Arial"/>
          <w:sz w:val="19"/>
          <w:szCs w:val="19"/>
          <w:b w:val="1"/>
          <w:bCs w:val="1"/>
          <w:color w:val="auto"/>
        </w:rPr>
        <w:t>Subtenant</w:t>
      </w:r>
      <w:r>
        <w:rPr>
          <w:rFonts w:ascii="Arial" w:cs="Arial" w:eastAsia="Arial" w:hAnsi="Arial"/>
          <w:sz w:val="19"/>
          <w:szCs w:val="19"/>
          <w:color w:val="auto"/>
        </w:rPr>
        <w:t>”), with reference to the following facts:</w:t>
      </w:r>
    </w:p>
    <w:p>
      <w:pPr>
        <w:spacing w:after="0" w:line="126" w:lineRule="exact"/>
        <w:rPr>
          <w:sz w:val="20"/>
          <w:szCs w:val="20"/>
          <w:color w:val="auto"/>
        </w:rPr>
      </w:pPr>
    </w:p>
    <w:p>
      <w:pPr>
        <w:jc w:val="both"/>
        <w:ind w:firstLine="792"/>
        <w:spacing w:after="0" w:line="239" w:lineRule="auto"/>
        <w:tabs>
          <w:tab w:leader="none" w:pos="164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Sublandlord and Subtenant are parties to that certain Sublease dated as of January 25, 2018 (the “</w:t>
      </w:r>
      <w:r>
        <w:rPr>
          <w:rFonts w:ascii="Arial" w:cs="Arial" w:eastAsia="Arial" w:hAnsi="Arial"/>
          <w:sz w:val="22"/>
          <w:szCs w:val="22"/>
          <w:b w:val="1"/>
          <w:bCs w:val="1"/>
          <w:color w:val="auto"/>
        </w:rPr>
        <w:t>Sublease</w:t>
      </w:r>
      <w:r>
        <w:rPr>
          <w:rFonts w:ascii="Arial" w:cs="Arial" w:eastAsia="Arial" w:hAnsi="Arial"/>
          <w:sz w:val="22"/>
          <w:szCs w:val="22"/>
          <w:color w:val="auto"/>
        </w:rPr>
        <w:t>”), pursuant to which Sublandlord leases to Subtenant space containing approximately 15,877 rentable square feet (“</w:t>
      </w:r>
      <w:r>
        <w:rPr>
          <w:rFonts w:ascii="Arial" w:cs="Arial" w:eastAsia="Arial" w:hAnsi="Arial"/>
          <w:sz w:val="22"/>
          <w:szCs w:val="22"/>
          <w:b w:val="1"/>
          <w:bCs w:val="1"/>
          <w:color w:val="auto"/>
        </w:rPr>
        <w:t>RSF</w:t>
      </w:r>
      <w:r>
        <w:rPr>
          <w:rFonts w:ascii="Arial" w:cs="Arial" w:eastAsia="Arial" w:hAnsi="Arial"/>
          <w:sz w:val="22"/>
          <w:szCs w:val="22"/>
          <w:color w:val="auto"/>
        </w:rPr>
        <w:t>”) (the “</w:t>
      </w:r>
      <w:r>
        <w:rPr>
          <w:rFonts w:ascii="Arial" w:cs="Arial" w:eastAsia="Arial" w:hAnsi="Arial"/>
          <w:sz w:val="22"/>
          <w:szCs w:val="22"/>
          <w:b w:val="1"/>
          <w:bCs w:val="1"/>
          <w:color w:val="auto"/>
        </w:rPr>
        <w:t>Subleased Premises</w:t>
      </w:r>
      <w:r>
        <w:rPr>
          <w:rFonts w:ascii="Arial" w:cs="Arial" w:eastAsia="Arial" w:hAnsi="Arial"/>
          <w:sz w:val="22"/>
          <w:szCs w:val="22"/>
          <w:color w:val="auto"/>
        </w:rPr>
        <w:t>”) on the fifth (5th) floor of the building located at 141 Portland Street, Cambridge, Massachusetts (the “</w:t>
      </w:r>
      <w:r>
        <w:rPr>
          <w:rFonts w:ascii="Arial" w:cs="Arial" w:eastAsia="Arial" w:hAnsi="Arial"/>
          <w:sz w:val="22"/>
          <w:szCs w:val="22"/>
          <w:b w:val="1"/>
          <w:bCs w:val="1"/>
          <w:color w:val="auto"/>
        </w:rPr>
        <w:t>Building</w:t>
      </w:r>
      <w:r>
        <w:rPr>
          <w:rFonts w:ascii="Arial" w:cs="Arial" w:eastAsia="Arial" w:hAnsi="Arial"/>
          <w:sz w:val="22"/>
          <w:szCs w:val="22"/>
          <w:color w:val="auto"/>
        </w:rPr>
        <w:t>”).</w:t>
      </w:r>
    </w:p>
    <w:p>
      <w:pPr>
        <w:spacing w:after="0" w:line="180" w:lineRule="exact"/>
        <w:rPr>
          <w:rFonts w:ascii="Arial" w:cs="Arial" w:eastAsia="Arial" w:hAnsi="Arial"/>
          <w:sz w:val="22"/>
          <w:szCs w:val="22"/>
          <w:color w:val="auto"/>
        </w:rPr>
      </w:pPr>
    </w:p>
    <w:p>
      <w:pPr>
        <w:ind w:left="1640" w:hanging="848"/>
        <w:spacing w:after="0"/>
        <w:tabs>
          <w:tab w:leader="none" w:pos="164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Sublease by its terms is scheduled to expire on February 28, 2022 (the “</w:t>
      </w:r>
      <w:r>
        <w:rPr>
          <w:rFonts w:ascii="Arial" w:cs="Arial" w:eastAsia="Arial" w:hAnsi="Arial"/>
          <w:sz w:val="19"/>
          <w:szCs w:val="19"/>
          <w:b w:val="1"/>
          <w:bCs w:val="1"/>
          <w:color w:val="auto"/>
        </w:rPr>
        <w:t>Current Expiration Date</w:t>
      </w:r>
      <w:r>
        <w:rPr>
          <w:rFonts w:ascii="Arial" w:cs="Arial" w:eastAsia="Arial" w:hAnsi="Arial"/>
          <w:sz w:val="19"/>
          <w:szCs w:val="19"/>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Sublandlord and  Subtenant have agreed to extend the Term of the Sublease in accordance with the provisions set forth below.</w:t>
      </w:r>
    </w:p>
    <w:p>
      <w:pPr>
        <w:spacing w:after="0" w:line="217" w:lineRule="exact"/>
        <w:rPr>
          <w:sz w:val="20"/>
          <w:szCs w:val="20"/>
          <w:color w:val="auto"/>
        </w:rPr>
      </w:pPr>
    </w:p>
    <w:p>
      <w:pPr>
        <w:ind w:right="20" w:firstLine="784"/>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above recitals which by this reference are incorporated herein, the mutual</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and conditions contained herein and other valuable consideration, the receipt and sufficiency of which are hereby acknowledged, Sublandlord and Subtenant agree as follows:</w:t>
      </w:r>
    </w:p>
    <w:p>
      <w:pPr>
        <w:spacing w:after="0" w:line="177" w:lineRule="exact"/>
        <w:rPr>
          <w:sz w:val="20"/>
          <w:szCs w:val="20"/>
          <w:color w:val="auto"/>
        </w:rPr>
      </w:pPr>
    </w:p>
    <w:p>
      <w:pPr>
        <w:ind w:left="1600" w:hanging="808"/>
        <w:spacing w:after="0"/>
        <w:tabs>
          <w:tab w:leader="none" w:pos="1600" w:val="left"/>
        </w:tabs>
        <w:numPr>
          <w:ilvl w:val="0"/>
          <w:numId w:val="154"/>
        </w:numPr>
        <w:rPr>
          <w:rFonts w:ascii="Arial" w:cs="Arial" w:eastAsia="Arial" w:hAnsi="Arial"/>
          <w:sz w:val="19"/>
          <w:szCs w:val="19"/>
          <w:color w:val="auto"/>
        </w:rPr>
      </w:pPr>
      <w:r>
        <w:rPr>
          <w:rFonts w:ascii="Arial" w:cs="Arial" w:eastAsia="Arial" w:hAnsi="Arial"/>
          <w:sz w:val="19"/>
          <w:szCs w:val="19"/>
          <w:b w:val="1"/>
          <w:bCs w:val="1"/>
          <w:u w:val="single" w:color="auto"/>
          <w:color w:val="auto"/>
        </w:rPr>
        <w:t>Extension</w:t>
      </w:r>
      <w:r>
        <w:rPr>
          <w:rFonts w:ascii="Arial" w:cs="Arial" w:eastAsia="Arial" w:hAnsi="Arial"/>
          <w:sz w:val="19"/>
          <w:szCs w:val="19"/>
          <w:color w:val="auto"/>
        </w:rPr>
        <w:t>. The Term of the Sublease is hereby extended for a period of three (3) months and shall expire at</w:t>
      </w:r>
    </w:p>
    <w:p>
      <w:pPr>
        <w:spacing w:after="0" w:line="48"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19"/>
          <w:szCs w:val="19"/>
          <w:color w:val="auto"/>
        </w:rPr>
        <w:t>11:59PM on May 31, 2022 (the “</w:t>
      </w:r>
      <w:r>
        <w:rPr>
          <w:rFonts w:ascii="Arial" w:cs="Arial" w:eastAsia="Arial" w:hAnsi="Arial"/>
          <w:sz w:val="19"/>
          <w:szCs w:val="19"/>
          <w:b w:val="1"/>
          <w:bCs w:val="1"/>
          <w:color w:val="auto"/>
        </w:rPr>
        <w:t>Extended Expiration Date</w:t>
      </w:r>
      <w:r>
        <w:rPr>
          <w:rFonts w:ascii="Arial" w:cs="Arial" w:eastAsia="Arial" w:hAnsi="Arial"/>
          <w:sz w:val="19"/>
          <w:szCs w:val="19"/>
          <w:color w:val="auto"/>
        </w:rPr>
        <w:t>”), unless sooner terminated in accordance with the terms of the Sublease. That portion of the Term of the Sublease commencing on the day immediately following the Current Expiration Date (the “</w:t>
      </w:r>
      <w:r>
        <w:rPr>
          <w:rFonts w:ascii="Arial" w:cs="Arial" w:eastAsia="Arial" w:hAnsi="Arial"/>
          <w:sz w:val="19"/>
          <w:szCs w:val="19"/>
          <w:b w:val="1"/>
          <w:bCs w:val="1"/>
          <w:color w:val="auto"/>
        </w:rPr>
        <w:t>Extension Date</w:t>
      </w:r>
      <w:r>
        <w:rPr>
          <w:rFonts w:ascii="Arial" w:cs="Arial" w:eastAsia="Arial" w:hAnsi="Arial"/>
          <w:sz w:val="19"/>
          <w:szCs w:val="19"/>
          <w:color w:val="auto"/>
        </w:rPr>
        <w:t>”) and ending on the Extended Expiration Date is referred to herein as the “</w:t>
      </w:r>
      <w:r>
        <w:rPr>
          <w:rFonts w:ascii="Arial" w:cs="Arial" w:eastAsia="Arial" w:hAnsi="Arial"/>
          <w:sz w:val="19"/>
          <w:szCs w:val="19"/>
          <w:b w:val="1"/>
          <w:bCs w:val="1"/>
          <w:color w:val="auto"/>
        </w:rPr>
        <w:t>Extended Term</w:t>
      </w:r>
      <w:r>
        <w:rPr>
          <w:rFonts w:ascii="Arial" w:cs="Arial" w:eastAsia="Arial" w:hAnsi="Arial"/>
          <w:sz w:val="19"/>
          <w:szCs w:val="19"/>
          <w:color w:val="auto"/>
        </w:rPr>
        <w:t>.”</w:t>
      </w:r>
    </w:p>
    <w:p>
      <w:pPr>
        <w:spacing w:after="0" w:line="137" w:lineRule="exact"/>
        <w:rPr>
          <w:rFonts w:ascii="Arial" w:cs="Arial" w:eastAsia="Arial" w:hAnsi="Arial"/>
          <w:sz w:val="19"/>
          <w:szCs w:val="19"/>
          <w:color w:val="auto"/>
        </w:rPr>
      </w:pPr>
    </w:p>
    <w:p>
      <w:pPr>
        <w:jc w:val="both"/>
        <w:ind w:right="20" w:firstLine="792"/>
        <w:spacing w:after="0" w:line="243" w:lineRule="auto"/>
        <w:tabs>
          <w:tab w:leader="none" w:pos="1594" w:val="left"/>
        </w:tabs>
        <w:numPr>
          <w:ilvl w:val="0"/>
          <w:numId w:val="154"/>
        </w:numPr>
        <w:rPr>
          <w:rFonts w:ascii="Arial" w:cs="Arial" w:eastAsia="Arial" w:hAnsi="Arial"/>
          <w:sz w:val="22"/>
          <w:szCs w:val="22"/>
          <w:color w:val="auto"/>
        </w:rPr>
      </w:pPr>
      <w:r>
        <w:rPr>
          <w:rFonts w:ascii="Arial" w:cs="Arial" w:eastAsia="Arial" w:hAnsi="Arial"/>
          <w:sz w:val="22"/>
          <w:szCs w:val="22"/>
          <w:b w:val="1"/>
          <w:bCs w:val="1"/>
          <w:u w:val="single" w:color="auto"/>
          <w:color w:val="auto"/>
        </w:rPr>
        <w:t>Base Rent and Operating Costs</w:t>
      </w:r>
      <w:r>
        <w:rPr>
          <w:rFonts w:ascii="Arial" w:cs="Arial" w:eastAsia="Arial" w:hAnsi="Arial"/>
          <w:sz w:val="22"/>
          <w:szCs w:val="22"/>
          <w:color w:val="auto"/>
        </w:rPr>
        <w:t>. During the Extended Term, Subtenant will pay as Base Rent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Subleased Premises the sum of $109,022.07 (i.e., $82.40 RSF per annum). Subtenant will continue to pay Operating Costs in accordance with the terms of the Sublease</w:t>
      </w:r>
    </w:p>
    <w:p>
      <w:pPr>
        <w:spacing w:after="0" w:line="176" w:lineRule="exact"/>
        <w:rPr>
          <w:rFonts w:ascii="Arial" w:cs="Arial" w:eastAsia="Arial" w:hAnsi="Arial"/>
          <w:sz w:val="22"/>
          <w:szCs w:val="22"/>
          <w:color w:val="auto"/>
        </w:rPr>
      </w:pPr>
    </w:p>
    <w:p>
      <w:pPr>
        <w:jc w:val="both"/>
        <w:ind w:firstLine="792"/>
        <w:spacing w:after="0" w:line="243" w:lineRule="auto"/>
        <w:tabs>
          <w:tab w:leader="none" w:pos="1594" w:val="left"/>
        </w:tabs>
        <w:numPr>
          <w:ilvl w:val="0"/>
          <w:numId w:val="154"/>
        </w:numPr>
        <w:rPr>
          <w:rFonts w:ascii="Arial" w:cs="Arial" w:eastAsia="Arial" w:hAnsi="Arial"/>
          <w:sz w:val="22"/>
          <w:szCs w:val="22"/>
          <w:color w:val="auto"/>
        </w:rPr>
      </w:pPr>
      <w:r>
        <w:rPr>
          <w:rFonts w:ascii="Arial" w:cs="Arial" w:eastAsia="Arial" w:hAnsi="Arial"/>
          <w:sz w:val="22"/>
          <w:szCs w:val="22"/>
          <w:b w:val="1"/>
          <w:bCs w:val="1"/>
          <w:u w:val="single" w:color="auto"/>
          <w:color w:val="auto"/>
        </w:rPr>
        <w:t>No Additional Security Deposit</w:t>
      </w:r>
      <w:r>
        <w:rPr>
          <w:rFonts w:ascii="Arial" w:cs="Arial" w:eastAsia="Arial" w:hAnsi="Arial"/>
          <w:sz w:val="22"/>
          <w:szCs w:val="22"/>
          <w:color w:val="auto"/>
        </w:rPr>
        <w:t>. As of the First Amendment Effective Date, Sublandlord holds a Security</w:t>
      </w:r>
      <w:r>
        <w:rPr>
          <w:rFonts w:ascii="Arial" w:cs="Arial" w:eastAsia="Arial" w:hAnsi="Arial"/>
          <w:sz w:val="22"/>
          <w:szCs w:val="22"/>
          <w:b w:val="1"/>
          <w:bCs w:val="1"/>
          <w:color w:val="auto"/>
        </w:rPr>
        <w:t xml:space="preserve"> </w:t>
      </w:r>
      <w:r>
        <w:rPr>
          <w:rFonts w:ascii="Arial" w:cs="Arial" w:eastAsia="Arial" w:hAnsi="Arial"/>
          <w:sz w:val="22"/>
          <w:szCs w:val="22"/>
          <w:color w:val="auto"/>
        </w:rPr>
        <w:t>Deposit in the amount of $209,047.00, which Sublandlord will continue to hold during the Extended Term. No additional security deposit shall be required in connection with this First Amendment.</w:t>
      </w:r>
    </w:p>
    <w:p>
      <w:pPr>
        <w:spacing w:after="0" w:line="176" w:lineRule="exact"/>
        <w:rPr>
          <w:rFonts w:ascii="Arial" w:cs="Arial" w:eastAsia="Arial" w:hAnsi="Arial"/>
          <w:sz w:val="22"/>
          <w:szCs w:val="22"/>
          <w:color w:val="auto"/>
        </w:rPr>
      </w:pPr>
    </w:p>
    <w:p>
      <w:pPr>
        <w:ind w:right="20" w:firstLine="792"/>
        <w:spacing w:after="0" w:line="256" w:lineRule="auto"/>
        <w:tabs>
          <w:tab w:leader="none" w:pos="1594" w:val="left"/>
        </w:tabs>
        <w:numPr>
          <w:ilvl w:val="0"/>
          <w:numId w:val="154"/>
        </w:numPr>
        <w:rPr>
          <w:rFonts w:ascii="Arial" w:cs="Arial" w:eastAsia="Arial" w:hAnsi="Arial"/>
          <w:sz w:val="22"/>
          <w:szCs w:val="22"/>
          <w:color w:val="auto"/>
        </w:rPr>
      </w:pPr>
      <w:r>
        <w:rPr>
          <w:rFonts w:ascii="Arial" w:cs="Arial" w:eastAsia="Arial" w:hAnsi="Arial"/>
          <w:sz w:val="22"/>
          <w:szCs w:val="22"/>
          <w:b w:val="1"/>
          <w:bCs w:val="1"/>
          <w:u w:val="single" w:color="auto"/>
          <w:color w:val="auto"/>
        </w:rPr>
        <w:t>Condition of Subleased Premises</w:t>
      </w:r>
      <w:r>
        <w:rPr>
          <w:rFonts w:ascii="Arial" w:cs="Arial" w:eastAsia="Arial" w:hAnsi="Arial"/>
          <w:sz w:val="22"/>
          <w:szCs w:val="22"/>
          <w:b w:val="1"/>
          <w:bCs w:val="1"/>
          <w:color w:val="auto"/>
        </w:rPr>
        <w:t xml:space="preserve">. </w:t>
      </w:r>
      <w:r>
        <w:rPr>
          <w:rFonts w:ascii="Arial" w:cs="Arial" w:eastAsia="Arial" w:hAnsi="Arial"/>
          <w:sz w:val="22"/>
          <w:szCs w:val="22"/>
          <w:color w:val="auto"/>
        </w:rPr>
        <w:t>Subtenant is in possession of the Subleased Premises and accepts the same</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Extension Date in its “as is” condition.</w:t>
      </w:r>
    </w:p>
    <w:p>
      <w:pPr>
        <w:spacing w:after="0" w:line="162" w:lineRule="exact"/>
        <w:rPr>
          <w:rFonts w:ascii="Arial" w:cs="Arial" w:eastAsia="Arial" w:hAnsi="Arial"/>
          <w:sz w:val="22"/>
          <w:szCs w:val="22"/>
          <w:color w:val="auto"/>
        </w:rPr>
      </w:pPr>
    </w:p>
    <w:p>
      <w:pPr>
        <w:jc w:val="both"/>
        <w:ind w:firstLine="792"/>
        <w:spacing w:after="0" w:line="238" w:lineRule="auto"/>
        <w:tabs>
          <w:tab w:leader="none" w:pos="1594" w:val="left"/>
        </w:tabs>
        <w:numPr>
          <w:ilvl w:val="0"/>
          <w:numId w:val="154"/>
        </w:numPr>
        <w:rPr>
          <w:rFonts w:ascii="Arial" w:cs="Arial" w:eastAsia="Arial" w:hAnsi="Arial"/>
          <w:sz w:val="22"/>
          <w:szCs w:val="22"/>
          <w:color w:val="auto"/>
        </w:rPr>
      </w:pPr>
      <w:r>
        <w:rPr>
          <w:rFonts w:ascii="Arial" w:cs="Arial" w:eastAsia="Arial" w:hAnsi="Arial"/>
          <w:sz w:val="22"/>
          <w:szCs w:val="22"/>
          <w:b w:val="1"/>
          <w:bCs w:val="1"/>
          <w:u w:val="single" w:color="auto"/>
          <w:color w:val="auto"/>
        </w:rPr>
        <w:t>Landlord’s Consent</w:t>
      </w:r>
      <w:r>
        <w:rPr>
          <w:rFonts w:ascii="Arial" w:cs="Arial" w:eastAsia="Arial" w:hAnsi="Arial"/>
          <w:sz w:val="22"/>
          <w:szCs w:val="22"/>
          <w:color w:val="auto"/>
        </w:rPr>
        <w:t>. This First Amendment is expressly conditioned upon the procurement by Sublandlord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and Subtenant of Landlord’s consent to this First Amendment (the “</w:t>
      </w:r>
      <w:r>
        <w:rPr>
          <w:rFonts w:ascii="Arial" w:cs="Arial" w:eastAsia="Arial" w:hAnsi="Arial"/>
          <w:sz w:val="22"/>
          <w:szCs w:val="22"/>
          <w:b w:val="1"/>
          <w:bCs w:val="1"/>
          <w:color w:val="auto"/>
        </w:rPr>
        <w:t>Consent</w:t>
      </w:r>
      <w:r>
        <w:rPr>
          <w:rFonts w:ascii="Arial" w:cs="Arial" w:eastAsia="Arial" w:hAnsi="Arial"/>
          <w:sz w:val="22"/>
          <w:szCs w:val="22"/>
          <w:color w:val="auto"/>
        </w:rPr>
        <w:t xml:space="preserve">”). In connection therewith, Subtenant agrees to pay any charges or fees imposed by Landlord in producing such Consent, up to a maximum of $1,000.00; Sublandlord will be responsible for any additional charges and fees so imposed by Landlord. Promptly following the mutual execution and delivery of this First Amendment, Sublandlord will deliver a copy of this First Amendment to Landlord for the purposes of obtaining the Consent and shall, thereafter, </w:t>
      </w:r>
      <w:r>
        <w:rPr>
          <w:rFonts w:ascii="Arial" w:cs="Arial" w:eastAsia="Arial" w:hAnsi="Arial"/>
          <w:sz w:val="19"/>
          <w:szCs w:val="19"/>
          <w:color w:val="auto"/>
        </w:rPr>
        <w:t>continuously and diligently pursue obtaining such Consent. If the conditions precedent described</w:t>
      </w:r>
      <w:r>
        <w:rPr>
          <w:rFonts w:ascii="Arial" w:cs="Arial" w:eastAsia="Arial" w:hAnsi="Arial"/>
          <w:sz w:val="22"/>
          <w:szCs w:val="22"/>
          <w:color w:val="auto"/>
        </w:rPr>
        <w:t xml:space="preserve"> </w:t>
      </w:r>
      <w:r>
        <w:rPr>
          <w:rFonts w:ascii="Arial" w:cs="Arial" w:eastAsia="Arial" w:hAnsi="Arial"/>
          <w:sz w:val="19"/>
          <w:szCs w:val="19"/>
          <w:color w:val="auto"/>
        </w:rPr>
        <w:t>above have not been satisfied as of December 31, 2021 and Sublandlord has continuously and diligently pursued obtaining the Consent, then, at Sublandlord’s option, to be exercised by notice delivered to Subtenant at any time prior to the procurement of the Consent, this First Amendment shall be null and void and of no further force or effect, and the Term of the Sublease shall expire as of the Current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1" w:name="page222"/>
    <w:bookmarkEnd w:id="221"/>
    <w:p>
      <w:pPr>
        <w:jc w:val="both"/>
        <w:spacing w:after="0" w:line="246" w:lineRule="auto"/>
        <w:rPr>
          <w:sz w:val="20"/>
          <w:szCs w:val="20"/>
          <w:color w:val="auto"/>
        </w:rPr>
      </w:pPr>
      <w:r>
        <w:rPr>
          <w:rFonts w:ascii="Arial" w:cs="Arial" w:eastAsia="Arial" w:hAnsi="Arial"/>
          <w:sz w:val="20"/>
          <w:szCs w:val="20"/>
          <w:color w:val="auto"/>
        </w:rPr>
        <w:t>Similarly, if the conditions precedent described above have not been satisfied as of December 31, 2021, and Subtenant has cooperated in good faith with Sublandlord’s efforts to procure the Consent then, at Subtenant’s option, to be exercised by notice delivered to Sublandlord at any time prior to the procurement of the Consent,this First Amendment shall be null and void and of no further force or effect, and the Term of theSublease shall expire as of the Current Expiration Date.</w:t>
      </w:r>
    </w:p>
    <w:p>
      <w:pPr>
        <w:spacing w:after="0" w:line="180" w:lineRule="exact"/>
        <w:rPr>
          <w:sz w:val="20"/>
          <w:szCs w:val="20"/>
          <w:color w:val="auto"/>
        </w:rPr>
      </w:pPr>
    </w:p>
    <w:p>
      <w:pPr>
        <w:ind w:left="1600" w:hanging="806"/>
        <w:spacing w:after="0"/>
        <w:tabs>
          <w:tab w:leader="none" w:pos="1600" w:val="left"/>
        </w:tabs>
        <w:numPr>
          <w:ilvl w:val="0"/>
          <w:numId w:val="155"/>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ind w:firstLine="1577"/>
        <w:spacing w:after="0" w:line="250" w:lineRule="auto"/>
        <w:tabs>
          <w:tab w:leader="none" w:pos="2451"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This First Amendment sets forth the entire agreement between the parties with respect to the matters set forth herein. There have been no additional oral or written representations or agreements.</w:t>
      </w:r>
    </w:p>
    <w:p>
      <w:pPr>
        <w:spacing w:after="0" w:line="174" w:lineRule="exact"/>
        <w:rPr>
          <w:rFonts w:ascii="Arial" w:cs="Arial" w:eastAsia="Arial" w:hAnsi="Arial"/>
          <w:sz w:val="22"/>
          <w:szCs w:val="22"/>
          <w:color w:val="auto"/>
        </w:rPr>
      </w:pPr>
    </w:p>
    <w:p>
      <w:pPr>
        <w:ind w:firstLine="1577"/>
        <w:spacing w:after="0" w:line="250" w:lineRule="auto"/>
        <w:tabs>
          <w:tab w:leader="none" w:pos="2463" w:val="left"/>
        </w:tabs>
        <w:numPr>
          <w:ilvl w:val="1"/>
          <w:numId w:val="155"/>
        </w:numPr>
        <w:rPr>
          <w:rFonts w:ascii="Arial" w:cs="Arial" w:eastAsia="Arial" w:hAnsi="Arial"/>
          <w:sz w:val="22"/>
          <w:szCs w:val="22"/>
          <w:color w:val="auto"/>
        </w:rPr>
      </w:pPr>
      <w:r>
        <w:rPr>
          <w:rFonts w:ascii="Arial" w:cs="Arial" w:eastAsia="Arial" w:hAnsi="Arial"/>
          <w:sz w:val="22"/>
          <w:szCs w:val="22"/>
          <w:color w:val="auto"/>
        </w:rPr>
        <w:t>Except as herein modified or amended, the provisions, conditions and terms of the Sublease shall remain unchanged and in full force and effect.</w:t>
      </w:r>
    </w:p>
    <w:p>
      <w:pPr>
        <w:spacing w:after="0" w:line="174" w:lineRule="exact"/>
        <w:rPr>
          <w:rFonts w:ascii="Arial" w:cs="Arial" w:eastAsia="Arial" w:hAnsi="Arial"/>
          <w:sz w:val="22"/>
          <w:szCs w:val="22"/>
          <w:color w:val="auto"/>
        </w:rPr>
      </w:pPr>
    </w:p>
    <w:p>
      <w:pPr>
        <w:ind w:firstLine="1577"/>
        <w:spacing w:after="0" w:line="250" w:lineRule="auto"/>
        <w:tabs>
          <w:tab w:leader="none" w:pos="2451" w:val="left"/>
        </w:tabs>
        <w:numPr>
          <w:ilvl w:val="1"/>
          <w:numId w:val="155"/>
        </w:numPr>
        <w:rPr>
          <w:rFonts w:ascii="Arial" w:cs="Arial" w:eastAsia="Arial" w:hAnsi="Arial"/>
          <w:sz w:val="22"/>
          <w:szCs w:val="22"/>
          <w:color w:val="auto"/>
        </w:rPr>
      </w:pPr>
      <w:r>
        <w:rPr>
          <w:rFonts w:ascii="Arial" w:cs="Arial" w:eastAsia="Arial" w:hAnsi="Arial"/>
          <w:sz w:val="22"/>
          <w:szCs w:val="22"/>
          <w:color w:val="auto"/>
        </w:rPr>
        <w:t>In the case of any inconsistency between the provisions of the Sublease and this First Amendment, the provisions of this First Amendment shall govern and control.</w:t>
      </w:r>
    </w:p>
    <w:p>
      <w:pPr>
        <w:spacing w:after="0" w:line="174" w:lineRule="exact"/>
        <w:rPr>
          <w:rFonts w:ascii="Arial" w:cs="Arial" w:eastAsia="Arial" w:hAnsi="Arial"/>
          <w:sz w:val="22"/>
          <w:szCs w:val="22"/>
          <w:color w:val="auto"/>
        </w:rPr>
      </w:pPr>
    </w:p>
    <w:p>
      <w:pPr>
        <w:jc w:val="both"/>
        <w:ind w:firstLine="1577"/>
        <w:spacing w:after="0"/>
        <w:tabs>
          <w:tab w:leader="none" w:pos="2463" w:val="left"/>
        </w:tabs>
        <w:numPr>
          <w:ilvl w:val="1"/>
          <w:numId w:val="155"/>
        </w:numPr>
        <w:rPr>
          <w:rFonts w:ascii="Arial" w:cs="Arial" w:eastAsia="Arial" w:hAnsi="Arial"/>
          <w:sz w:val="22"/>
          <w:szCs w:val="22"/>
          <w:color w:val="auto"/>
        </w:rPr>
      </w:pPr>
      <w:r>
        <w:rPr>
          <w:rFonts w:ascii="Arial" w:cs="Arial" w:eastAsia="Arial" w:hAnsi="Arial"/>
          <w:sz w:val="22"/>
          <w:szCs w:val="22"/>
          <w:color w:val="auto"/>
        </w:rPr>
        <w:t>Submission of this First Amendment by Sublandlord is not an offer to enter into this First Amendment. Sublandlord and Subtenant shall not be bound by this First Amendment until Sublandlord and Subtenant have each executed and delivered the same to the other.</w:t>
      </w:r>
    </w:p>
    <w:p>
      <w:pPr>
        <w:spacing w:after="0" w:line="105" w:lineRule="exact"/>
        <w:rPr>
          <w:rFonts w:ascii="Arial" w:cs="Arial" w:eastAsia="Arial" w:hAnsi="Arial"/>
          <w:sz w:val="22"/>
          <w:szCs w:val="22"/>
          <w:color w:val="auto"/>
        </w:rPr>
      </w:pPr>
    </w:p>
    <w:p>
      <w:pPr>
        <w:ind w:firstLine="1577"/>
        <w:spacing w:after="0" w:line="274" w:lineRule="auto"/>
        <w:tabs>
          <w:tab w:leader="none" w:pos="2451" w:val="left"/>
        </w:tabs>
        <w:numPr>
          <w:ilvl w:val="1"/>
          <w:numId w:val="155"/>
        </w:numPr>
        <w:rPr>
          <w:rFonts w:ascii="Arial" w:cs="Arial" w:eastAsia="Arial" w:hAnsi="Arial"/>
          <w:sz w:val="21"/>
          <w:szCs w:val="21"/>
          <w:color w:val="auto"/>
        </w:rPr>
      </w:pPr>
      <w:r>
        <w:rPr>
          <w:rFonts w:ascii="Arial" w:cs="Arial" w:eastAsia="Arial" w:hAnsi="Arial"/>
          <w:sz w:val="21"/>
          <w:szCs w:val="21"/>
          <w:color w:val="auto"/>
        </w:rPr>
        <w:t>Capitalized terms used in this First Amendment shall have the same definitions as set forth in the Sublease to the extent that such capitalized terms are defined therein and not redefined in this First Amendment.</w:t>
      </w:r>
    </w:p>
    <w:p>
      <w:pPr>
        <w:spacing w:after="0" w:line="150" w:lineRule="exact"/>
        <w:rPr>
          <w:rFonts w:ascii="Arial" w:cs="Arial" w:eastAsia="Arial" w:hAnsi="Arial"/>
          <w:sz w:val="21"/>
          <w:szCs w:val="21"/>
          <w:color w:val="auto"/>
        </w:rPr>
      </w:pPr>
    </w:p>
    <w:p>
      <w:pPr>
        <w:jc w:val="both"/>
        <w:ind w:firstLine="1577"/>
        <w:spacing w:after="0" w:line="275" w:lineRule="auto"/>
        <w:tabs>
          <w:tab w:leader="none" w:pos="2427" w:val="left"/>
        </w:tabs>
        <w:numPr>
          <w:ilvl w:val="1"/>
          <w:numId w:val="155"/>
        </w:numPr>
        <w:rPr>
          <w:rFonts w:ascii="Arial" w:cs="Arial" w:eastAsia="Arial" w:hAnsi="Arial"/>
          <w:sz w:val="19"/>
          <w:szCs w:val="19"/>
          <w:color w:val="auto"/>
        </w:rPr>
      </w:pPr>
      <w:r>
        <w:rPr>
          <w:rFonts w:ascii="Arial" w:cs="Arial" w:eastAsia="Arial" w:hAnsi="Arial"/>
          <w:sz w:val="19"/>
          <w:szCs w:val="19"/>
          <w:color w:val="auto"/>
        </w:rPr>
        <w:t>Subtenant hereby represents to Sublandlord that Subtenant has dealt with no broker in connection with this First Amendment other than Newmark Knight Frank (“</w:t>
      </w:r>
      <w:r>
        <w:rPr>
          <w:rFonts w:ascii="Arial" w:cs="Arial" w:eastAsia="Arial" w:hAnsi="Arial"/>
          <w:sz w:val="19"/>
          <w:szCs w:val="19"/>
          <w:b w:val="1"/>
          <w:bCs w:val="1"/>
          <w:color w:val="auto"/>
        </w:rPr>
        <w:t>Newmark</w:t>
      </w:r>
      <w:r>
        <w:rPr>
          <w:rFonts w:ascii="Arial" w:cs="Arial" w:eastAsia="Arial" w:hAnsi="Arial"/>
          <w:sz w:val="19"/>
          <w:szCs w:val="19"/>
          <w:color w:val="auto"/>
        </w:rPr>
        <w:t>”). Subtenant agrees to defend, indemnify and hold Sublandlord harmless from all claims of any brokers (including Newmark, but excluding CRESA) claiming to have represented Subtenant in connection with this First Amendment. Sublandlord hereby represents to Subtenant that Sublandlord has dealt with no broker in connection with this First Amendment other than CRESA. Sublandlord agrees to indemnify and hold Subtenant harmless from all claims of any brokers (including CRESA, but excluding Newmark) claiming to have represented Sublandlord in connection with this First Amendment. It is the intention of the parties that no brokers will be entitled to a commission as a consequence of the execution of this First Amendment.</w:t>
      </w:r>
    </w:p>
    <w:p>
      <w:pPr>
        <w:spacing w:after="0" w:line="157" w:lineRule="exact"/>
        <w:rPr>
          <w:rFonts w:ascii="Arial" w:cs="Arial" w:eastAsia="Arial" w:hAnsi="Arial"/>
          <w:sz w:val="19"/>
          <w:szCs w:val="19"/>
          <w:color w:val="auto"/>
        </w:rPr>
      </w:pPr>
    </w:p>
    <w:p>
      <w:pPr>
        <w:ind w:firstLine="1577"/>
        <w:spacing w:after="0" w:line="250" w:lineRule="auto"/>
        <w:tabs>
          <w:tab w:leader="none" w:pos="2463" w:val="left"/>
        </w:tabs>
        <w:numPr>
          <w:ilvl w:val="1"/>
          <w:numId w:val="155"/>
        </w:numPr>
        <w:rPr>
          <w:rFonts w:ascii="Arial" w:cs="Arial" w:eastAsia="Arial" w:hAnsi="Arial"/>
          <w:sz w:val="22"/>
          <w:szCs w:val="22"/>
          <w:color w:val="auto"/>
        </w:rPr>
      </w:pPr>
      <w:r>
        <w:rPr>
          <w:rFonts w:ascii="Arial" w:cs="Arial" w:eastAsia="Arial" w:hAnsi="Arial"/>
          <w:sz w:val="22"/>
          <w:szCs w:val="22"/>
          <w:color w:val="auto"/>
        </w:rPr>
        <w:t>Each signatory of this First Amendment represents hereby that he or she has the authority to execute and deliver the same on behalf of the party hereto for which such signatory is acting.</w:t>
      </w:r>
    </w:p>
    <w:p>
      <w:pPr>
        <w:spacing w:after="0" w:line="134" w:lineRule="exact"/>
        <w:rPr>
          <w:rFonts w:ascii="Arial" w:cs="Arial" w:eastAsia="Arial" w:hAnsi="Arial"/>
          <w:sz w:val="22"/>
          <w:szCs w:val="22"/>
          <w:color w:val="auto"/>
        </w:rPr>
      </w:pPr>
    </w:p>
    <w:p>
      <w:pPr>
        <w:jc w:val="both"/>
        <w:ind w:firstLine="1577"/>
        <w:spacing w:after="0" w:line="238" w:lineRule="auto"/>
        <w:tabs>
          <w:tab w:leader="none" w:pos="2463"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This First Amendment may be executed in multiple counterparts each of which is deemed an original but together constitute one and the same instrument. This First Amendment may be executed in so-called “pdf” format and each party has the right to rely upon a pdf counterpart of this First Amendment signed by the other party to the same extent as if such party had received an original counterpart.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 ARE ON FOLLOWING PAGE]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61419352 v2</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08137\011\9086586.v4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222" w:name="page223"/>
    <w:bookmarkEnd w:id="222"/>
    <w:p>
      <w:pPr>
        <w:ind w:right="380" w:firstLine="784"/>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Sublandlord and Subtenant have duly executed this First Amendment as of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Effective Date.</w:t>
      </w:r>
    </w:p>
    <w:p>
      <w:pPr>
        <w:spacing w:after="0" w:line="172" w:lineRule="exact"/>
        <w:rPr>
          <w:sz w:val="20"/>
          <w:szCs w:val="20"/>
          <w:color w:val="auto"/>
        </w:rPr>
      </w:pPr>
    </w:p>
    <w:tbl>
      <w:tblPr>
        <w:tblLayout w:type="fixed"/>
        <w:tblInd w:w="5620" w:type="dxa"/>
        <w:tblCellMar>
          <w:top w:w="0" w:type="dxa"/>
          <w:left w:w="0" w:type="dxa"/>
          <w:bottom w:w="0" w:type="dxa"/>
          <w:right w:w="0" w:type="dxa"/>
        </w:tblCellMar>
      </w:tblPr>
      <w:tr>
        <w:trPr>
          <w:trHeight w:val="253"/>
        </w:trPr>
        <w:tc>
          <w:tcPr>
            <w:tcW w:w="2160" w:type="dxa"/>
            <w:vAlign w:val="bottom"/>
            <w:gridSpan w:val="2"/>
          </w:tcPr>
          <w:p>
            <w:pPr>
              <w:spacing w:after="0"/>
              <w:rPr>
                <w:sz w:val="20"/>
                <w:szCs w:val="20"/>
                <w:color w:val="auto"/>
              </w:rPr>
            </w:pPr>
            <w:r>
              <w:rPr>
                <w:rFonts w:ascii="Arial" w:cs="Arial" w:eastAsia="Arial" w:hAnsi="Arial"/>
                <w:sz w:val="22"/>
                <w:szCs w:val="22"/>
                <w:color w:val="auto"/>
              </w:rPr>
              <w:t>SUBLANDLORD:</w:t>
            </w:r>
          </w:p>
        </w:tc>
        <w:tc>
          <w:tcPr>
            <w:tcW w:w="3460" w:type="dxa"/>
            <w:vAlign w:val="bottom"/>
          </w:tcPr>
          <w:p>
            <w:pPr>
              <w:ind w:left="40"/>
              <w:spacing w:after="0"/>
              <w:rPr>
                <w:sz w:val="20"/>
                <w:szCs w:val="20"/>
                <w:color w:val="auto"/>
              </w:rPr>
            </w:pPr>
            <w:r>
              <w:rPr>
                <w:rFonts w:ascii="Arial" w:cs="Arial" w:eastAsia="Arial" w:hAnsi="Arial"/>
                <w:sz w:val="22"/>
                <w:szCs w:val="22"/>
                <w:color w:val="auto"/>
              </w:rPr>
              <w:t>TWITTER, INC.,</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60" w:type="dxa"/>
            <w:vAlign w:val="bottom"/>
          </w:tcPr>
          <w:p>
            <w:pPr>
              <w:ind w:left="40"/>
              <w:spacing w:after="0"/>
              <w:rPr>
                <w:sz w:val="20"/>
                <w:szCs w:val="20"/>
                <w:color w:val="auto"/>
              </w:rPr>
            </w:pPr>
            <w:r>
              <w:rPr>
                <w:rFonts w:ascii="Arial" w:cs="Arial" w:eastAsia="Arial" w:hAnsi="Arial"/>
                <w:sz w:val="22"/>
                <w:szCs w:val="22"/>
                <w:color w:val="auto"/>
              </w:rPr>
              <w:t>a Delaware corporation</w:t>
            </w:r>
          </w:p>
        </w:tc>
        <w:tc>
          <w:tcPr>
            <w:tcW w:w="0" w:type="dxa"/>
            <w:vAlign w:val="bottom"/>
          </w:tcPr>
          <w:p>
            <w:pPr>
              <w:spacing w:after="0"/>
              <w:rPr>
                <w:sz w:val="1"/>
                <w:szCs w:val="1"/>
                <w:color w:val="auto"/>
              </w:rPr>
            </w:pPr>
          </w:p>
        </w:tc>
      </w:tr>
      <w:tr>
        <w:trPr>
          <w:trHeight w:val="462"/>
        </w:trPr>
        <w:tc>
          <w:tcPr>
            <w:tcW w:w="132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T Hawkins</w:t>
            </w:r>
          </w:p>
        </w:tc>
        <w:tc>
          <w:tcPr>
            <w:tcW w:w="0" w:type="dxa"/>
            <w:vAlign w:val="bottom"/>
          </w:tcPr>
          <w:p>
            <w:pPr>
              <w:spacing w:after="0"/>
              <w:rPr>
                <w:sz w:val="1"/>
                <w:szCs w:val="1"/>
                <w:color w:val="auto"/>
              </w:rPr>
            </w:pPr>
          </w:p>
        </w:tc>
      </w:tr>
      <w:tr>
        <w:trPr>
          <w:trHeight w:val="94"/>
        </w:trPr>
        <w:tc>
          <w:tcPr>
            <w:tcW w:w="1320" w:type="dxa"/>
            <w:vAlign w:val="bottom"/>
            <w:vMerge w:val="restart"/>
          </w:tcPr>
          <w:p>
            <w:pPr>
              <w:spacing w:after="0"/>
              <w:rPr>
                <w:sz w:val="20"/>
                <w:szCs w:val="20"/>
                <w:color w:val="auto"/>
              </w:rPr>
            </w:pPr>
            <w:r>
              <w:rPr>
                <w:rFonts w:ascii="Arial" w:cs="Arial" w:eastAsia="Arial" w:hAnsi="Arial"/>
                <w:sz w:val="22"/>
                <w:szCs w:val="22"/>
                <w:color w:val="auto"/>
              </w:rPr>
              <w:t>Print Name:</w:t>
            </w:r>
          </w:p>
        </w:tc>
        <w:tc>
          <w:tcPr>
            <w:tcW w:w="4300" w:type="dxa"/>
            <w:vAlign w:val="bottom"/>
            <w:gridSpan w:val="2"/>
          </w:tcPr>
          <w:p>
            <w:pPr>
              <w:spacing w:after="0" w:line="94" w:lineRule="exact"/>
              <w:rPr>
                <w:sz w:val="20"/>
                <w:szCs w:val="20"/>
                <w:color w:val="auto"/>
              </w:rPr>
            </w:pPr>
            <w:r>
              <w:rPr>
                <w:rFonts w:ascii="Arial" w:cs="Arial" w:eastAsia="Arial" w:hAnsi="Arial"/>
                <w:sz w:val="10"/>
                <w:szCs w:val="10"/>
                <w:color w:val="0092BE"/>
              </w:rPr>
              <w:t>T Hawkins (Dec 3, 2021 15:29 PST)</w:t>
            </w:r>
          </w:p>
        </w:tc>
        <w:tc>
          <w:tcPr>
            <w:tcW w:w="0" w:type="dxa"/>
            <w:vAlign w:val="bottom"/>
          </w:tcPr>
          <w:p>
            <w:pPr>
              <w:spacing w:after="0"/>
              <w:rPr>
                <w:sz w:val="1"/>
                <w:szCs w:val="1"/>
                <w:color w:val="auto"/>
              </w:rPr>
            </w:pPr>
          </w:p>
        </w:tc>
      </w:tr>
      <w:tr>
        <w:trPr>
          <w:trHeight w:val="264"/>
        </w:trPr>
        <w:tc>
          <w:tcPr>
            <w:tcW w:w="1320" w:type="dxa"/>
            <w:vAlign w:val="bottom"/>
            <w:vMerge w:val="continue"/>
          </w:tcPr>
          <w:p>
            <w:pPr>
              <w:spacing w:after="0"/>
              <w:rPr>
                <w:sz w:val="22"/>
                <w:szCs w:val="22"/>
                <w:color w:val="auto"/>
              </w:rPr>
            </w:pPr>
          </w:p>
        </w:tc>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T Hawkins</w:t>
            </w:r>
          </w:p>
        </w:tc>
        <w:tc>
          <w:tcPr>
            <w:tcW w:w="0" w:type="dxa"/>
            <w:vAlign w:val="bottom"/>
          </w:tcPr>
          <w:p>
            <w:pPr>
              <w:spacing w:after="0"/>
              <w:rPr>
                <w:sz w:val="1"/>
                <w:szCs w:val="1"/>
                <w:color w:val="auto"/>
              </w:rPr>
            </w:pPr>
          </w:p>
        </w:tc>
      </w:tr>
      <w:tr>
        <w:trPr>
          <w:trHeight w:val="237"/>
        </w:trPr>
        <w:tc>
          <w:tcPr>
            <w:tcW w:w="132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8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w w:val="94"/>
              </w:rPr>
              <w:t>VP REW</w:t>
            </w:r>
          </w:p>
        </w:tc>
        <w:tc>
          <w:tcPr>
            <w:tcW w:w="3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160" w:type="dxa"/>
            <w:vAlign w:val="bottom"/>
            <w:gridSpan w:val="2"/>
          </w:tcPr>
          <w:p>
            <w:pPr>
              <w:spacing w:after="0"/>
              <w:rPr>
                <w:sz w:val="20"/>
                <w:szCs w:val="20"/>
                <w:color w:val="auto"/>
              </w:rPr>
            </w:pPr>
            <w:r>
              <w:rPr>
                <w:rFonts w:ascii="Arial" w:cs="Arial" w:eastAsia="Arial" w:hAnsi="Arial"/>
                <w:sz w:val="22"/>
                <w:szCs w:val="22"/>
                <w:color w:val="auto"/>
              </w:rPr>
              <w:t>SUBTENANT:</w:t>
            </w:r>
          </w:p>
        </w:tc>
        <w:tc>
          <w:tcPr>
            <w:tcW w:w="3460" w:type="dxa"/>
            <w:vAlign w:val="bottom"/>
          </w:tcPr>
          <w:p>
            <w:pPr>
              <w:ind w:left="40"/>
              <w:spacing w:after="0"/>
              <w:rPr>
                <w:sz w:val="20"/>
                <w:szCs w:val="20"/>
                <w:color w:val="auto"/>
              </w:rPr>
            </w:pPr>
            <w:r>
              <w:rPr>
                <w:rFonts w:ascii="Arial" w:cs="Arial" w:eastAsia="Arial" w:hAnsi="Arial"/>
                <w:sz w:val="22"/>
                <w:szCs w:val="22"/>
                <w:color w:val="auto"/>
              </w:rPr>
              <w:t>SOLID BIOSCIENCES, LLC,</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60" w:type="dxa"/>
            <w:vAlign w:val="bottom"/>
          </w:tcPr>
          <w:p>
            <w:pPr>
              <w:ind w:left="40"/>
              <w:spacing w:after="0"/>
              <w:rPr>
                <w:sz w:val="20"/>
                <w:szCs w:val="20"/>
                <w:color w:val="auto"/>
              </w:rPr>
            </w:pPr>
            <w:r>
              <w:rPr>
                <w:rFonts w:ascii="Arial" w:cs="Arial" w:eastAsia="Arial" w:hAnsi="Arial"/>
                <w:sz w:val="22"/>
                <w:szCs w:val="22"/>
                <w:color w:val="auto"/>
                <w:w w:val="97"/>
              </w:rPr>
              <w:t>a Delaware limited liability company</w:t>
            </w:r>
          </w:p>
        </w:tc>
        <w:tc>
          <w:tcPr>
            <w:tcW w:w="0" w:type="dxa"/>
            <w:vAlign w:val="bottom"/>
          </w:tcPr>
          <w:p>
            <w:pPr>
              <w:spacing w:after="0"/>
              <w:rPr>
                <w:sz w:val="1"/>
                <w:szCs w:val="1"/>
                <w:color w:val="auto"/>
              </w:rPr>
            </w:pPr>
          </w:p>
        </w:tc>
      </w:tr>
      <w:tr>
        <w:trPr>
          <w:trHeight w:val="463"/>
        </w:trPr>
        <w:tc>
          <w:tcPr>
            <w:tcW w:w="132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Joel Schneider</w:t>
            </w:r>
          </w:p>
        </w:tc>
        <w:tc>
          <w:tcPr>
            <w:tcW w:w="0" w:type="dxa"/>
            <w:vAlign w:val="bottom"/>
          </w:tcPr>
          <w:p>
            <w:pPr>
              <w:spacing w:after="0"/>
              <w:rPr>
                <w:sz w:val="1"/>
                <w:szCs w:val="1"/>
                <w:color w:val="auto"/>
              </w:rPr>
            </w:pPr>
          </w:p>
        </w:tc>
      </w:tr>
      <w:tr>
        <w:trPr>
          <w:trHeight w:val="236"/>
        </w:trPr>
        <w:tc>
          <w:tcPr>
            <w:tcW w:w="1320" w:type="dxa"/>
            <w:vAlign w:val="bottom"/>
          </w:tcPr>
          <w:p>
            <w:pPr>
              <w:spacing w:after="0" w:line="237" w:lineRule="exact"/>
              <w:rPr>
                <w:sz w:val="20"/>
                <w:szCs w:val="20"/>
                <w:color w:val="auto"/>
              </w:rPr>
            </w:pPr>
            <w:r>
              <w:rPr>
                <w:rFonts w:ascii="Arial" w:cs="Arial" w:eastAsia="Arial" w:hAnsi="Arial"/>
                <w:sz w:val="22"/>
                <w:szCs w:val="22"/>
                <w:color w:val="auto"/>
              </w:rPr>
              <w:t>Print Name:</w:t>
            </w:r>
          </w:p>
        </w:tc>
        <w:tc>
          <w:tcPr>
            <w:tcW w:w="430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Joel Schneider</w:t>
            </w:r>
          </w:p>
        </w:tc>
        <w:tc>
          <w:tcPr>
            <w:tcW w:w="0" w:type="dxa"/>
            <w:vAlign w:val="bottom"/>
          </w:tcPr>
          <w:p>
            <w:pPr>
              <w:spacing w:after="0"/>
              <w:rPr>
                <w:sz w:val="1"/>
                <w:szCs w:val="1"/>
                <w:color w:val="auto"/>
              </w:rPr>
            </w:pPr>
          </w:p>
        </w:tc>
      </w:tr>
      <w:tr>
        <w:trPr>
          <w:trHeight w:val="237"/>
        </w:trPr>
        <w:tc>
          <w:tcPr>
            <w:tcW w:w="132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8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COO</w:t>
            </w:r>
          </w:p>
        </w:tc>
        <w:tc>
          <w:tcPr>
            <w:tcW w:w="3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Signature:</w:t>
      </w:r>
      <w:r>
        <w:rPr>
          <w:sz w:val="20"/>
          <w:szCs w:val="20"/>
          <w:color w:val="auto"/>
        </w:rPr>
        <w:tab/>
      </w:r>
      <w:r>
        <w:rPr>
          <w:rFonts w:ascii="Arial" w:cs="Arial" w:eastAsia="Arial" w:hAnsi="Arial"/>
          <w:sz w:val="22"/>
          <w:szCs w:val="22"/>
          <w:color w:val="auto"/>
        </w:rPr>
        <w:t>/s/ T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10795</wp:posOffset>
            </wp:positionV>
            <wp:extent cx="27343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1"/>
          <w:szCs w:val="11"/>
          <w:color w:val="0092BE"/>
        </w:rPr>
        <w:t>T Hawkins (Dec 3, 2021 15:29 PST)</w:t>
      </w:r>
    </w:p>
    <w:p>
      <w:pPr>
        <w:spacing w:after="0" w:line="230" w:lineRule="auto"/>
        <w:tabs>
          <w:tab w:leader="none" w:pos="1300" w:val="left"/>
        </w:tabs>
        <w:rPr>
          <w:sz w:val="20"/>
          <w:szCs w:val="20"/>
          <w:color w:val="auto"/>
        </w:rPr>
      </w:pPr>
      <w:r>
        <w:rPr>
          <w:rFonts w:ascii="Arial" w:cs="Arial" w:eastAsia="Arial" w:hAnsi="Arial"/>
          <w:sz w:val="22"/>
          <w:szCs w:val="22"/>
          <w:b w:val="1"/>
          <w:bCs w:val="1"/>
          <w:color w:val="auto"/>
        </w:rPr>
        <w:t>Email:</w:t>
      </w:r>
      <w:r>
        <w:rPr>
          <w:sz w:val="20"/>
          <w:szCs w:val="20"/>
          <w:color w:val="auto"/>
        </w:rPr>
        <w:tab/>
      </w:r>
      <w:r>
        <w:rPr>
          <w:rFonts w:ascii="Arial" w:cs="Arial" w:eastAsia="Arial" w:hAnsi="Arial"/>
          <w:sz w:val="22"/>
          <w:szCs w:val="22"/>
          <w:color w:val="auto"/>
        </w:rPr>
        <w:t>tracy@twitter.com</w:t>
      </w:r>
    </w:p>
    <w:p>
      <w:pPr>
        <w:spacing w:after="0" w:line="231" w:lineRule="auto"/>
        <w:tabs>
          <w:tab w:leader="none" w:pos="1300" w:val="left"/>
        </w:tabs>
        <w:rPr>
          <w:sz w:val="20"/>
          <w:szCs w:val="20"/>
          <w:color w:val="auto"/>
        </w:rPr>
      </w:pPr>
      <w:r>
        <w:rPr>
          <w:rFonts w:ascii="Arial" w:cs="Arial" w:eastAsia="Arial" w:hAnsi="Arial"/>
          <w:sz w:val="22"/>
          <w:szCs w:val="22"/>
          <w:b w:val="1"/>
          <w:bCs w:val="1"/>
          <w:color w:val="auto"/>
        </w:rPr>
        <w:t>Title:</w:t>
      </w:r>
      <w:r>
        <w:rPr>
          <w:sz w:val="20"/>
          <w:szCs w:val="20"/>
          <w:color w:val="auto"/>
        </w:rPr>
        <w:tab/>
      </w:r>
      <w:r>
        <w:rPr>
          <w:rFonts w:ascii="Arial" w:cs="Arial" w:eastAsia="Arial" w:hAnsi="Arial"/>
          <w:sz w:val="22"/>
          <w:szCs w:val="22"/>
          <w:color w:val="auto"/>
        </w:rPr>
        <w:t>VP REW</w:t>
      </w:r>
    </w:p>
    <w:p>
      <w:pPr>
        <w:spacing w:after="0"/>
        <w:tabs>
          <w:tab w:leader="none" w:pos="130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22"/>
          <w:szCs w:val="22"/>
          <w:color w:val="auto"/>
        </w:rPr>
        <w:t>Twitter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61419352 v2</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08137\011\9086586.v4</w:t>
      </w:r>
    </w:p>
    <w:p>
      <w:pPr>
        <w:sectPr>
          <w:pgSz w:w="11900" w:h="16838" w:orient="portrait"/>
          <w:cols w:equalWidth="0" w:num="1">
            <w:col w:w="11240"/>
          </w:cols>
          <w:pgMar w:left="320" w:top="1030"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6460" w:type="dxa"/>
            <w:vAlign w:val="bottom"/>
            <w:gridSpan w:val="4"/>
          </w:tcPr>
          <w:p>
            <w:pPr>
              <w:spacing w:after="0"/>
              <w:rPr>
                <w:sz w:val="20"/>
                <w:szCs w:val="20"/>
                <w:color w:val="auto"/>
              </w:rPr>
            </w:pPr>
            <w:r>
              <w:rPr>
                <w:rFonts w:ascii="Arial" w:cs="Arial" w:eastAsia="Arial" w:hAnsi="Arial"/>
                <w:sz w:val="18"/>
                <w:szCs w:val="18"/>
                <w:b w:val="1"/>
                <w:bCs w:val="1"/>
                <w:color w:val="auto"/>
              </w:rPr>
              <w:t>Subsidiaries of Solid Biosciences Inc.</w:t>
            </w:r>
          </w:p>
        </w:tc>
      </w:tr>
      <w:tr>
        <w:trPr>
          <w:trHeight w:val="472"/>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282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17"/>
        </w:trPr>
        <w:tc>
          <w:tcPr>
            <w:tcW w:w="3640" w:type="dxa"/>
            <w:vAlign w:val="bottom"/>
          </w:tcPr>
          <w:p>
            <w:pPr>
              <w:spacing w:after="0"/>
              <w:rPr>
                <w:sz w:val="20"/>
                <w:szCs w:val="20"/>
                <w:color w:val="auto"/>
              </w:rPr>
            </w:pPr>
            <w:r>
              <w:rPr>
                <w:rFonts w:ascii="Arial" w:cs="Arial" w:eastAsia="Arial" w:hAnsi="Arial"/>
                <w:sz w:val="18"/>
                <w:szCs w:val="18"/>
                <w:color w:val="auto"/>
              </w:rPr>
              <w:t>Solid Biosciences UK Limited</w:t>
            </w: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Solid Biosciences Securities Corporation</w:t>
            </w:r>
          </w:p>
        </w:tc>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r>
    </w:tbl>
    <w:p>
      <w:pPr>
        <w:sectPr>
          <w:pgSz w:w="11900" w:h="16838" w:orient="portrait"/>
          <w:cols w:equalWidth="0" w:num="1">
            <w:col w:w="10660"/>
          </w:cols>
          <w:pgMar w:left="900" w:top="121"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333-258856, 333-241370 and No. 333-222763) and Form S-3 (No. 333-258859, 333-254310 and 333-233594) of Solid Biosciences Inc. of our report dated March 14, 2022 relating to the financial statements, which appears in this Form 10-K.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ectPr>
          <w:pgSz w:w="11900" w:h="16838" w:orient="portrait"/>
          <w:cols w:equalWidth="0" w:num="1">
            <w:col w:w="11240"/>
          </w:cols>
          <w:pgMar w:left="320" w:top="121"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Ilan Ganot, certify that:</w:t>
      </w:r>
    </w:p>
    <w:p>
      <w:pPr>
        <w:spacing w:after="0" w:line="225" w:lineRule="exact"/>
        <w:rPr>
          <w:sz w:val="20"/>
          <w:szCs w:val="20"/>
          <w:color w:val="auto"/>
        </w:rPr>
      </w:pPr>
    </w:p>
    <w:p>
      <w:pPr>
        <w:ind w:left="180" w:hanging="172"/>
        <w:spacing w:after="0"/>
        <w:tabs>
          <w:tab w:leader="none" w:pos="1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Solid Biosciences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8"/>
        <w:spacing w:after="0" w:line="263" w:lineRule="auto"/>
        <w:tabs>
          <w:tab w:leader="none" w:pos="1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jc w:val="both"/>
        <w:ind w:right="100" w:firstLine="8"/>
        <w:spacing w:after="0" w:line="263" w:lineRule="auto"/>
        <w:tabs>
          <w:tab w:leader="none" w:pos="1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8"/>
        <w:spacing w:after="0" w:line="277" w:lineRule="auto"/>
        <w:tabs>
          <w:tab w:leader="none" w:pos="1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80" w:firstLine="8"/>
        <w:spacing w:after="0" w:line="263" w:lineRule="auto"/>
        <w:tabs>
          <w:tab w:leader="none" w:pos="1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100" w:firstLine="8"/>
        <w:spacing w:after="0" w:line="277" w:lineRule="auto"/>
        <w:tabs>
          <w:tab w:leader="none" w:pos="18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20" w:firstLine="8"/>
        <w:spacing w:after="0" w:line="277" w:lineRule="auto"/>
        <w:tabs>
          <w:tab w:leader="none" w:pos="19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Date: March 14, 2022</w:t>
            </w:r>
          </w:p>
        </w:tc>
        <w:tc>
          <w:tcPr>
            <w:tcW w:w="2680" w:type="dxa"/>
            <w:vAlign w:val="bottom"/>
          </w:tcPr>
          <w:p>
            <w:pPr>
              <w:ind w:left="23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Ilan Ganot</w:t>
            </w:r>
          </w:p>
        </w:tc>
      </w:tr>
      <w:tr>
        <w:trPr>
          <w:trHeight w:val="195"/>
        </w:trPr>
        <w:tc>
          <w:tcPr>
            <w:tcW w:w="39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0" w:type="dxa"/>
            <w:vAlign w:val="bottom"/>
          </w:tcPr>
          <w:p>
            <w:pPr>
              <w:jc w:val="center"/>
              <w:spacing w:after="0" w:line="195" w:lineRule="exact"/>
              <w:rPr>
                <w:sz w:val="20"/>
                <w:szCs w:val="20"/>
                <w:color w:val="auto"/>
              </w:rPr>
            </w:pPr>
            <w:r>
              <w:rPr>
                <w:rFonts w:ascii="Arial" w:cs="Arial" w:eastAsia="Arial" w:hAnsi="Arial"/>
                <w:sz w:val="18"/>
                <w:szCs w:val="18"/>
                <w:color w:val="auto"/>
                <w:w w:val="91"/>
              </w:rPr>
              <w:t>Ilan Ganot</w:t>
            </w:r>
          </w:p>
        </w:tc>
      </w:tr>
      <w:tr>
        <w:trPr>
          <w:trHeight w:val="216"/>
        </w:trPr>
        <w:tc>
          <w:tcPr>
            <w:tcW w:w="39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39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121"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DiPalma, certify that:</w:t>
      </w:r>
    </w:p>
    <w:p>
      <w:pPr>
        <w:spacing w:after="0" w:line="225" w:lineRule="exact"/>
        <w:rPr>
          <w:sz w:val="20"/>
          <w:szCs w:val="20"/>
          <w:color w:val="auto"/>
        </w:rPr>
      </w:pPr>
    </w:p>
    <w:p>
      <w:pPr>
        <w:ind w:left="180" w:hanging="172"/>
        <w:spacing w:after="0"/>
        <w:tabs>
          <w:tab w:leader="none" w:pos="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Solid Biosciences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8"/>
        <w:spacing w:after="0" w:line="263" w:lineRule="auto"/>
        <w:tabs>
          <w:tab w:leader="none" w:pos="1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jc w:val="both"/>
        <w:ind w:right="100" w:firstLine="8"/>
        <w:spacing w:after="0" w:line="263" w:lineRule="auto"/>
        <w:tabs>
          <w:tab w:leader="none" w:pos="1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8"/>
        <w:spacing w:after="0" w:line="277" w:lineRule="auto"/>
        <w:tabs>
          <w:tab w:leader="none" w:pos="1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380" w:firstLine="8"/>
        <w:spacing w:after="0" w:line="263" w:lineRule="auto"/>
        <w:tabs>
          <w:tab w:leader="none" w:pos="1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100" w:firstLine="8"/>
        <w:spacing w:after="0" w:line="277" w:lineRule="auto"/>
        <w:tabs>
          <w:tab w:leader="none" w:pos="18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20" w:firstLine="8"/>
        <w:spacing w:after="0" w:line="277" w:lineRule="auto"/>
        <w:tabs>
          <w:tab w:leader="none" w:pos="1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Date: March 14, 2022</w:t>
            </w:r>
          </w:p>
        </w:tc>
        <w:tc>
          <w:tcPr>
            <w:tcW w:w="2680" w:type="dxa"/>
            <w:vAlign w:val="bottom"/>
          </w:tcPr>
          <w:p>
            <w:pPr>
              <w:ind w:left="23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Stephen DiPalma</w:t>
            </w:r>
          </w:p>
        </w:tc>
      </w:tr>
      <w:tr>
        <w:trPr>
          <w:trHeight w:val="195"/>
        </w:trPr>
        <w:tc>
          <w:tcPr>
            <w:tcW w:w="39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0" w:type="dxa"/>
            <w:vAlign w:val="bottom"/>
          </w:tcPr>
          <w:p>
            <w:pPr>
              <w:jc w:val="center"/>
              <w:spacing w:after="0" w:line="195" w:lineRule="exact"/>
              <w:rPr>
                <w:sz w:val="20"/>
                <w:szCs w:val="20"/>
                <w:color w:val="auto"/>
              </w:rPr>
            </w:pPr>
            <w:r>
              <w:rPr>
                <w:rFonts w:ascii="Arial" w:cs="Arial" w:eastAsia="Arial" w:hAnsi="Arial"/>
                <w:sz w:val="18"/>
                <w:szCs w:val="18"/>
                <w:color w:val="auto"/>
                <w:w w:val="89"/>
              </w:rPr>
              <w:t>Stephen DiPalma</w:t>
            </w:r>
          </w:p>
        </w:tc>
      </w:tr>
      <w:tr>
        <w:trPr>
          <w:trHeight w:val="216"/>
        </w:trPr>
        <w:tc>
          <w:tcPr>
            <w:tcW w:w="39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5"/>
              </w:rPr>
              <w:t>Interim Chief Financial Officer</w:t>
            </w:r>
          </w:p>
        </w:tc>
      </w:tr>
      <w:tr>
        <w:trPr>
          <w:trHeight w:val="230"/>
        </w:trPr>
        <w:tc>
          <w:tcPr>
            <w:tcW w:w="39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240"/>
          </w:cols>
          <w:pgMar w:left="320" w:top="121"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color w:val="auto"/>
        </w:rPr>
        <w:t>In connection with the Annual Report of Solid Biosciences Inc. (the “Company”) on Form 10-K for the year ended December 31, 2021 as filed with the Securities and Exchange Commission on the date hereof (the “Report”), I, Ilan Ganot, Chief Executive Officer of the Company, certify, pursuant to 18 U.S.C. § 1350, as adopted pursuant to § 906 of the Sarbanes-Oxley Act of 2002, that, to my knowledge:</w:t>
      </w:r>
    </w:p>
    <w:p>
      <w:pPr>
        <w:spacing w:after="0" w:line="76" w:lineRule="exact"/>
        <w:rPr>
          <w:sz w:val="20"/>
          <w:szCs w:val="20"/>
          <w:color w:val="auto"/>
        </w:rPr>
      </w:pPr>
    </w:p>
    <w:p>
      <w:pPr>
        <w:ind w:left="1080" w:hanging="532"/>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March 14, 2022</w:t>
            </w:r>
          </w:p>
        </w:tc>
        <w:tc>
          <w:tcPr>
            <w:tcW w:w="1960" w:type="dxa"/>
            <w:vAlign w:val="bottom"/>
          </w:tcPr>
          <w:p>
            <w:pPr>
              <w:ind w:left="152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Ilan Ganot</w:t>
            </w:r>
          </w:p>
        </w:tc>
      </w:tr>
      <w:tr>
        <w:trPr>
          <w:trHeight w:val="195"/>
        </w:trPr>
        <w:tc>
          <w:tcPr>
            <w:tcW w:w="3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160" w:type="dxa"/>
            <w:vAlign w:val="bottom"/>
          </w:tcPr>
          <w:p>
            <w:pPr>
              <w:jc w:val="center"/>
              <w:spacing w:after="0" w:line="195" w:lineRule="exact"/>
              <w:rPr>
                <w:sz w:val="20"/>
                <w:szCs w:val="20"/>
                <w:color w:val="auto"/>
              </w:rPr>
            </w:pPr>
            <w:r>
              <w:rPr>
                <w:rFonts w:ascii="Arial" w:cs="Arial" w:eastAsia="Arial" w:hAnsi="Arial"/>
                <w:sz w:val="18"/>
                <w:szCs w:val="18"/>
                <w:color w:val="auto"/>
                <w:w w:val="91"/>
              </w:rPr>
              <w:t>Ilan Ganot</w:t>
            </w:r>
          </w:p>
        </w:tc>
      </w:tr>
      <w:tr>
        <w:trPr>
          <w:trHeight w:val="216"/>
        </w:trPr>
        <w:tc>
          <w:tcPr>
            <w:tcW w:w="3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3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121"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46"/>
        <w:spacing w:after="0" w:line="286" w:lineRule="auto"/>
        <w:rPr>
          <w:sz w:val="20"/>
          <w:szCs w:val="20"/>
          <w:color w:val="auto"/>
        </w:rPr>
      </w:pPr>
      <w:r>
        <w:rPr>
          <w:rFonts w:ascii="Arial" w:cs="Arial" w:eastAsia="Arial" w:hAnsi="Arial"/>
          <w:sz w:val="17"/>
          <w:szCs w:val="17"/>
          <w:color w:val="auto"/>
        </w:rPr>
        <w:t>In connection with the Annual Report of Solid Biosciences Inc. (the “Company”) on Form 10-K for the year ended December 31, 2021 as filed with the Securities and Exchange Commission on the date hereof (the “Report”), I, Stephen DiPalma, Interim Chief Financial Officer of the Company, certify, pursuant to 18 U.S.C. § 1350, as adopted pursuant to § 906 of the Sarbanes-Oxley Act of 2002, that, to my knowledge:</w:t>
      </w:r>
    </w:p>
    <w:p>
      <w:pPr>
        <w:spacing w:after="0" w:line="57" w:lineRule="exact"/>
        <w:rPr>
          <w:sz w:val="20"/>
          <w:szCs w:val="20"/>
          <w:color w:val="auto"/>
        </w:rPr>
      </w:pPr>
    </w:p>
    <w:p>
      <w:pPr>
        <w:ind w:left="1080" w:hanging="532"/>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Date: March 14, 2022</w:t>
            </w:r>
          </w:p>
        </w:tc>
        <w:tc>
          <w:tcPr>
            <w:tcW w:w="1960" w:type="dxa"/>
            <w:vAlign w:val="bottom"/>
          </w:tcPr>
          <w:p>
            <w:pPr>
              <w:ind w:left="1520"/>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Stephen DiPalma</w:t>
            </w:r>
          </w:p>
        </w:tc>
      </w:tr>
      <w:tr>
        <w:trPr>
          <w:trHeight w:val="195"/>
        </w:trPr>
        <w:tc>
          <w:tcPr>
            <w:tcW w:w="31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160" w:type="dxa"/>
            <w:vAlign w:val="bottom"/>
          </w:tcPr>
          <w:p>
            <w:pPr>
              <w:jc w:val="center"/>
              <w:spacing w:after="0" w:line="195" w:lineRule="exact"/>
              <w:rPr>
                <w:sz w:val="20"/>
                <w:szCs w:val="20"/>
                <w:color w:val="auto"/>
              </w:rPr>
            </w:pPr>
            <w:r>
              <w:rPr>
                <w:rFonts w:ascii="Arial" w:cs="Arial" w:eastAsia="Arial" w:hAnsi="Arial"/>
                <w:sz w:val="18"/>
                <w:szCs w:val="18"/>
                <w:color w:val="auto"/>
                <w:w w:val="88"/>
              </w:rPr>
              <w:t>Stephen DiPalma</w:t>
            </w:r>
          </w:p>
        </w:tc>
      </w:tr>
      <w:tr>
        <w:trPr>
          <w:trHeight w:val="216"/>
        </w:trPr>
        <w:tc>
          <w:tcPr>
            <w:tcW w:w="3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4"/>
              </w:rPr>
              <w:t>Interim Chief Financial Officer</w:t>
            </w:r>
          </w:p>
        </w:tc>
      </w:tr>
      <w:tr>
        <w:trPr>
          <w:trHeight w:val="230"/>
        </w:trPr>
        <w:tc>
          <w:tcPr>
            <w:tcW w:w="3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1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
      <w:numFmt w:val="bullet"/>
      <w:start w:val="1"/>
    </w:lvl>
  </w:abstractNum>
  <w:abstractNum w:abstractNumId="5">
    <w:nsid w:val="6F6DD9AC"/>
    <w:multiLevelType w:val="hybridMultilevel"/>
    <w:lvl w:ilvl="0">
      <w:lvlJc w:val="left"/>
      <w:lvlText w:val="•"/>
      <w:numFmt w:val="bullet"/>
      <w:start w:val="1"/>
    </w:lvl>
  </w:abstractNum>
  <w:abstractNum w:abstractNumId="6">
    <w:nsid w:val="94211F2"/>
    <w:multiLevelType w:val="hybridMultilevel"/>
    <w:lvl w:ilvl="0">
      <w:lvlJc w:val="left"/>
      <w:lvlText w:val="•"/>
      <w:numFmt w:val="bullet"/>
      <w:start w:val="1"/>
    </w:lvl>
  </w:abstractNum>
  <w:abstractNum w:abstractNumId="7">
    <w:nsid w:val="885E1B"/>
    <w:multiLevelType w:val="hybridMultilevel"/>
    <w:lvl w:ilvl="0">
      <w:lvlJc w:val="left"/>
      <w:lvlText w:val="•"/>
      <w:numFmt w:val="bullet"/>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
      <w:numFmt w:val="bullet"/>
      <w:start w:val="1"/>
    </w:lvl>
  </w:abstractNum>
  <w:abstractNum w:abstractNumId="10">
    <w:nsid w:val="1716703B"/>
    <w:multiLevelType w:val="hybridMultilevel"/>
    <w:lvl w:ilvl="0">
      <w:lvlJc w:val="left"/>
      <w:lvlText w:val="•"/>
      <w:numFmt w:val="bullet"/>
      <w:start w:val="1"/>
    </w:lvl>
  </w:abstractNum>
  <w:abstractNum w:abstractNumId="11">
    <w:nsid w:val="14E17E33"/>
    <w:multiLevelType w:val="hybridMultilevel"/>
    <w:lvl w:ilvl="0">
      <w:lvlJc w:val="left"/>
      <w:lvlText w:val="•"/>
      <w:numFmt w:val="bullet"/>
      <w:start w:val="1"/>
    </w:lvl>
  </w:abstractNum>
  <w:abstractNum w:abstractNumId="12">
    <w:nsid w:val="3222E7CD"/>
    <w:multiLevelType w:val="hybridMultilevel"/>
    <w:lvl w:ilvl="0">
      <w:lvlJc w:val="left"/>
      <w:lvlText w:val="•"/>
      <w:numFmt w:val="bullet"/>
      <w:start w:val="1"/>
    </w:lvl>
  </w:abstractNum>
  <w:abstractNum w:abstractNumId="13">
    <w:nsid w:val="74DE0EE3"/>
    <w:multiLevelType w:val="hybridMultilevel"/>
    <w:lvl w:ilvl="0">
      <w:lvlJc w:val="left"/>
      <w:lvlText w:val="•"/>
      <w:numFmt w:val="bullet"/>
      <w:start w:val="1"/>
    </w:lvl>
  </w:abstractNum>
  <w:abstractNum w:abstractNumId="14">
    <w:nsid w:val="68EBC550"/>
    <w:multiLevelType w:val="hybridMultilevel"/>
    <w:lvl w:ilvl="0">
      <w:lvlJc w:val="left"/>
      <w:lvlText w:val="•"/>
      <w:numFmt w:val="bullet"/>
      <w:start w:val="1"/>
    </w:lvl>
  </w:abstractNum>
  <w:abstractNum w:abstractNumId="15">
    <w:nsid w:val="2DF6D648"/>
    <w:multiLevelType w:val="hybridMultilevel"/>
    <w:lvl w:ilvl="0">
      <w:lvlJc w:val="left"/>
      <w:lvlText w:val="(%1)"/>
      <w:numFmt w:val="decimal"/>
      <w:start w:val="617"/>
    </w:lvl>
  </w:abstractNum>
  <w:abstractNum w:abstractNumId="16">
    <w:nsid w:val="46B7D447"/>
    <w:multiLevelType w:val="hybridMultilevel"/>
    <w:lvl w:ilvl="0">
      <w:lvlJc w:val="left"/>
      <w:lvlText w:val="•"/>
      <w:numFmt w:val="bullet"/>
      <w:start w:val="1"/>
    </w:lvl>
  </w:abstractNum>
  <w:abstractNum w:abstractNumId="17">
    <w:nsid w:val="4A2AC315"/>
    <w:multiLevelType w:val="hybridMultilevel"/>
    <w:lvl w:ilvl="0">
      <w:lvlJc w:val="left"/>
      <w:lvlText w:val="•"/>
      <w:numFmt w:val="bullet"/>
      <w:start w:val="1"/>
    </w:lvl>
  </w:abstractNum>
  <w:abstractNum w:abstractNumId="18">
    <w:nsid w:val="39EE015C"/>
    <w:multiLevelType w:val="hybridMultilevel"/>
    <w:lvl w:ilvl="0">
      <w:lvlJc w:val="left"/>
      <w:lvlText w:val="•"/>
      <w:numFmt w:val="bullet"/>
      <w:start w:val="1"/>
    </w:lvl>
  </w:abstractNum>
  <w:abstractNum w:abstractNumId="19">
    <w:nsid w:val="57FC4FBB"/>
    <w:multiLevelType w:val="hybridMultilevel"/>
    <w:lvl w:ilvl="0">
      <w:lvlJc w:val="left"/>
      <w:lvlText w:val="•"/>
      <w:numFmt w:val="bullet"/>
      <w:start w:val="1"/>
    </w:lvl>
  </w:abstractNum>
  <w:abstractNum w:abstractNumId="20">
    <w:nsid w:val="CC1016F"/>
    <w:multiLevelType w:val="hybridMultilevel"/>
    <w:lvl w:ilvl="0">
      <w:lvlJc w:val="left"/>
      <w:lvlText w:val="•"/>
      <w:numFmt w:val="bullet"/>
      <w:start w:val="1"/>
    </w:lvl>
  </w:abstractNum>
  <w:abstractNum w:abstractNumId="21">
    <w:nsid w:val="43F18422"/>
    <w:multiLevelType w:val="hybridMultilevel"/>
    <w:lvl w:ilvl="0">
      <w:lvlJc w:val="left"/>
      <w:lvlText w:val="•"/>
      <w:numFmt w:val="bullet"/>
      <w:start w:val="1"/>
    </w:lvl>
  </w:abstractNum>
  <w:abstractNum w:abstractNumId="22">
    <w:nsid w:val="60EF0119"/>
    <w:multiLevelType w:val="hybridMultilevel"/>
    <w:lvl w:ilvl="0">
      <w:lvlJc w:val="left"/>
      <w:lvlText w:val="•"/>
      <w:numFmt w:val="bullet"/>
      <w:start w:val="1"/>
    </w:lvl>
  </w:abstractNum>
  <w:abstractNum w:abstractNumId="23">
    <w:nsid w:val="26F324BA"/>
    <w:multiLevelType w:val="hybridMultilevel"/>
    <w:lvl w:ilvl="0">
      <w:lvlJc w:val="left"/>
      <w:lvlText w:val="•"/>
      <w:numFmt w:val="bullet"/>
      <w:start w:val="1"/>
    </w:lvl>
  </w:abstractNum>
  <w:abstractNum w:abstractNumId="24">
    <w:nsid w:val="7F01579B"/>
    <w:multiLevelType w:val="hybridMultilevel"/>
    <w:lvl w:ilvl="0">
      <w:lvlJc w:val="left"/>
      <w:lvlText w:val="•"/>
      <w:numFmt w:val="bullet"/>
      <w:start w:val="1"/>
    </w:lvl>
  </w:abstractNum>
  <w:abstractNum w:abstractNumId="25">
    <w:nsid w:val="49DA307D"/>
    <w:multiLevelType w:val="hybridMultilevel"/>
    <w:lvl w:ilvl="0">
      <w:lvlJc w:val="left"/>
      <w:lvlText w:val="•"/>
      <w:numFmt w:val="bullet"/>
      <w:start w:val="1"/>
    </w:lvl>
  </w:abstractNum>
  <w:abstractNum w:abstractNumId="26">
    <w:nsid w:val="7055A5F5"/>
    <w:multiLevelType w:val="hybridMultilevel"/>
    <w:lvl w:ilvl="0">
      <w:lvlJc w:val="left"/>
      <w:lvlText w:val="•"/>
      <w:numFmt w:val="bullet"/>
      <w:start w:val="1"/>
    </w:lvl>
  </w:abstractNum>
  <w:abstractNum w:abstractNumId="27">
    <w:nsid w:val="5FB8370B"/>
    <w:multiLevelType w:val="hybridMultilevel"/>
    <w:lvl w:ilvl="0">
      <w:lvlJc w:val="left"/>
      <w:lvlText w:val="•"/>
      <w:numFmt w:val="bullet"/>
      <w:start w:val="1"/>
    </w:lvl>
  </w:abstractNum>
  <w:abstractNum w:abstractNumId="28">
    <w:nsid w:val="50801EE1"/>
    <w:multiLevelType w:val="hybridMultilevel"/>
    <w:lvl w:ilvl="0">
      <w:lvlJc w:val="left"/>
      <w:lvlText w:val="•"/>
      <w:numFmt w:val="bullet"/>
      <w:start w:val="1"/>
    </w:lvl>
  </w:abstractNum>
  <w:abstractNum w:abstractNumId="29">
    <w:nsid w:val="488AC1A"/>
    <w:multiLevelType w:val="hybridMultilevel"/>
    <w:lvl w:ilvl="0">
      <w:lvlJc w:val="left"/>
      <w:lvlText w:val="(%1)"/>
      <w:numFmt w:val="lowerLetter"/>
      <w:start w:val="2"/>
    </w:lvl>
  </w:abstractNum>
  <w:abstractNum w:abstractNumId="30">
    <w:nsid w:val="5FB8011C"/>
    <w:multiLevelType w:val="hybridMultilevel"/>
    <w:lvl w:ilvl="0">
      <w:lvlJc w:val="left"/>
      <w:lvlText w:val="•"/>
      <w:numFmt w:val="bullet"/>
      <w:start w:val="1"/>
    </w:lvl>
  </w:abstractNum>
  <w:abstractNum w:abstractNumId="31">
    <w:nsid w:val="6AA78F7F"/>
    <w:multiLevelType w:val="hybridMultilevel"/>
    <w:lvl w:ilvl="0">
      <w:lvlJc w:val="left"/>
      <w:lvlText w:val="•"/>
      <w:numFmt w:val="bullet"/>
      <w:start w:val="1"/>
    </w:lvl>
  </w:abstractNum>
  <w:abstractNum w:abstractNumId="32">
    <w:nsid w:val="7672BD23"/>
    <w:multiLevelType w:val="hybridMultilevel"/>
    <w:lvl w:ilvl="0">
      <w:lvlJc w:val="left"/>
      <w:lvlText w:val="•"/>
      <w:numFmt w:val="bullet"/>
      <w:start w:val="1"/>
    </w:lvl>
  </w:abstractNum>
  <w:abstractNum w:abstractNumId="33">
    <w:nsid w:val="6FC75AF8"/>
    <w:multiLevelType w:val="hybridMultilevel"/>
    <w:lvl w:ilvl="0">
      <w:lvlJc w:val="left"/>
      <w:lvlText w:val="•"/>
      <w:numFmt w:val="bullet"/>
      <w:start w:val="1"/>
    </w:lvl>
  </w:abstractNum>
  <w:abstractNum w:abstractNumId="34">
    <w:nsid w:val="6A5F7029"/>
    <w:multiLevelType w:val="hybridMultilevel"/>
    <w:lvl w:ilvl="0">
      <w:lvlJc w:val="left"/>
      <w:lvlText w:val="•"/>
      <w:numFmt w:val="bullet"/>
      <w:start w:val="1"/>
    </w:lvl>
  </w:abstractNum>
  <w:abstractNum w:abstractNumId="35">
    <w:nsid w:val="7D5E18F8"/>
    <w:multiLevelType w:val="hybridMultilevel"/>
    <w:lvl w:ilvl="0">
      <w:lvlJc w:val="left"/>
      <w:lvlText w:val="•"/>
      <w:numFmt w:val="bullet"/>
      <w:start w:val="1"/>
    </w:lvl>
  </w:abstractNum>
  <w:abstractNum w:abstractNumId="36">
    <w:nsid w:val="5F3534A4"/>
    <w:multiLevelType w:val="hybridMultilevel"/>
    <w:lvl w:ilvl="0">
      <w:lvlJc w:val="left"/>
      <w:lvlText w:val="•"/>
      <w:numFmt w:val="bullet"/>
      <w:start w:val="1"/>
    </w:lvl>
  </w:abstractNum>
  <w:abstractNum w:abstractNumId="37">
    <w:nsid w:val="73A1821B"/>
    <w:multiLevelType w:val="hybridMultilevel"/>
    <w:lvl w:ilvl="0">
      <w:lvlJc w:val="left"/>
      <w:lvlText w:val="•"/>
      <w:numFmt w:val="bullet"/>
      <w:start w:val="1"/>
    </w:lvl>
  </w:abstractNum>
  <w:abstractNum w:abstractNumId="38">
    <w:nsid w:val="7DE67713"/>
    <w:multiLevelType w:val="hybridMultilevel"/>
    <w:lvl w:ilvl="0">
      <w:lvlJc w:val="left"/>
      <w:lvlText w:val="•"/>
      <w:numFmt w:val="bullet"/>
      <w:start w:val="1"/>
    </w:lvl>
  </w:abstractNum>
  <w:abstractNum w:abstractNumId="39">
    <w:nsid w:val="555C55B5"/>
    <w:multiLevelType w:val="hybridMultilevel"/>
    <w:lvl w:ilvl="0">
      <w:lvlJc w:val="left"/>
      <w:lvlText w:val="•"/>
      <w:numFmt w:val="bullet"/>
      <w:start w:val="1"/>
    </w:lvl>
  </w:abstractNum>
  <w:abstractNum w:abstractNumId="40">
    <w:nsid w:val="3FA62ACA"/>
    <w:multiLevelType w:val="hybridMultilevel"/>
    <w:lvl w:ilvl="0">
      <w:lvlJc w:val="left"/>
      <w:lvlText w:val="•"/>
      <w:numFmt w:val="bullet"/>
      <w:start w:val="1"/>
    </w:lvl>
  </w:abstractNum>
  <w:abstractNum w:abstractNumId="41">
    <w:nsid w:val="14FCE74E"/>
    <w:multiLevelType w:val="hybridMultilevel"/>
    <w:lvl w:ilvl="0">
      <w:lvlJc w:val="left"/>
      <w:lvlText w:val="•"/>
      <w:numFmt w:val="bullet"/>
      <w:start w:val="1"/>
    </w:lvl>
  </w:abstractNum>
  <w:abstractNum w:abstractNumId="42">
    <w:nsid w:val="6A3DD3E8"/>
    <w:multiLevelType w:val="hybridMultilevel"/>
    <w:lvl w:ilvl="0">
      <w:lvlJc w:val="left"/>
      <w:lvlText w:val="•"/>
      <w:numFmt w:val="bullet"/>
      <w:start w:val="1"/>
    </w:lvl>
  </w:abstractNum>
  <w:abstractNum w:abstractNumId="43">
    <w:nsid w:val="71C91298"/>
    <w:multiLevelType w:val="hybridMultilevel"/>
    <w:lvl w:ilvl="0">
      <w:lvlJc w:val="left"/>
      <w:lvlText w:val="•"/>
      <w:numFmt w:val="bullet"/>
      <w:start w:val="1"/>
    </w:lvl>
  </w:abstractNum>
  <w:abstractNum w:abstractNumId="44">
    <w:nsid w:val="9DAF632"/>
    <w:multiLevelType w:val="hybridMultilevel"/>
    <w:lvl w:ilvl="0">
      <w:lvlJc w:val="left"/>
      <w:lvlText w:val="•"/>
      <w:numFmt w:val="bullet"/>
      <w:start w:val="1"/>
    </w:lvl>
  </w:abstractNum>
  <w:abstractNum w:abstractNumId="45">
    <w:nsid w:val="53299938"/>
    <w:multiLevelType w:val="hybridMultilevel"/>
    <w:lvl w:ilvl="0">
      <w:lvlJc w:val="left"/>
      <w:lvlText w:val="•"/>
      <w:numFmt w:val="bullet"/>
      <w:start w:val="1"/>
    </w:lvl>
  </w:abstractNum>
  <w:abstractNum w:abstractNumId="46">
    <w:nsid w:val="1FBFE8E0"/>
    <w:multiLevelType w:val="hybridMultilevel"/>
    <w:lvl w:ilvl="0">
      <w:lvlJc w:val="left"/>
      <w:lvlText w:val="•"/>
      <w:numFmt w:val="bullet"/>
      <w:start w:val="1"/>
    </w:lvl>
  </w:abstractNum>
  <w:abstractNum w:abstractNumId="47">
    <w:nsid w:val="5092CA79"/>
    <w:multiLevelType w:val="hybridMultilevel"/>
    <w:lvl w:ilvl="0">
      <w:lvlJc w:val="left"/>
      <w:lvlText w:val="•"/>
      <w:numFmt w:val="bullet"/>
      <w:start w:val="1"/>
    </w:lvl>
  </w:abstractNum>
  <w:abstractNum w:abstractNumId="48">
    <w:nsid w:val="1D545C4D"/>
    <w:multiLevelType w:val="hybridMultilevel"/>
    <w:lvl w:ilvl="0">
      <w:lvlJc w:val="left"/>
      <w:lvlText w:val="•"/>
      <w:numFmt w:val="bullet"/>
      <w:start w:val="1"/>
    </w:lvl>
  </w:abstractNum>
  <w:abstractNum w:abstractNumId="49">
    <w:nsid w:val="59ADEA3D"/>
    <w:multiLevelType w:val="hybridMultilevel"/>
    <w:lvl w:ilvl="0">
      <w:lvlJc w:val="left"/>
      <w:lvlText w:val="•"/>
      <w:numFmt w:val="bullet"/>
      <w:start w:val="1"/>
    </w:lvl>
  </w:abstractNum>
  <w:abstractNum w:abstractNumId="50">
    <w:nsid w:val="288F1A34"/>
    <w:multiLevelType w:val="hybridMultilevel"/>
    <w:lvl w:ilvl="0">
      <w:lvlJc w:val="left"/>
      <w:lvlText w:val="•"/>
      <w:numFmt w:val="bullet"/>
      <w:start w:val="1"/>
    </w:lvl>
  </w:abstractNum>
  <w:abstractNum w:abstractNumId="51">
    <w:nsid w:val="2A155DBC"/>
    <w:multiLevelType w:val="hybridMultilevel"/>
    <w:lvl w:ilvl="0">
      <w:lvlJc w:val="left"/>
      <w:lvlText w:val="•"/>
      <w:numFmt w:val="bullet"/>
      <w:start w:val="1"/>
    </w:lvl>
  </w:abstractNum>
  <w:abstractNum w:abstractNumId="52">
    <w:nsid w:val="1D9F6E5F"/>
    <w:multiLevelType w:val="hybridMultilevel"/>
    <w:lvl w:ilvl="0">
      <w:lvlJc w:val="left"/>
      <w:lvlText w:val="•"/>
      <w:numFmt w:val="bullet"/>
      <w:start w:val="1"/>
    </w:lvl>
  </w:abstractNum>
  <w:abstractNum w:abstractNumId="53">
    <w:nsid w:val="97E1B4E"/>
    <w:multiLevelType w:val="hybridMultilevel"/>
    <w:lvl w:ilvl="0">
      <w:lvlJc w:val="left"/>
      <w:lvlText w:val="•"/>
      <w:numFmt w:val="bullet"/>
      <w:start w:val="1"/>
    </w:lvl>
  </w:abstractNum>
  <w:abstractNum w:abstractNumId="54">
    <w:nsid w:val="51088277"/>
    <w:multiLevelType w:val="hybridMultilevel"/>
    <w:lvl w:ilvl="0">
      <w:lvlJc w:val="left"/>
      <w:lvlText w:val="•"/>
      <w:numFmt w:val="bullet"/>
      <w:start w:val="1"/>
    </w:lvl>
  </w:abstractNum>
  <w:abstractNum w:abstractNumId="55">
    <w:nsid w:val="1CA0C5FA"/>
    <w:multiLevelType w:val="hybridMultilevel"/>
    <w:lvl w:ilvl="0">
      <w:lvlJc w:val="left"/>
      <w:lvlText w:val="•"/>
      <w:numFmt w:val="bullet"/>
      <w:start w:val="1"/>
    </w:lvl>
  </w:abstractNum>
  <w:abstractNum w:abstractNumId="56">
    <w:nsid w:val="53584BCB"/>
    <w:multiLevelType w:val="hybridMultilevel"/>
    <w:lvl w:ilvl="0">
      <w:lvlJc w:val="left"/>
      <w:lvlText w:val="(%1)"/>
      <w:numFmt w:val="lowerRoman"/>
      <w:start w:val="1"/>
    </w:lvl>
  </w:abstractNum>
  <w:abstractNum w:abstractNumId="57">
    <w:nsid w:val="415E286C"/>
    <w:multiLevelType w:val="hybridMultilevel"/>
    <w:lvl w:ilvl="0">
      <w:lvlJc w:val="left"/>
      <w:lvlText w:val="•"/>
      <w:numFmt w:val="bullet"/>
      <w:start w:val="1"/>
    </w:lvl>
  </w:abstractNum>
  <w:abstractNum w:abstractNumId="58">
    <w:nsid w:val="7C58FD05"/>
    <w:multiLevelType w:val="hybridMultilevel"/>
    <w:lvl w:ilvl="0">
      <w:lvlJc w:val="left"/>
      <w:lvlText w:val="•"/>
      <w:numFmt w:val="bullet"/>
      <w:start w:val="1"/>
    </w:lvl>
  </w:abstractNum>
  <w:abstractNum w:abstractNumId="59">
    <w:nsid w:val="23D86AAC"/>
    <w:multiLevelType w:val="hybridMultilevel"/>
    <w:lvl w:ilvl="0">
      <w:lvlJc w:val="left"/>
      <w:lvlText w:val="•"/>
      <w:numFmt w:val="bullet"/>
      <w:start w:val="1"/>
    </w:lvl>
  </w:abstractNum>
  <w:abstractNum w:abstractNumId="60">
    <w:nsid w:val="45E6D486"/>
    <w:multiLevelType w:val="hybridMultilevel"/>
    <w:lvl w:ilvl="0">
      <w:lvlJc w:val="left"/>
      <w:lvlText w:val="•"/>
      <w:numFmt w:val="bullet"/>
      <w:start w:val="1"/>
    </w:lvl>
  </w:abstractNum>
  <w:abstractNum w:abstractNumId="61">
    <w:nsid w:val="5C10FE21"/>
    <w:multiLevelType w:val="hybridMultilevel"/>
    <w:lvl w:ilvl="0">
      <w:lvlJc w:val="left"/>
      <w:lvlText w:val="•"/>
      <w:numFmt w:val="bullet"/>
      <w:start w:val="1"/>
    </w:lvl>
  </w:abstractNum>
  <w:abstractNum w:abstractNumId="62">
    <w:nsid w:val="E7FFA2B"/>
    <w:multiLevelType w:val="hybridMultilevel"/>
    <w:lvl w:ilvl="0">
      <w:lvlJc w:val="left"/>
      <w:lvlText w:val="(%1)"/>
      <w:numFmt w:val="decimal"/>
      <w:start w:val="1"/>
    </w:lvl>
  </w:abstractNum>
  <w:abstractNum w:abstractNumId="63">
    <w:nsid w:val="3C5991AA"/>
    <w:multiLevelType w:val="hybridMultilevel"/>
    <w:lvl w:ilvl="0">
      <w:lvlJc w:val="left"/>
      <w:lvlText w:val="(%1)"/>
      <w:numFmt w:val="decimal"/>
      <w:start w:val="4"/>
    </w:lvl>
  </w:abstractNum>
  <w:abstractNum w:abstractNumId="64">
    <w:nsid w:val="4BD8591A"/>
    <w:multiLevelType w:val="hybridMultilevel"/>
    <w:lvl w:ilvl="0">
      <w:lvlJc w:val="left"/>
      <w:lvlText w:val="(%1)"/>
      <w:numFmt w:val="decimal"/>
      <w:start w:val="4"/>
    </w:lvl>
  </w:abstractNum>
  <w:abstractNum w:abstractNumId="65">
    <w:nsid w:val="78DF6A55"/>
    <w:multiLevelType w:val="hybridMultilevel"/>
    <w:lvl w:ilvl="0">
      <w:lvlJc w:val="left"/>
      <w:lvlText w:val="(%1)"/>
      <w:numFmt w:val="decimal"/>
      <w:start w:val="1"/>
    </w:lvl>
  </w:abstractNum>
  <w:abstractNum w:abstractNumId="66">
    <w:nsid w:val="39B7AAA2"/>
    <w:multiLevelType w:val="hybridMultilevel"/>
    <w:lvl w:ilvl="0">
      <w:lvlJc w:val="left"/>
      <w:lvlText w:val="•"/>
      <w:numFmt w:val="bullet"/>
      <w:start w:val="1"/>
    </w:lvl>
  </w:abstractNum>
  <w:abstractNum w:abstractNumId="67">
    <w:nsid w:val="2B0D8DBE"/>
    <w:multiLevelType w:val="hybridMultilevel"/>
    <w:lvl w:ilvl="0">
      <w:lvlJc w:val="left"/>
      <w:lvlText w:val="•"/>
      <w:numFmt w:val="bullet"/>
      <w:start w:val="1"/>
    </w:lvl>
  </w:abstractNum>
  <w:abstractNum w:abstractNumId="68">
    <w:nsid w:val="6C80EC70"/>
    <w:multiLevelType w:val="hybridMultilevel"/>
    <w:lvl w:ilvl="0">
      <w:lvlJc w:val="left"/>
      <w:lvlText w:val="(%1)"/>
      <w:numFmt w:val="decimal"/>
      <w:start w:val="1"/>
    </w:lvl>
  </w:abstractNum>
  <w:abstractNum w:abstractNumId="69">
    <w:nsid w:val="379E21B5"/>
    <w:multiLevelType w:val="hybridMultilevel"/>
    <w:lvl w:ilvl="0">
      <w:lvlJc w:val="left"/>
      <w:lvlText w:val="*"/>
      <w:numFmt w:val="bullet"/>
      <w:start w:val="1"/>
    </w:lvl>
  </w:abstractNum>
  <w:abstractNum w:abstractNumId="70">
    <w:nsid w:val="69E373"/>
    <w:multiLevelType w:val="hybridMultilevel"/>
    <w:lvl w:ilvl="0">
      <w:lvlJc w:val="left"/>
      <w:lvlText w:val="(%1)"/>
      <w:numFmt w:val="decimal"/>
      <w:start w:val="1"/>
    </w:lvl>
  </w:abstractNum>
  <w:abstractNum w:abstractNumId="71">
    <w:nsid w:val="2C27173B"/>
    <w:multiLevelType w:val="hybridMultilevel"/>
    <w:lvl w:ilvl="0">
      <w:lvlJc w:val="left"/>
      <w:lvlText w:val="(%1)"/>
      <w:numFmt w:val="decimal"/>
      <w:start w:val="3"/>
    </w:lvl>
  </w:abstractNum>
  <w:abstractNum w:abstractNumId="72">
    <w:nsid w:val="4C9B0904"/>
    <w:multiLevelType w:val="hybridMultilevel"/>
    <w:lvl w:ilvl="0">
      <w:lvlJc w:val="left"/>
      <w:lvlText w:val="(%1)"/>
      <w:numFmt w:val="decimal"/>
      <w:start w:val="19"/>
    </w:lvl>
  </w:abstractNum>
  <w:abstractNum w:abstractNumId="73">
    <w:nsid w:val="6AA7B75C"/>
    <w:multiLevelType w:val="hybridMultilevel"/>
    <w:lvl w:ilvl="0">
      <w:lvlJc w:val="left"/>
      <w:lvlText w:val="%1"/>
      <w:numFmt w:val="decimal"/>
      <w:start w:val="1"/>
    </w:lvl>
    <w:lvl w:ilvl="1">
      <w:lvlJc w:val="left"/>
      <w:lvlText w:val="(%2)"/>
      <w:numFmt w:val="decimal"/>
      <w:start w:val="1"/>
    </w:lvl>
  </w:abstractNum>
  <w:abstractNum w:abstractNumId="74">
    <w:nsid w:val="1DF029D3"/>
    <w:multiLevelType w:val="hybridMultilevel"/>
    <w:lvl w:ilvl="0">
      <w:lvlJc w:val="left"/>
      <w:lvlText w:val="(%1)"/>
      <w:numFmt w:val="decimal"/>
      <w:start w:val="2"/>
    </w:lvl>
    <w:lvl w:ilvl="1">
      <w:lvlJc w:val="left"/>
      <w:lvlText w:val="%2"/>
      <w:numFmt w:val="decimal"/>
      <w:start w:val="1"/>
    </w:lvl>
  </w:abstractNum>
  <w:abstractNum w:abstractNumId="75">
    <w:nsid w:val="5675FF36"/>
    <w:multiLevelType w:val="hybridMultilevel"/>
    <w:lvl w:ilvl="0">
      <w:lvlJc w:val="left"/>
      <w:lvlText w:val="(%1)"/>
      <w:numFmt w:val="decimal"/>
      <w:start w:val="1"/>
    </w:lvl>
  </w:abstractNum>
  <w:abstractNum w:abstractNumId="76">
    <w:nsid w:val="3DD15094"/>
    <w:multiLevelType w:val="hybridMultilevel"/>
    <w:lvl w:ilvl="0">
      <w:lvlJc w:val="left"/>
      <w:lvlText w:val="(%1)"/>
      <w:numFmt w:val="decimal"/>
      <w:start w:val="1"/>
    </w:lvl>
  </w:abstractNum>
  <w:abstractNum w:abstractNumId="77">
    <w:nsid w:val="3DB012B3"/>
    <w:multiLevelType w:val="hybridMultilevel"/>
    <w:lvl w:ilvl="0">
      <w:lvlJc w:val="left"/>
      <w:lvlText w:val="•"/>
      <w:numFmt w:val="bullet"/>
      <w:start w:val="1"/>
    </w:lvl>
  </w:abstractNum>
  <w:abstractNum w:abstractNumId="78">
    <w:nsid w:val="2708C9AF"/>
    <w:multiLevelType w:val="hybridMultilevel"/>
    <w:lvl w:ilvl="0">
      <w:lvlJc w:val="left"/>
      <w:lvlText w:val="(%1)"/>
      <w:numFmt w:val="decimal"/>
      <w:start w:val="3"/>
    </w:lvl>
  </w:abstractNum>
  <w:abstractNum w:abstractNumId="79">
    <w:nsid w:val="5B25ACE2"/>
    <w:multiLevelType w:val="hybridMultilevel"/>
    <w:lvl w:ilvl="0">
      <w:lvlJc w:val="left"/>
      <w:lvlText w:val="*"/>
      <w:numFmt w:val="bullet"/>
      <w:start w:val="1"/>
    </w:lvl>
    <w:lvl w:ilvl="1">
      <w:lvlJc w:val="left"/>
      <w:lvlText w:val="%2"/>
      <w:numFmt w:val="decimal"/>
      <w:start w:val="104"/>
    </w:lvl>
  </w:abstractNum>
  <w:abstractNum w:abstractNumId="80">
    <w:nsid w:val="175DFCF0"/>
    <w:multiLevelType w:val="hybridMultilevel"/>
    <w:lvl w:ilvl="0">
      <w:lvlJc w:val="left"/>
      <w:lvlText w:val="**"/>
      <w:numFmt w:val="bullet"/>
      <w:start w:val="1"/>
    </w:lvl>
    <w:lvl w:ilvl="1">
      <w:lvlJc w:val="left"/>
      <w:lvlText w:val="%2"/>
      <w:numFmt w:val="decimal"/>
      <w:start w:val="1"/>
    </w:lvl>
  </w:abstractNum>
  <w:abstractNum w:abstractNumId="81">
    <w:nsid w:val="4F97E3E4"/>
    <w:multiLevelType w:val="hybridMultilevel"/>
    <w:lvl w:ilvl="0">
      <w:lvlJc w:val="left"/>
      <w:lvlText w:val="†"/>
      <w:numFmt w:val="bullet"/>
      <w:start w:val="1"/>
    </w:lvl>
  </w:abstractNum>
  <w:abstractNum w:abstractNumId="82">
    <w:nsid w:val="53B0A9E"/>
    <w:multiLevelType w:val="hybridMultilevel"/>
    <w:lvl w:ilvl="0">
      <w:lvlJc w:val="left"/>
      <w:lvlText w:val="#"/>
      <w:numFmt w:val="bullet"/>
      <w:start w:val="1"/>
    </w:lvl>
  </w:abstractNum>
  <w:abstractNum w:abstractNumId="83">
    <w:nsid w:val="34FD6B4F"/>
    <w:multiLevelType w:val="hybridMultilevel"/>
    <w:lvl w:ilvl="0">
      <w:lvlJc w:val="left"/>
      <w:lvlText w:val="%1."/>
      <w:numFmt w:val="decimal"/>
      <w:start w:val="2"/>
    </w:lvl>
  </w:abstractNum>
  <w:abstractNum w:abstractNumId="84">
    <w:nsid w:val="5915FF32"/>
    <w:multiLevelType w:val="hybridMultilevel"/>
    <w:lvl w:ilvl="0">
      <w:lvlJc w:val="left"/>
      <w:lvlText w:val="•"/>
      <w:numFmt w:val="bullet"/>
      <w:start w:val="1"/>
    </w:lvl>
  </w:abstractNum>
  <w:abstractNum w:abstractNumId="85">
    <w:nsid w:val="56438D15"/>
    <w:multiLevelType w:val="hybridMultilevel"/>
    <w:lvl w:ilvl="0">
      <w:lvlJc w:val="left"/>
      <w:lvlText w:val="%1)"/>
      <w:numFmt w:val="lowerLetter"/>
      <w:start w:val="2"/>
    </w:lvl>
  </w:abstractNum>
  <w:abstractNum w:abstractNumId="86">
    <w:nsid w:val="519E3149"/>
    <w:multiLevelType w:val="hybridMultilevel"/>
    <w:lvl w:ilvl="0">
      <w:lvlJc w:val="left"/>
      <w:lvlText w:val="%1."/>
      <w:numFmt w:val="decimal"/>
      <w:start w:val="1"/>
    </w:lvl>
  </w:abstractNum>
  <w:abstractNum w:abstractNumId="87">
    <w:nsid w:val="2C6E4AFD"/>
    <w:multiLevelType w:val="hybridMultilevel"/>
    <w:lvl w:ilvl="0">
      <w:lvlJc w:val="left"/>
      <w:lvlText w:val="%1."/>
      <w:numFmt w:val="decimal"/>
      <w:start w:val="4"/>
    </w:lvl>
    <w:lvl w:ilvl="1">
      <w:lvlJc w:val="left"/>
      <w:lvlText w:val="(%2)"/>
      <w:numFmt w:val="lowerLetter"/>
      <w:start w:val="1"/>
    </w:lvl>
  </w:abstractNum>
  <w:abstractNum w:abstractNumId="88">
    <w:nsid w:val="17A1B582"/>
    <w:multiLevelType w:val="hybridMultilevel"/>
    <w:lvl w:ilvl="0">
      <w:lvlJc w:val="left"/>
      <w:lvlText w:val="%1"/>
      <w:numFmt w:val="lowerRoman"/>
      <w:start w:val="1"/>
    </w:lvl>
    <w:lvl w:ilvl="1">
      <w:lvlJc w:val="left"/>
      <w:lvlText w:val="(%2)"/>
      <w:numFmt w:val="lowerLetter"/>
      <w:start w:val="1"/>
    </w:lvl>
  </w:abstractNum>
  <w:abstractNum w:abstractNumId="89">
    <w:nsid w:val="4DF72E4E"/>
    <w:multiLevelType w:val="hybridMultilevel"/>
    <w:lvl w:ilvl="0">
      <w:lvlJc w:val="left"/>
      <w:lvlText w:val="(%1)"/>
      <w:numFmt w:val="lowerRoman"/>
      <w:start w:val="1"/>
    </w:lvl>
    <w:lvl w:ilvl="1">
      <w:lvlJc w:val="left"/>
      <w:lvlText w:val="(%2)"/>
      <w:numFmt w:val="lowerLetter"/>
      <w:start w:val="3"/>
    </w:lvl>
  </w:abstractNum>
  <w:abstractNum w:abstractNumId="90">
    <w:nsid w:val="5046B5A9"/>
    <w:multiLevelType w:val="hybridMultilevel"/>
    <w:lvl w:ilvl="0">
      <w:lvlJc w:val="left"/>
      <w:lvlText w:val="(%1)"/>
      <w:numFmt w:val="lowerRoman"/>
      <w:start w:val="1"/>
    </w:lvl>
  </w:abstractNum>
  <w:abstractNum w:abstractNumId="91">
    <w:nsid w:val="5D888A08"/>
    <w:multiLevelType w:val="hybridMultilevel"/>
    <w:lvl w:ilvl="0">
      <w:lvlJc w:val="left"/>
      <w:lvlText w:val="%1."/>
      <w:numFmt w:val="decimal"/>
      <w:start w:val="7"/>
    </w:lvl>
    <w:lvl w:ilvl="1">
      <w:lvlJc w:val="left"/>
      <w:lvlText w:val="(%2)"/>
      <w:numFmt w:val="lowerLetter"/>
      <w:start w:val="1"/>
    </w:lvl>
  </w:abstractNum>
  <w:abstractNum w:abstractNumId="92">
    <w:nsid w:val="2A082C70"/>
    <w:multiLevelType w:val="hybridMultilevel"/>
    <w:lvl w:ilvl="0">
      <w:lvlJc w:val="left"/>
      <w:lvlText w:val="(%1)"/>
      <w:numFmt w:val="lowerLetter"/>
      <w:start w:val="3"/>
    </w:lvl>
  </w:abstractNum>
  <w:abstractNum w:abstractNumId="93">
    <w:nsid w:val="5EC6AFD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4">
    <w:nsid w:val="19E21BB2"/>
    <w:multiLevelType w:val="hybridMultilevel"/>
    <w:lvl w:ilvl="0">
      <w:lvlJc w:val="left"/>
      <w:lvlText w:val="(%1)"/>
      <w:numFmt w:val="lowerLetter"/>
      <w:start w:val="5"/>
    </w:lvl>
  </w:abstractNum>
  <w:abstractNum w:abstractNumId="95">
    <w:nsid w:val="75E0858A"/>
    <w:multiLevelType w:val="hybridMultilevel"/>
    <w:lvl w:ilvl="0">
      <w:lvlJc w:val="left"/>
      <w:lvlText w:val="%1"/>
      <w:numFmt w:val="decimal"/>
      <w:start w:val="1"/>
    </w:lvl>
    <w:lvl w:ilvl="1">
      <w:lvlJc w:val="left"/>
      <w:lvlText w:val="(%2)"/>
      <w:numFmt w:val="lowerLetter"/>
      <w:start w:val="6"/>
    </w:lvl>
  </w:abstractNum>
  <w:abstractNum w:abstractNumId="96">
    <w:nsid w:val="57A61A29"/>
    <w:multiLevelType w:val="hybridMultilevel"/>
    <w:lvl w:ilvl="0">
      <w:lvlJc w:val="left"/>
      <w:lvlText w:val="%1."/>
      <w:numFmt w:val="decimal"/>
      <w:start w:val="9"/>
    </w:lvl>
    <w:lvl w:ilvl="1">
      <w:lvlJc w:val="left"/>
      <w:lvlText w:val="%2"/>
      <w:numFmt w:val="lowerLetter"/>
      <w:start w:val="1"/>
    </w:lvl>
  </w:abstractNum>
  <w:abstractNum w:abstractNumId="97">
    <w:nsid w:val="5399C654"/>
    <w:multiLevelType w:val="hybridMultilevel"/>
    <w:lvl w:ilvl="0">
      <w:lvlJc w:val="left"/>
      <w:lvlText w:val="%1."/>
      <w:numFmt w:val="decimal"/>
      <w:start w:val="11"/>
    </w:lvl>
  </w:abstractNum>
  <w:abstractNum w:abstractNumId="98">
    <w:nsid w:val="20EE1348"/>
    <w:multiLevelType w:val="hybridMultilevel"/>
    <w:lvl w:ilvl="0">
      <w:lvlJc w:val="left"/>
      <w:lvlText w:val="%1."/>
      <w:numFmt w:val="decimal"/>
      <w:start w:val="13"/>
    </w:lvl>
  </w:abstractNum>
  <w:abstractNum w:abstractNumId="99">
    <w:nsid w:val="442706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0">
    <w:nsid w:val="B37E80A"/>
    <w:multiLevelType w:val="hybridMultilevel"/>
    <w:lvl w:ilvl="0">
      <w:lvlJc w:val="left"/>
      <w:lvlText w:val="%1."/>
      <w:numFmt w:val="decimal"/>
      <w:start w:val="2"/>
    </w:lvl>
  </w:abstractNum>
  <w:abstractNum w:abstractNumId="101">
    <w:nsid w:val="2157F6BC"/>
    <w:multiLevelType w:val="hybridMultilevel"/>
    <w:lvl w:ilvl="0">
      <w:lvlJc w:val="left"/>
      <w:lvlText w:val="(%1)"/>
      <w:numFmt w:val="decimal"/>
      <w:start w:val="2"/>
    </w:lvl>
  </w:abstractNum>
  <w:abstractNum w:abstractNumId="102">
    <w:nsid w:val="704E1DD5"/>
    <w:multiLevelType w:val="hybridMultilevel"/>
    <w:lvl w:ilvl="0">
      <w:lvlJc w:val="left"/>
      <w:lvlText w:val="%1."/>
      <w:numFmt w:val="decimal"/>
      <w:start w:val="1"/>
    </w:lvl>
  </w:abstractNum>
  <w:abstractNum w:abstractNumId="103">
    <w:nsid w:val="57D2F10E"/>
    <w:multiLevelType w:val="hybridMultilevel"/>
    <w:lvl w:ilvl="0">
      <w:lvlJc w:val="left"/>
      <w:lvlText w:val="%1."/>
      <w:numFmt w:val="decimal"/>
      <w:start w:val="3"/>
    </w:lvl>
  </w:abstractNum>
  <w:abstractNum w:abstractNumId="104">
    <w:nsid w:val="BFFAE18"/>
    <w:multiLevelType w:val="hybridMultilevel"/>
    <w:lvl w:ilvl="0">
      <w:lvlJc w:val="left"/>
      <w:lvlText w:val="(%1)"/>
      <w:numFmt w:val="lowerLetter"/>
      <w:start w:val="1"/>
    </w:lvl>
  </w:abstractNum>
  <w:abstractNum w:abstractNumId="105">
    <w:nsid w:val="E3E47A8"/>
    <w:multiLevelType w:val="hybridMultilevel"/>
    <w:lvl w:ilvl="0">
      <w:lvlJc w:val="left"/>
      <w:lvlText w:val="%1."/>
      <w:numFmt w:val="decimal"/>
      <w:start w:val="4"/>
    </w:lvl>
  </w:abstractNum>
  <w:abstractNum w:abstractNumId="106">
    <w:nsid w:val="2E48F044"/>
    <w:multiLevelType w:val="hybridMultilevel"/>
    <w:lvl w:ilvl="0">
      <w:lvlJc w:val="left"/>
      <w:lvlText w:val="(%1)"/>
      <w:numFmt w:val="lowerLetter"/>
      <w:start w:val="2"/>
    </w:lvl>
    <w:lvl w:ilvl="1">
      <w:lvlJc w:val="left"/>
      <w:lvlText w:val="%2."/>
      <w:numFmt w:val="decimal"/>
      <w:start w:val="5"/>
    </w:lvl>
  </w:abstractNum>
  <w:abstractNum w:abstractNumId="107">
    <w:nsid w:val="49D0FEAC"/>
    <w:multiLevelType w:val="hybridMultilevel"/>
    <w:lvl w:ilvl="0">
      <w:lvlJc w:val="left"/>
      <w:lvlText w:val="%1."/>
      <w:numFmt w:val="decimal"/>
      <w:start w:val="6"/>
    </w:lvl>
  </w:abstractNum>
  <w:abstractNum w:abstractNumId="108">
    <w:nsid w:val="4BEE5A5B"/>
    <w:multiLevelType w:val="hybridMultilevel"/>
    <w:lvl w:ilvl="0">
      <w:lvlJc w:val="left"/>
      <w:lvlText w:val="%1."/>
      <w:numFmt w:val="decimal"/>
      <w:start w:val="11"/>
    </w:lvl>
  </w:abstractNum>
  <w:abstractNum w:abstractNumId="109">
    <w:nsid w:val="5551B9F3"/>
    <w:multiLevelType w:val="hybridMultilevel"/>
    <w:lvl w:ilvl="0">
      <w:lvlJc w:val="left"/>
      <w:lvlText w:val="%1."/>
      <w:numFmt w:val="decimal"/>
      <w:start w:val="17"/>
    </w:lvl>
  </w:abstractNum>
  <w:abstractNum w:abstractNumId="110">
    <w:nsid w:val="24F6AB8E"/>
    <w:multiLevelType w:val="hybridMultilevel"/>
    <w:lvl w:ilvl="0">
      <w:lvlJc w:val="left"/>
      <w:lvlText w:val="•"/>
      <w:numFmt w:val="bullet"/>
      <w:start w:val="1"/>
    </w:lvl>
  </w:abstractNum>
  <w:abstractNum w:abstractNumId="111">
    <w:nsid w:val="634C574C"/>
    <w:multiLevelType w:val="hybridMultilevel"/>
    <w:lvl w:ilvl="0">
      <w:lvlJc w:val="left"/>
      <w:lvlText w:val="%1."/>
      <w:numFmt w:val="decimal"/>
      <w:start w:val="1"/>
    </w:lvl>
  </w:abstractNum>
  <w:abstractNum w:abstractNumId="112">
    <w:nsid w:val="24E99DD7"/>
    <w:multiLevelType w:val="hybridMultilevel"/>
    <w:lvl w:ilvl="0">
      <w:lvlJc w:val="left"/>
      <w:lvlText w:val="%1."/>
      <w:numFmt w:val="decimal"/>
      <w:start w:val="2"/>
    </w:lvl>
  </w:abstractNum>
  <w:abstractNum w:abstractNumId="113">
    <w:nsid w:val="2A31B62D"/>
    <w:multiLevelType w:val="hybridMultilevel"/>
    <w:lvl w:ilvl="0">
      <w:lvlJc w:val="left"/>
      <w:lvlText w:val="%1."/>
      <w:numFmt w:val="decimal"/>
      <w:start w:val="3"/>
    </w:lvl>
    <w:lvl w:ilvl="1">
      <w:lvlJc w:val="left"/>
      <w:lvlText w:val="(%2)"/>
      <w:numFmt w:val="lowerLetter"/>
      <w:start w:val="1"/>
    </w:lvl>
  </w:abstractNum>
  <w:abstractNum w:abstractNumId="114">
    <w:nsid w:val="1849C29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lvl w:ilvl="3">
      <w:lvlJc w:val="left"/>
      <w:lvlText w:val="%4"/>
      <w:numFmt w:val="upperLetter"/>
      <w:start w:val="1"/>
    </w:lvl>
  </w:abstractNum>
  <w:abstractNum w:abstractNumId="115">
    <w:nsid w:val="7DFF9D09"/>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16">
    <w:nsid w:val="754342"/>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117">
    <w:nsid w:val="69E7F3E5"/>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18">
    <w:nsid w:val="2A6DE806"/>
    <w:multiLevelType w:val="hybridMultilevel"/>
    <w:lvl w:ilvl="0">
      <w:lvlJc w:val="left"/>
      <w:lvlText w:val="%1"/>
      <w:numFmt w:val="decimal"/>
      <w:start w:val="1"/>
    </w:lvl>
    <w:lvl w:ilvl="1">
      <w:lvlJc w:val="left"/>
      <w:lvlText w:val="(%2)"/>
      <w:numFmt w:val="lowerLetter"/>
      <w:start w:val="3"/>
    </w:lvl>
  </w:abstractNum>
  <w:abstractNum w:abstractNumId="119">
    <w:nsid w:val="1816F8C4"/>
    <w:multiLevelType w:val="hybridMultilevel"/>
    <w:lvl w:ilvl="0">
      <w:lvlJc w:val="left"/>
      <w:lvlText w:val="%1."/>
      <w:numFmt w:val="decimal"/>
      <w:start w:val="5"/>
    </w:lvl>
    <w:lvl w:ilvl="1">
      <w:lvlJc w:val="left"/>
      <w:lvlText w:val="(%2)"/>
      <w:numFmt w:val="lowerLetter"/>
      <w:start w:val="1"/>
    </w:lvl>
  </w:abstractNum>
  <w:abstractNum w:abstractNumId="120">
    <w:nsid w:val="37DF2233"/>
    <w:multiLevelType w:val="hybridMultilevel"/>
    <w:lvl w:ilvl="0">
      <w:lvlJc w:val="left"/>
      <w:lvlText w:val="(%1)"/>
      <w:numFmt w:val="decimal"/>
      <w:start w:val="1"/>
    </w:lvl>
  </w:abstractNum>
  <w:abstractNum w:abstractNumId="121">
    <w:nsid w:val="7AB49DAF"/>
    <w:multiLevelType w:val="hybridMultilevel"/>
    <w:lvl w:ilvl="0">
      <w:lvlJc w:val="left"/>
      <w:lvlText w:val="(%1)"/>
      <w:numFmt w:val="lowerLetter"/>
      <w:start w:val="4"/>
    </w:lvl>
    <w:lvl w:ilvl="1">
      <w:lvlJc w:val="left"/>
      <w:lvlText w:val="(%2)"/>
      <w:numFmt w:val="decimal"/>
      <w:start w:val="1"/>
    </w:lvl>
  </w:abstractNum>
  <w:abstractNum w:abstractNumId="122">
    <w:nsid w:val="759F82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23">
    <w:nsid w:val="61E74EA3"/>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124">
    <w:nsid w:val="597B4D84"/>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25">
    <w:nsid w:val="F819E7F"/>
    <w:multiLevelType w:val="hybridMultilevel"/>
    <w:lvl w:ilvl="0">
      <w:lvlJc w:val="left"/>
      <w:lvlText w:val="%1"/>
      <w:numFmt w:val="decimal"/>
      <w:start w:val="1"/>
    </w:lvl>
    <w:lvl w:ilvl="1">
      <w:lvlJc w:val="left"/>
      <w:lvlText w:val="(%2)"/>
      <w:numFmt w:val="lowerLetter"/>
      <w:start w:val="2"/>
    </w:lvl>
  </w:abstractNum>
  <w:abstractNum w:abstractNumId="126">
    <w:nsid w:val="57C7D42D"/>
    <w:multiLevelType w:val="hybridMultilevel"/>
    <w:lvl w:ilvl="0">
      <w:lvlJc w:val="left"/>
      <w:lvlText w:val="%1"/>
      <w:numFmt w:val="decimal"/>
      <w:start w:val="10"/>
    </w:lvl>
    <w:lvl w:ilvl="1">
      <w:lvlJc w:val="left"/>
      <w:lvlText w:val="(%2)"/>
      <w:numFmt w:val="lowerLetter"/>
      <w:start w:val="4"/>
    </w:lvl>
  </w:abstractNum>
  <w:abstractNum w:abstractNumId="127">
    <w:nsid w:val="312167AD"/>
    <w:multiLevelType w:val="hybridMultilevel"/>
    <w:lvl w:ilvl="0">
      <w:lvlJc w:val="left"/>
      <w:lvlText w:val="%1."/>
      <w:numFmt w:val="decimal"/>
      <w:start w:val="7"/>
    </w:lvl>
    <w:lvl w:ilvl="1">
      <w:lvlJc w:val="left"/>
      <w:lvlText w:val="(%2)"/>
      <w:numFmt w:val="lowerLetter"/>
      <w:start w:val="1"/>
    </w:lvl>
  </w:abstractNum>
  <w:abstractNum w:abstractNumId="128">
    <w:nsid w:val="631B64D4"/>
    <w:multiLevelType w:val="hybridMultilevel"/>
    <w:lvl w:ilvl="0">
      <w:lvlJc w:val="left"/>
      <w:lvlText w:val="(%1)"/>
      <w:numFmt w:val="lowerLetter"/>
      <w:start w:val="2"/>
    </w:lvl>
    <w:lvl w:ilvl="1">
      <w:lvlJc w:val="left"/>
      <w:lvlText w:val="(%2)"/>
      <w:numFmt w:val="decimal"/>
      <w:start w:val="1"/>
    </w:lvl>
  </w:abstractNum>
  <w:abstractNum w:abstractNumId="129">
    <w:nsid w:val="78B5E776"/>
    <w:multiLevelType w:val="hybridMultilevel"/>
    <w:lvl w:ilvl="0">
      <w:lvlJc w:val="left"/>
      <w:lvlText w:val="%1."/>
      <w:numFmt w:val="decimal"/>
      <w:start w:val="8"/>
    </w:lvl>
    <w:lvl w:ilvl="1">
      <w:lvlJc w:val="left"/>
      <w:lvlText w:val="(%2)"/>
      <w:numFmt w:val="lowerLetter"/>
      <w:start w:val="1"/>
    </w:lvl>
  </w:abstractNum>
  <w:abstractNum w:abstractNumId="130">
    <w:nsid w:val="75486E47"/>
    <w:multiLevelType w:val="hybridMultilevel"/>
    <w:lvl w:ilvl="0">
      <w:lvlJc w:val="left"/>
      <w:lvlText w:val="(%1)"/>
      <w:numFmt w:val="decimal"/>
      <w:start w:val="10"/>
    </w:lvl>
  </w:abstractNum>
  <w:abstractNum w:abstractNumId="131">
    <w:nsid w:val="6E534CDE"/>
    <w:multiLevelType w:val="hybridMultilevel"/>
    <w:lvl w:ilvl="0">
      <w:lvlJc w:val="left"/>
      <w:lvlText w:val="(%1)"/>
      <w:numFmt w:val="decimal"/>
      <w:start w:val="30"/>
    </w:lvl>
  </w:abstractNum>
  <w:abstractNum w:abstractNumId="132">
    <w:nsid w:val="1A0DDE32"/>
    <w:multiLevelType w:val="hybridMultilevel"/>
    <w:lvl w:ilvl="0">
      <w:lvlJc w:val="left"/>
      <w:lvlText w:val="(%1)"/>
      <w:numFmt w:val="decimal"/>
      <w:start w:val="41"/>
    </w:lvl>
  </w:abstractNum>
  <w:abstractNum w:abstractNumId="133">
    <w:nsid w:val="65968C1C"/>
    <w:multiLevelType w:val="hybridMultilevel"/>
    <w:lvl w:ilvl="0">
      <w:lvlJc w:val="left"/>
      <w:lvlText w:val="%1"/>
      <w:numFmt w:val="decimal"/>
      <w:start w:val="1"/>
    </w:lvl>
    <w:lvl w:ilvl="1">
      <w:lvlJc w:val="left"/>
      <w:lvlText w:val="(%2)"/>
      <w:numFmt w:val="lowerLetter"/>
      <w:start w:val="3"/>
    </w:lvl>
  </w:abstractNum>
  <w:abstractNum w:abstractNumId="134">
    <w:nsid w:val="46263DEC"/>
    <w:multiLevelType w:val="hybridMultilevel"/>
    <w:lvl w:ilvl="0">
      <w:lvlJc w:val="left"/>
      <w:lvlText w:val="%1."/>
      <w:numFmt w:val="decimal"/>
      <w:start w:val="10"/>
    </w:lvl>
    <w:lvl w:ilvl="1">
      <w:lvlJc w:val="left"/>
      <w:lvlText w:val="(%2)"/>
      <w:numFmt w:val="lowerLetter"/>
      <w:start w:val="1"/>
    </w:lvl>
  </w:abstractNum>
  <w:abstractNum w:abstractNumId="135">
    <w:nsid w:val="260D8C4A"/>
    <w:multiLevelType w:val="hybridMultilevel"/>
    <w:lvl w:ilvl="0">
      <w:lvlJc w:val="left"/>
      <w:lvlText w:val="(%1)"/>
      <w:numFmt w:val="decimal"/>
      <w:start w:val="1"/>
    </w:lvl>
  </w:abstractNum>
  <w:abstractNum w:abstractNumId="136">
    <w:nsid w:val="73D4D3C4"/>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137">
    <w:nsid w:val="746F2E30"/>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38">
    <w:nsid w:val="6FDE8AF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upperLetter"/>
      <w:start w:val="3"/>
    </w:lvl>
  </w:abstractNum>
  <w:abstractNum w:abstractNumId="139">
    <w:nsid w:val="3FC32E20"/>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upperLetter"/>
      <w:start w:val="1"/>
    </w:lvl>
  </w:abstractNum>
  <w:abstractNum w:abstractNumId="140">
    <w:nsid w:val="49C0E823"/>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lvl w:ilvl="3">
      <w:lvlJc w:val="left"/>
      <w:lvlText w:val="%4"/>
      <w:numFmt w:val="upperLetter"/>
      <w:start w:val="1"/>
    </w:lvl>
  </w:abstractNum>
  <w:abstractNum w:abstractNumId="141">
    <w:nsid w:val="14D53685"/>
    <w:multiLevelType w:val="hybridMultilevel"/>
    <w:lvl w:ilvl="0">
      <w:lvlJc w:val="left"/>
      <w:lvlText w:val="(%1)"/>
      <w:numFmt w:val="lowerLetter"/>
      <w:start w:val="2"/>
    </w:lvl>
  </w:abstractNum>
  <w:abstractNum w:abstractNumId="142">
    <w:nsid w:val="230F856C"/>
    <w:multiLevelType w:val="hybridMultilevel"/>
    <w:lvl w:ilvl="0">
      <w:lvlJc w:val="left"/>
      <w:lvlText w:val="%1"/>
      <w:numFmt w:val="lowerLetter"/>
      <w:start w:val="1"/>
    </w:lvl>
    <w:lvl w:ilvl="1">
      <w:lvlJc w:val="left"/>
      <w:lvlText w:val="(%2)"/>
      <w:numFmt w:val="lowerLetter"/>
      <w:start w:val="5"/>
    </w:lvl>
  </w:abstractNum>
  <w:abstractNum w:abstractNumId="143">
    <w:nsid w:val="6EAA85FB"/>
    <w:multiLevelType w:val="hybridMultilevel"/>
    <w:lvl w:ilvl="0">
      <w:lvlJc w:val="left"/>
      <w:lvlText w:val="(%1)"/>
      <w:numFmt w:val="lowerLetter"/>
      <w:start w:val="35"/>
    </w:lvl>
    <w:lvl w:ilvl="1">
      <w:lvlJc w:val="left"/>
      <w:lvlText w:val="(%2)"/>
      <w:numFmt w:val="lowerLetter"/>
      <w:start w:val="6"/>
    </w:lvl>
  </w:abstractNum>
  <w:abstractNum w:abstractNumId="144">
    <w:nsid w:val="3F06ECB2"/>
    <w:multiLevelType w:val="hybridMultilevel"/>
    <w:lvl w:ilvl="0">
      <w:lvlJc w:val="left"/>
      <w:lvlText w:val="%1."/>
      <w:numFmt w:val="decimal"/>
      <w:start w:val="12"/>
    </w:lvl>
    <w:lvl w:ilvl="1">
      <w:lvlJc w:val="left"/>
      <w:lvlText w:val="(%2)"/>
      <w:numFmt w:val="lowerLetter"/>
      <w:start w:val="1"/>
    </w:lvl>
  </w:abstractNum>
  <w:abstractNum w:abstractNumId="145">
    <w:nsid w:val="3B594807"/>
    <w:multiLevelType w:val="hybridMultilevel"/>
    <w:lvl w:ilvl="0">
      <w:lvlJc w:val="left"/>
      <w:lvlText w:val="(%1)"/>
      <w:numFmt w:val="lowerLetter"/>
      <w:start w:val="5"/>
    </w:lvl>
  </w:abstractNum>
  <w:abstractNum w:abstractNumId="146">
    <w:nsid w:val="6CAA2304"/>
    <w:multiLevelType w:val="hybridMultilevel"/>
    <w:lvl w:ilvl="0">
      <w:lvlJc w:val="left"/>
      <w:lvlText w:val="(%1)"/>
      <w:numFmt w:val="lowerLetter"/>
      <w:start w:val="7"/>
    </w:lvl>
  </w:abstractNum>
  <w:abstractNum w:abstractNumId="147">
    <w:nsid w:val="3F7C2FF4"/>
    <w:multiLevelType w:val="hybridMultilevel"/>
    <w:lvl w:ilvl="0">
      <w:lvlJc w:val="left"/>
      <w:lvlText w:val="%1."/>
      <w:numFmt w:val="decimal"/>
      <w:start w:val="1"/>
    </w:lvl>
  </w:abstractNum>
  <w:abstractNum w:abstractNumId="148">
    <w:nsid w:val="25413BEC"/>
    <w:multiLevelType w:val="hybridMultilevel"/>
    <w:lvl w:ilvl="0">
      <w:lvlJc w:val="left"/>
      <w:lvlText w:val="%1."/>
      <w:numFmt w:val="decimal"/>
      <w:start w:val="1"/>
    </w:lvl>
  </w:abstractNum>
  <w:abstractNum w:abstractNumId="149">
    <w:nsid w:val="17180B0B"/>
    <w:multiLevelType w:val="hybridMultilevel"/>
    <w:lvl w:ilvl="0">
      <w:lvlJc w:val="left"/>
      <w:lvlText w:val="(%1)"/>
      <w:numFmt w:val="lowerLetter"/>
      <w:start w:val="1"/>
    </w:lvl>
  </w:abstractNum>
  <w:abstractNum w:abstractNumId="150">
    <w:nsid w:val="579328B9"/>
    <w:multiLevelType w:val="hybridMultilevel"/>
    <w:lvl w:ilvl="0">
      <w:lvlJc w:val="left"/>
      <w:lvlText w:val="%1."/>
      <w:numFmt w:val="decimal"/>
      <w:start w:val="8"/>
    </w:lvl>
  </w:abstractNum>
  <w:abstractNum w:abstractNumId="151">
    <w:nsid w:val="5D205E20"/>
    <w:multiLevelType w:val="hybridMultilevel"/>
    <w:lvl w:ilvl="0">
      <w:lvlJc w:val="left"/>
      <w:lvlText w:val="(%1)"/>
      <w:numFmt w:val="lowerLetter"/>
      <w:start w:val="1"/>
    </w:lvl>
  </w:abstractNum>
  <w:abstractNum w:abstractNumId="152">
    <w:nsid w:val="11CCA8BA"/>
    <w:multiLevelType w:val="hybridMultilevel"/>
    <w:lvl w:ilvl="0">
      <w:lvlJc w:val="left"/>
      <w:lvlText w:val="%1."/>
      <w:numFmt w:val="upperLetter"/>
      <w:start w:val="1"/>
    </w:lvl>
  </w:abstractNum>
  <w:abstractNum w:abstractNumId="153">
    <w:nsid w:val="4D32AB86"/>
    <w:multiLevelType w:val="hybridMultilevel"/>
    <w:lvl w:ilvl="0">
      <w:lvlJc w:val="left"/>
      <w:lvlText w:val="%1."/>
      <w:numFmt w:val="decimal"/>
      <w:start w:val="1"/>
    </w:lvl>
  </w:abstractNum>
  <w:abstractNum w:abstractNumId="154">
    <w:nsid w:val="3F07ACC3"/>
    <w:multiLevelType w:val="hybridMultilevel"/>
    <w:lvl w:ilvl="0">
      <w:lvlJc w:val="left"/>
      <w:lvlText w:val="%1."/>
      <w:numFmt w:val="decimal"/>
      <w:start w:val="6"/>
    </w:lvl>
    <w:lvl w:ilvl="1">
      <w:lvlJc w:val="left"/>
      <w:lvlText w:val="(%2)"/>
      <w:numFmt w:val="lowerLetter"/>
      <w:start w:val="1"/>
    </w:lvl>
  </w:abstractNum>
  <w:abstractNum w:abstractNumId="155">
    <w:nsid w:val="6B47F63E"/>
    <w:multiLevelType w:val="hybridMultilevel"/>
    <w:lvl w:ilvl="0">
      <w:lvlJc w:val="left"/>
      <w:lvlText w:val="%1."/>
      <w:numFmt w:val="decimal"/>
      <w:start w:val="1"/>
    </w:lvl>
  </w:abstractNum>
  <w:abstractNum w:abstractNumId="156">
    <w:nsid w:val="5CB44A05"/>
    <w:multiLevelType w:val="hybridMultilevel"/>
    <w:lvl w:ilvl="0">
      <w:lvlJc w:val="left"/>
      <w:lvlText w:val="%1)"/>
      <w:numFmt w:val="lowerLetter"/>
      <w:start w:val="1"/>
    </w:lvl>
  </w:abstractNum>
  <w:abstractNum w:abstractNumId="157">
    <w:nsid w:val="16CF80F1"/>
    <w:multiLevelType w:val="hybridMultilevel"/>
    <w:lvl w:ilvl="0">
      <w:lvlJc w:val="left"/>
      <w:lvlText w:val="%1."/>
      <w:numFmt w:val="decimal"/>
      <w:start w:val="5"/>
    </w:lvl>
  </w:abstractNum>
  <w:abstractNum w:abstractNumId="158">
    <w:nsid w:val="1C695DEC"/>
    <w:multiLevelType w:val="hybridMultilevel"/>
    <w:lvl w:ilvl="0">
      <w:lvlJc w:val="left"/>
      <w:lvlText w:val="%1)"/>
      <w:numFmt w:val="lowerLetter"/>
      <w:start w:val="1"/>
    </w:lvl>
  </w:abstractNum>
  <w:abstractNum w:abstractNumId="159">
    <w:nsid w:val="3FCFAED9"/>
    <w:multiLevelType w:val="hybridMultilevel"/>
    <w:lvl w:ilvl="0">
      <w:lvlJc w:val="left"/>
      <w:lvlText w:val="%1."/>
      <w:numFmt w:val="decimal"/>
      <w:start w:val="1"/>
    </w:lvl>
  </w:abstractNum>
  <w:abstractNum w:abstractNumId="160">
    <w:nsid w:val="F856867"/>
    <w:multiLevelType w:val="hybridMultilevel"/>
    <w:lvl w:ilvl="0">
      <w:lvlJc w:val="left"/>
      <w:lvlText w:val="%1)"/>
      <w:numFmt w:val="lowerLetter"/>
      <w:start w:val="1"/>
    </w:lvl>
  </w:abstractNum>
  <w:abstractNum w:abstractNumId="161">
    <w:nsid w:val="11B1CC33"/>
    <w:multiLevelType w:val="hybridMultilevel"/>
    <w:lvl w:ilvl="0">
      <w:lvlJc w:val="left"/>
      <w:lvlText w:val="%1."/>
      <w:numFmt w:val="decimal"/>
      <w:start w:val="5"/>
    </w:lvl>
  </w:abstractNum>
  <w:abstractNum w:abstractNumId="162">
    <w:nsid w:val="2E22FBB7"/>
    <w:multiLevelType w:val="hybridMultilevel"/>
    <w:lvl w:ilvl="0">
      <w:lvlJc w:val="left"/>
      <w:lvlText w:val="%1)"/>
      <w:numFmt w:val="lowerLetter"/>
      <w:start w:val="1"/>
    </w:lvl>
  </w:abstractNum>
  <w:abstractNum w:abstractNumId="163">
    <w:nsid w:val="29934699"/>
    <w:multiLevelType w:val="hybridMultilevel"/>
    <w:lvl w:ilvl="0">
      <w:lvlJc w:val="left"/>
      <w:lvlText w:val="(%1)"/>
      <w:numFmt w:val="decimal"/>
      <w:start w:val="1"/>
    </w:lvl>
  </w:abstractNum>
  <w:abstractNum w:abstractNumId="164">
    <w:nsid w:val="774858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159" Type="http://schemas.openxmlformats.org/officeDocument/2006/relationships/hyperlink" Target="http://www.sec.gov/Archives/edgar/data/1707502/000119312518023680/d538639dex41.htm" TargetMode="External"/><Relationship Id="rId160" Type="http://schemas.openxmlformats.org/officeDocument/2006/relationships/hyperlink" Target="http://www.sec.gov/Archives/edgar/data/1707502/000119312518023680/d538639dex42.htm" TargetMode="External"/><Relationship Id="rId161" Type="http://schemas.openxmlformats.org/officeDocument/2006/relationships/hyperlink" Target="http://www.sec.gov/Archives/edgar/data/1707502/000119312517383428/d404258dex41.htm" TargetMode="External"/><Relationship Id="rId162" Type="http://schemas.openxmlformats.org/officeDocument/2006/relationships/hyperlink" Target="http://www.sec.gov/Archives/edgar/data/1707502/000156459020010247/sldb-ex42_197.htm" TargetMode="External"/><Relationship Id="rId163" Type="http://schemas.openxmlformats.org/officeDocument/2006/relationships/hyperlink" Target="http://www.sec.gov/Archives/edgar/data/1707502/000119312517383428/d404258dex1017.htm" TargetMode="External"/><Relationship Id="rId164" Type="http://schemas.openxmlformats.org/officeDocument/2006/relationships/hyperlink" Target="http://www.sec.gov/Archives/edgar/data/0001707502/000156459019007462/sldb-ex102_215.htm" TargetMode="External"/><Relationship Id="rId165" Type="http://schemas.openxmlformats.org/officeDocument/2006/relationships/hyperlink" Target="http://www.sec.gov/Archives/edgar/data/0001707502/000119312518100742/d530438dex107.htm" TargetMode="External"/><Relationship Id="rId166" Type="http://schemas.openxmlformats.org/officeDocument/2006/relationships/hyperlink" Target="http://www.sec.gov/Archives/edgar/data/1707502/000119312518023680/d538639dex991.htm" TargetMode="External"/><Relationship Id="rId167" Type="http://schemas.openxmlformats.org/officeDocument/2006/relationships/hyperlink" Target="http://www.sec.gov/Archives/edgar/data/0001707502/000156459019007462/sldb-ex107_216.htm" TargetMode="External"/><Relationship Id="rId168" Type="http://schemas.openxmlformats.org/officeDocument/2006/relationships/hyperlink" Target="http://www.sec.gov/Archives/edgar/data/0001707502/000156459019007462/sldb-ex108_217.htm" TargetMode="External"/><Relationship Id="rId169" Type="http://schemas.openxmlformats.org/officeDocument/2006/relationships/hyperlink" Target="http://www.sec.gov/Archives/edgar/data/1707502/000119312517383428/d404258dex109.htm" TargetMode="External"/><Relationship Id="rId170" Type="http://schemas.openxmlformats.org/officeDocument/2006/relationships/hyperlink" Target="http://www.sec.gov/Archives/edgar/data/1707502/000119312517383428/d404258dex1010.htm" TargetMode="External"/><Relationship Id="rId171" Type="http://schemas.openxmlformats.org/officeDocument/2006/relationships/hyperlink" Target="http://www.sec.gov/Archives/edgar/data/1707502/000119312518010563/d404258dex1012.htm" TargetMode="External"/><Relationship Id="rId172" Type="http://schemas.openxmlformats.org/officeDocument/2006/relationships/hyperlink" Target="http://www.sec.gov/Archives/edgar/data/1707502/000119312518010563/d404258dex1013.htm" TargetMode="External"/><Relationship Id="rId173" Type="http://schemas.openxmlformats.org/officeDocument/2006/relationships/hyperlink" Target="http://www.sec.gov/Archives/edgar/data/1707502/000119312517383428/d404258dex1014.htm" TargetMode="External"/><Relationship Id="rId174" Type="http://schemas.openxmlformats.org/officeDocument/2006/relationships/hyperlink" Target="http://www.sec.gov/Archives/edgar/data/1707502/000119312517383428/d404258dex1015.htm" TargetMode="External"/><Relationship Id="rId175" Type="http://schemas.openxmlformats.org/officeDocument/2006/relationships/hyperlink" Target="http://www.sec.gov/Archives/edgar/data/1707502/000119312517383428/d404258dex1016.htm" TargetMode="External"/><Relationship Id="rId176" Type="http://schemas.openxmlformats.org/officeDocument/2006/relationships/hyperlink" Target="http://www.sec.gov/Archives/edgar/data/1707502/000119312518100742/d530438dex1020.htm" TargetMode="External"/><Relationship Id="rId179" Type="http://schemas.openxmlformats.org/officeDocument/2006/relationships/hyperlink" Target="http://www.sec.gov/Archives/edgar/data/1707502/000119312518100742/d530438dex1021.htm" TargetMode="External"/><Relationship Id="rId180" Type="http://schemas.openxmlformats.org/officeDocument/2006/relationships/hyperlink" Target="http://www.sec.gov/Archives/edgar/data/0001707502/000119312519204157/d785130dex101.htm" TargetMode="External"/><Relationship Id="rId181" Type="http://schemas.openxmlformats.org/officeDocument/2006/relationships/hyperlink" Target="http://www.sec.gov/Archives/edgar/data/0001707502/000119312519204157/d785130dex102.htm" TargetMode="External"/><Relationship Id="rId182" Type="http://schemas.openxmlformats.org/officeDocument/2006/relationships/hyperlink" Target="http://www.sec.gov/Archives/edgar/data/0001707502/000119312519204157/d785130dex103.htm" TargetMode="External"/><Relationship Id="rId183" Type="http://schemas.openxmlformats.org/officeDocument/2006/relationships/hyperlink" Target="http://www.sec.gov/Archives/edgar/data/0001707502/000156459021013153/sldb-ex1024_174.htm" TargetMode="External"/><Relationship Id="rId184" Type="http://schemas.openxmlformats.org/officeDocument/2006/relationships/hyperlink" Target="http://www.sec.gov/Archives/edgar/data/1707502/000156459020022357/sldb-ex102_47.htm" TargetMode="External"/><Relationship Id="rId185" Type="http://schemas.openxmlformats.org/officeDocument/2006/relationships/hyperlink" Target="http://www.sec.gov/Archives/edgar/data/0001707502/000156459021027807/sldb-ex101_41.htm" TargetMode="External"/><Relationship Id="rId186" Type="http://schemas.openxmlformats.org/officeDocument/2006/relationships/hyperlink" Target="http://www.sec.gov/Archives/edgar/data/1707502/000156459020037207/sldb-ex104_35.htm" TargetMode="External"/><Relationship Id="rId187" Type="http://schemas.openxmlformats.org/officeDocument/2006/relationships/hyperlink" Target="http://www.sec.gov/Archives/edgar/data/1707502/000156459020050874/sldb-ex101_151.htm" TargetMode="External"/><Relationship Id="rId188" Type="http://schemas.openxmlformats.org/officeDocument/2006/relationships/hyperlink" Target="http://www.sec.gov/Archives/edgar/data/1707502/000156459020050874/sldb-ex102_110.htm" TargetMode="External"/><Relationship Id="rId189" Type="http://schemas.openxmlformats.org/officeDocument/2006/relationships/hyperlink" Target="http://www.sec.gov/Archives/edgar/data/1707502/000156459020050874/sldb-ex103_109.htm" TargetMode="External"/><Relationship Id="rId190" Type="http://schemas.openxmlformats.org/officeDocument/2006/relationships/hyperlink" Target="http://www.sec.gov/Archives/edgar/data/1707502/000156459020050874/sldb-ex104_108.htm" TargetMode="External"/><Relationship Id="rId191" Type="http://schemas.openxmlformats.org/officeDocument/2006/relationships/hyperlink" Target="http://www.sec.gov/Archives/edgar/data/1707502/000119312520315381/d77884dex101.htm" TargetMode="External"/><Relationship Id="rId192" Type="http://schemas.openxmlformats.org/officeDocument/2006/relationships/hyperlink" Target="http://www.sec.gov/Archives/edgar/data/1707502/000119312520315381/d77884dex102.htm" TargetMode="External"/><Relationship Id="rId193" Type="http://schemas.openxmlformats.org/officeDocument/2006/relationships/hyperlink" Target="http://www.sec.gov/Archives/edgar/data/0001707502/000156459021013153/sldb-ex1036_175.htm" TargetMode="External"/><Relationship Id="rId194" Type="http://schemas.openxmlformats.org/officeDocument/2006/relationships/hyperlink" Target="http://www.sec.gov/Archives/edgar/data/0001707502/000156459021044656/sldb-ex101_33.htm" TargetMode="External"/><Relationship Id="rId197" Type="http://schemas.openxmlformats.org/officeDocument/2006/relationships/hyperlink" Target="http://www.sec.gov/Archives/edgar/data/0001707502/000156459021053726/sldb-ex10_163.htm" TargetMode="External"/><Relationship Id="rId198" Type="http://schemas.openxmlformats.org/officeDocument/2006/relationships/hyperlink" Target="http://www.sec.gov/Archives/edgar/data/0001707502/000156459021044656/sldb-ex104_34.htm" TargetMode="External"/><Relationship Id="rId199" Type="http://schemas.openxmlformats.org/officeDocument/2006/relationships/hyperlink" Target="http://www.sec.gov/Archives/edgar/data/0001707502/000156459021053726/sldb-ex10_1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2022-03-14T07:10:54Z</dcterms:created>
  <dcterms:modified xsi:type="dcterms:W3CDTF">2022-03-14T07:10:54Z</dcterms:modified>
</cp:coreProperties>
</file>