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Solid Biosciences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001-38360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90-0943402</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500 Rutherford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Charlestown,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02129</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337-4680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SLDB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1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Solid Biosciences Inc. (the “Company”) held its Annual Meeting of Stockholders (the “Annual Meeting”) on June 10, 2026 to consider and vote upon the matters listed below. The following is a summary of the matters voted on at the Annual Meeting.</w:t>
      </w:r>
    </w:p>
    <w:p>
      <w:pPr>
        <w:spacing w:after="0" w:line="159" w:lineRule="exact"/>
        <w:rPr>
          <w:sz w:val="20"/>
          <w:szCs w:val="20"/>
          <w:color w:val="auto"/>
        </w:rPr>
      </w:pPr>
    </w:p>
    <w:p>
      <w:pPr>
        <w:ind w:left="920" w:right="20" w:hanging="552"/>
        <w:spacing w:after="0" w:line="254" w:lineRule="auto"/>
        <w:tabs>
          <w:tab w:leader="none" w:pos="73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stockholders elected Clare Kahn, Adam Stone and Lynne Sullivan as Class II directors to serve until the 2029 Annual Meeting of Stockholders, each director to hold office until his or her successor has been duly appointed and qualified. The results of the stockholders’ vote with respect to the election of such Class II directors were as follows:</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56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8"/>
              </w:rPr>
              <w:t>Votes</w:t>
            </w:r>
          </w:p>
        </w:tc>
        <w:tc>
          <w:tcPr>
            <w:tcW w:w="24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rPr>
              <w:t>Broker</w:t>
            </w:r>
          </w:p>
        </w:tc>
        <w:tc>
          <w:tcPr>
            <w:tcW w:w="0" w:type="dxa"/>
            <w:vAlign w:val="bottom"/>
          </w:tcPr>
          <w:p>
            <w:pPr>
              <w:spacing w:after="0"/>
              <w:rPr>
                <w:sz w:val="1"/>
                <w:szCs w:val="1"/>
                <w:color w:val="auto"/>
              </w:rPr>
            </w:pPr>
          </w:p>
        </w:tc>
      </w:tr>
      <w:tr>
        <w:trPr>
          <w:trHeight w:val="252"/>
        </w:trPr>
        <w:tc>
          <w:tcPr>
            <w:tcW w:w="3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Clare Kahn</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Votes For</w:t>
            </w:r>
          </w:p>
        </w:tc>
        <w:tc>
          <w:tcPr>
            <w:tcW w:w="256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20"/>
                <w:szCs w:val="20"/>
                <w:color w:val="auto"/>
                <w:w w:val="99"/>
              </w:rPr>
              <w:t>Withheld</w:t>
            </w:r>
          </w:p>
        </w:tc>
        <w:tc>
          <w:tcPr>
            <w:tcW w:w="240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rPr>
              <w:t>Non-Votes</w:t>
            </w:r>
          </w:p>
        </w:tc>
        <w:tc>
          <w:tcPr>
            <w:tcW w:w="0" w:type="dxa"/>
            <w:vAlign w:val="bottom"/>
          </w:tcPr>
          <w:p>
            <w:pPr>
              <w:spacing w:after="0"/>
              <w:rPr>
                <w:sz w:val="1"/>
                <w:szCs w:val="1"/>
                <w:color w:val="auto"/>
              </w:rPr>
            </w:pPr>
          </w:p>
        </w:tc>
      </w:tr>
      <w:tr>
        <w:trPr>
          <w:trHeight w:val="200"/>
        </w:trPr>
        <w:tc>
          <w:tcPr>
            <w:tcW w:w="3140" w:type="dxa"/>
            <w:vAlign w:val="bottom"/>
            <w:vMerge w:val="continue"/>
          </w:tcPr>
          <w:p>
            <w:pPr>
              <w:spacing w:after="0"/>
              <w:rPr>
                <w:sz w:val="17"/>
                <w:szCs w:val="17"/>
                <w:color w:val="auto"/>
              </w:rPr>
            </w:pPr>
          </w:p>
        </w:tc>
        <w:tc>
          <w:tcPr>
            <w:tcW w:w="28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73,139,200</w:t>
            </w:r>
          </w:p>
        </w:tc>
        <w:tc>
          <w:tcPr>
            <w:tcW w:w="2560" w:type="dxa"/>
            <w:vAlign w:val="bottom"/>
          </w:tcPr>
          <w:p>
            <w:pPr>
              <w:jc w:val="center"/>
              <w:ind w:left="41"/>
              <w:spacing w:after="0" w:line="200" w:lineRule="exact"/>
              <w:rPr>
                <w:sz w:val="20"/>
                <w:szCs w:val="20"/>
                <w:color w:val="auto"/>
              </w:rPr>
            </w:pPr>
            <w:r>
              <w:rPr>
                <w:rFonts w:ascii="Times New Roman" w:cs="Times New Roman" w:eastAsia="Times New Roman" w:hAnsi="Times New Roman"/>
                <w:sz w:val="20"/>
                <w:szCs w:val="20"/>
                <w:color w:val="auto"/>
                <w:w w:val="97"/>
              </w:rPr>
              <w:t>5,700,169</w:t>
            </w:r>
          </w:p>
        </w:tc>
        <w:tc>
          <w:tcPr>
            <w:tcW w:w="2400" w:type="dxa"/>
            <w:vAlign w:val="bottom"/>
          </w:tcPr>
          <w:p>
            <w:pPr>
              <w:jc w:val="center"/>
              <w:ind w:left="21"/>
              <w:spacing w:after="0" w:line="200" w:lineRule="exact"/>
              <w:rPr>
                <w:sz w:val="20"/>
                <w:szCs w:val="20"/>
                <w:color w:val="auto"/>
              </w:rPr>
            </w:pPr>
            <w:r>
              <w:rPr>
                <w:rFonts w:ascii="Times New Roman" w:cs="Times New Roman" w:eastAsia="Times New Roman" w:hAnsi="Times New Roman"/>
                <w:sz w:val="20"/>
                <w:szCs w:val="20"/>
                <w:color w:val="auto"/>
                <w:w w:val="99"/>
              </w:rPr>
              <w:t>7,685,551</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Adam Stone</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71,556,735</w:t>
            </w:r>
          </w:p>
        </w:tc>
        <w:tc>
          <w:tcPr>
            <w:tcW w:w="256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7,282,634</w:t>
            </w:r>
          </w:p>
        </w:tc>
        <w:tc>
          <w:tcPr>
            <w:tcW w:w="24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7,685,551</w:t>
            </w:r>
          </w:p>
        </w:tc>
        <w:tc>
          <w:tcPr>
            <w:tcW w:w="0" w:type="dxa"/>
            <w:vAlign w:val="bottom"/>
          </w:tcPr>
          <w:p>
            <w:pPr>
              <w:spacing w:after="0"/>
              <w:rPr>
                <w:sz w:val="1"/>
                <w:szCs w:val="1"/>
                <w:color w:val="auto"/>
              </w:rPr>
            </w:pPr>
          </w:p>
        </w:tc>
      </w:tr>
      <w:tr>
        <w:trPr>
          <w:trHeight w:val="258"/>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Lynne Sullivan</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73,124,331</w:t>
            </w:r>
          </w:p>
        </w:tc>
        <w:tc>
          <w:tcPr>
            <w:tcW w:w="256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5,715,038</w:t>
            </w:r>
          </w:p>
        </w:tc>
        <w:tc>
          <w:tcPr>
            <w:tcW w:w="240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7,685,551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720" w:hanging="352"/>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stockholders ratified the appointment of Ilan Ganot, on an advisory basis, as a Class I director to serve until the</w:t>
      </w:r>
    </w:p>
    <w:p>
      <w:pPr>
        <w:spacing w:after="0" w:line="21" w:lineRule="exact"/>
        <w:rPr>
          <w:rFonts w:ascii="Times New Roman" w:cs="Times New Roman" w:eastAsia="Times New Roman" w:hAnsi="Times New Roman"/>
          <w:sz w:val="20"/>
          <w:szCs w:val="20"/>
          <w:color w:val="auto"/>
        </w:rPr>
      </w:pPr>
    </w:p>
    <w:p>
      <w:pPr>
        <w:ind w:left="9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2028 Annual Meeting of Stockholders. The results of the stockholders’ vote with respect to such ratification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262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8"/>
              </w:rPr>
              <w:t>Votes</w:t>
            </w:r>
          </w:p>
        </w:tc>
        <w:tc>
          <w:tcPr>
            <w:tcW w:w="24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Votes</w:t>
            </w:r>
          </w:p>
        </w:tc>
        <w:tc>
          <w:tcPr>
            <w:tcW w:w="3160" w:type="dxa"/>
            <w:vAlign w:val="bottom"/>
          </w:tcPr>
          <w:p>
            <w:pPr>
              <w:spacing w:after="0"/>
              <w:rPr>
                <w:sz w:val="19"/>
                <w:szCs w:val="19"/>
                <w:color w:val="auto"/>
              </w:rPr>
            </w:pPr>
          </w:p>
        </w:tc>
      </w:tr>
      <w:tr>
        <w:trPr>
          <w:trHeight w:val="252"/>
        </w:trPr>
        <w:tc>
          <w:tcPr>
            <w:tcW w:w="30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Votes For</w:t>
            </w:r>
          </w:p>
        </w:tc>
        <w:tc>
          <w:tcPr>
            <w:tcW w:w="2620" w:type="dxa"/>
            <w:vAlign w:val="bottom"/>
            <w:tcBorders>
              <w:bottom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9"/>
              </w:rPr>
              <w:t>Against</w:t>
            </w:r>
          </w:p>
        </w:tc>
        <w:tc>
          <w:tcPr>
            <w:tcW w:w="242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color w:val="auto"/>
                <w:w w:val="97"/>
              </w:rPr>
              <w:t>Abstaining</w:t>
            </w:r>
          </w:p>
        </w:tc>
        <w:tc>
          <w:tcPr>
            <w:tcW w:w="31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w w:val="99"/>
              </w:rPr>
              <w:t>Broker Non-Votes</w:t>
            </w:r>
          </w:p>
        </w:tc>
      </w:tr>
      <w:tr>
        <w:trPr>
          <w:trHeight w:val="252"/>
        </w:trPr>
        <w:tc>
          <w:tcPr>
            <w:tcW w:w="304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78,636,398</w:t>
            </w:r>
          </w:p>
        </w:tc>
        <w:tc>
          <w:tcPr>
            <w:tcW w:w="262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rPr>
              <w:t>185,585</w:t>
            </w:r>
          </w:p>
        </w:tc>
        <w:tc>
          <w:tcPr>
            <w:tcW w:w="24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17,386</w:t>
            </w:r>
          </w:p>
        </w:tc>
        <w:tc>
          <w:tcPr>
            <w:tcW w:w="3160" w:type="dxa"/>
            <w:vAlign w:val="bottom"/>
          </w:tcPr>
          <w:p>
            <w:pPr>
              <w:jc w:val="right"/>
              <w:ind w:right="1221"/>
              <w:spacing w:after="0"/>
              <w:rPr>
                <w:sz w:val="20"/>
                <w:szCs w:val="20"/>
                <w:color w:val="auto"/>
              </w:rPr>
            </w:pPr>
            <w:r>
              <w:rPr>
                <w:rFonts w:ascii="Times New Roman" w:cs="Times New Roman" w:eastAsia="Times New Roman" w:hAnsi="Times New Roman"/>
                <w:sz w:val="20"/>
                <w:szCs w:val="20"/>
                <w:color w:val="auto"/>
              </w:rPr>
              <w:t>7,685,551</w:t>
            </w:r>
          </w:p>
        </w:tc>
      </w:tr>
    </w:tbl>
    <w:p>
      <w:pPr>
        <w:spacing w:after="0" w:line="394" w:lineRule="exact"/>
        <w:rPr>
          <w:sz w:val="20"/>
          <w:szCs w:val="20"/>
          <w:color w:val="auto"/>
        </w:rPr>
      </w:pPr>
    </w:p>
    <w:p>
      <w:pPr>
        <w:ind w:left="920" w:right="280" w:hanging="552"/>
        <w:spacing w:after="0" w:line="254" w:lineRule="auto"/>
        <w:tabs>
          <w:tab w:leader="none" w:pos="73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stockholders ratified the appointment of PricewaterhouseCoopers LLP as the Company’s independent registered public accounting firm for the fiscal year ending December 31, 2026. The results of the stockholders’ vote with respect to such ratification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Votes</w:t>
            </w:r>
          </w:p>
        </w:tc>
        <w:tc>
          <w:tcPr>
            <w:tcW w:w="2800" w:type="dxa"/>
            <w:vAlign w:val="bottom"/>
          </w:tcPr>
          <w:p>
            <w:pPr>
              <w:jc w:val="center"/>
              <w:ind w:right="201"/>
              <w:spacing w:after="0"/>
              <w:rPr>
                <w:sz w:val="20"/>
                <w:szCs w:val="20"/>
                <w:color w:val="auto"/>
              </w:rPr>
            </w:pPr>
            <w:r>
              <w:rPr>
                <w:rFonts w:ascii="Times New Roman" w:cs="Times New Roman" w:eastAsia="Times New Roman" w:hAnsi="Times New Roman"/>
                <w:sz w:val="20"/>
                <w:szCs w:val="20"/>
                <w:color w:val="auto"/>
                <w:w w:val="98"/>
              </w:rPr>
              <w:t>Votes</w:t>
            </w:r>
          </w:p>
        </w:tc>
        <w:tc>
          <w:tcPr>
            <w:tcW w:w="4000" w:type="dxa"/>
            <w:vAlign w:val="bottom"/>
          </w:tcPr>
          <w:p>
            <w:pPr>
              <w:spacing w:after="0"/>
              <w:rPr>
                <w:sz w:val="19"/>
                <w:szCs w:val="19"/>
                <w:color w:val="auto"/>
              </w:rPr>
            </w:pPr>
          </w:p>
        </w:tc>
      </w:tr>
      <w:tr>
        <w:trPr>
          <w:trHeight w:val="252"/>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Votes For</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Against</w:t>
            </w:r>
          </w:p>
        </w:tc>
        <w:tc>
          <w:tcPr>
            <w:tcW w:w="28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color w:val="auto"/>
                <w:w w:val="97"/>
              </w:rPr>
              <w:t>Abstaining</w:t>
            </w:r>
          </w:p>
        </w:tc>
        <w:tc>
          <w:tcPr>
            <w:tcW w:w="40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8"/>
              </w:rPr>
              <w:t>Broker Non-Votes</w:t>
            </w:r>
          </w:p>
        </w:tc>
      </w:tr>
      <w:tr>
        <w:trPr>
          <w:trHeight w:val="252"/>
        </w:trPr>
        <w:tc>
          <w:tcPr>
            <w:tcW w:w="230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86,420,186</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70,007</w:t>
            </w:r>
          </w:p>
        </w:tc>
        <w:tc>
          <w:tcPr>
            <w:tcW w:w="2800" w:type="dxa"/>
            <w:vAlign w:val="bottom"/>
          </w:tcPr>
          <w:p>
            <w:pPr>
              <w:jc w:val="center"/>
              <w:ind w:right="201"/>
              <w:spacing w:after="0"/>
              <w:rPr>
                <w:sz w:val="20"/>
                <w:szCs w:val="20"/>
                <w:color w:val="auto"/>
              </w:rPr>
            </w:pPr>
            <w:r>
              <w:rPr>
                <w:rFonts w:ascii="Times New Roman" w:cs="Times New Roman" w:eastAsia="Times New Roman" w:hAnsi="Times New Roman"/>
                <w:sz w:val="20"/>
                <w:szCs w:val="20"/>
                <w:color w:val="auto"/>
                <w:w w:val="98"/>
              </w:rPr>
              <w:t>34,727</w:t>
            </w:r>
          </w:p>
        </w:tc>
        <w:tc>
          <w:tcPr>
            <w:tcW w:w="4000" w:type="dxa"/>
            <w:vAlign w:val="bottom"/>
          </w:tcPr>
          <w:p>
            <w:pPr>
              <w:jc w:val="right"/>
              <w:ind w:right="2001"/>
              <w:spacing w:after="0"/>
              <w:rPr>
                <w:sz w:val="20"/>
                <w:szCs w:val="20"/>
                <w:color w:val="auto"/>
              </w:rPr>
            </w:pPr>
            <w:r>
              <w:rPr>
                <w:rFonts w:ascii="Times New Roman" w:cs="Times New Roman" w:eastAsia="Times New Roman" w:hAnsi="Times New Roman"/>
                <w:sz w:val="20"/>
                <w:szCs w:val="20"/>
                <w:color w:val="auto"/>
              </w:rPr>
              <w:t>-</w:t>
            </w:r>
          </w:p>
        </w:tc>
      </w:tr>
    </w:tbl>
    <w:p>
      <w:pPr>
        <w:spacing w:after="0" w:line="394" w:lineRule="exact"/>
        <w:rPr>
          <w:sz w:val="20"/>
          <w:szCs w:val="20"/>
          <w:color w:val="auto"/>
        </w:rPr>
      </w:pPr>
    </w:p>
    <w:p>
      <w:pPr>
        <w:ind w:left="920" w:right="240" w:hanging="552"/>
        <w:spacing w:after="0" w:line="254" w:lineRule="auto"/>
        <w:tabs>
          <w:tab w:leader="none" w:pos="73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stockholders approved an amendment to the Company’s Certificate of Incorporation, as amended, to increase the number of authorized shares of the Company’s common stock from 240,000,000 to 480,000,000 (the “Share Increase Amendment”). The results of the stockholders’ vote with respect to such approval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16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Votes</w:t>
            </w:r>
          </w:p>
        </w:tc>
        <w:tc>
          <w:tcPr>
            <w:tcW w:w="2780" w:type="dxa"/>
            <w:vAlign w:val="bottom"/>
          </w:tcPr>
          <w:p>
            <w:pPr>
              <w:jc w:val="center"/>
              <w:ind w:right="221"/>
              <w:spacing w:after="0"/>
              <w:rPr>
                <w:sz w:val="20"/>
                <w:szCs w:val="20"/>
                <w:color w:val="auto"/>
              </w:rPr>
            </w:pPr>
            <w:r>
              <w:rPr>
                <w:rFonts w:ascii="Times New Roman" w:cs="Times New Roman" w:eastAsia="Times New Roman" w:hAnsi="Times New Roman"/>
                <w:sz w:val="20"/>
                <w:szCs w:val="20"/>
                <w:color w:val="auto"/>
                <w:w w:val="98"/>
              </w:rPr>
              <w:t>Votes</w:t>
            </w:r>
          </w:p>
        </w:tc>
        <w:tc>
          <w:tcPr>
            <w:tcW w:w="4000" w:type="dxa"/>
            <w:vAlign w:val="bottom"/>
          </w:tcPr>
          <w:p>
            <w:pPr>
              <w:spacing w:after="0"/>
              <w:rPr>
                <w:sz w:val="19"/>
                <w:szCs w:val="19"/>
                <w:color w:val="auto"/>
              </w:rPr>
            </w:pPr>
          </w:p>
        </w:tc>
      </w:tr>
      <w:tr>
        <w:trPr>
          <w:trHeight w:val="252"/>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Votes For</w:t>
            </w:r>
          </w:p>
        </w:tc>
        <w:tc>
          <w:tcPr>
            <w:tcW w:w="21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9"/>
              </w:rPr>
              <w:t>Against</w:t>
            </w:r>
          </w:p>
        </w:tc>
        <w:tc>
          <w:tcPr>
            <w:tcW w:w="27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20"/>
                <w:szCs w:val="20"/>
                <w:color w:val="auto"/>
                <w:w w:val="97"/>
              </w:rPr>
              <w:t>Abstaining</w:t>
            </w:r>
          </w:p>
        </w:tc>
        <w:tc>
          <w:tcPr>
            <w:tcW w:w="40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8"/>
              </w:rPr>
              <w:t>Broker Non-Votes</w:t>
            </w:r>
          </w:p>
        </w:tc>
      </w:tr>
      <w:tr>
        <w:trPr>
          <w:trHeight w:val="252"/>
        </w:trPr>
        <w:tc>
          <w:tcPr>
            <w:tcW w:w="230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85,604,508</w:t>
            </w:r>
          </w:p>
        </w:tc>
        <w:tc>
          <w:tcPr>
            <w:tcW w:w="216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893,360</w:t>
            </w:r>
          </w:p>
        </w:tc>
        <w:tc>
          <w:tcPr>
            <w:tcW w:w="2780" w:type="dxa"/>
            <w:vAlign w:val="bottom"/>
          </w:tcPr>
          <w:p>
            <w:pPr>
              <w:jc w:val="center"/>
              <w:ind w:right="221"/>
              <w:spacing w:after="0"/>
              <w:rPr>
                <w:sz w:val="20"/>
                <w:szCs w:val="20"/>
                <w:color w:val="auto"/>
              </w:rPr>
            </w:pPr>
            <w:r>
              <w:rPr>
                <w:rFonts w:ascii="Times New Roman" w:cs="Times New Roman" w:eastAsia="Times New Roman" w:hAnsi="Times New Roman"/>
                <w:sz w:val="20"/>
                <w:szCs w:val="20"/>
                <w:color w:val="auto"/>
                <w:w w:val="98"/>
              </w:rPr>
              <w:t>27,502</w:t>
            </w:r>
          </w:p>
        </w:tc>
        <w:tc>
          <w:tcPr>
            <w:tcW w:w="4000" w:type="dxa"/>
            <w:vAlign w:val="bottom"/>
          </w:tcPr>
          <w:p>
            <w:pPr>
              <w:jc w:val="right"/>
              <w:ind w:right="2001"/>
              <w:spacing w:after="0"/>
              <w:rPr>
                <w:sz w:val="20"/>
                <w:szCs w:val="20"/>
                <w:color w:val="auto"/>
              </w:rPr>
            </w:pPr>
            <w:r>
              <w:rPr>
                <w:rFonts w:ascii="Times New Roman" w:cs="Times New Roman" w:eastAsia="Times New Roman" w:hAnsi="Times New Roman"/>
                <w:sz w:val="20"/>
                <w:szCs w:val="20"/>
                <w:color w:val="auto"/>
              </w:rPr>
              <w:t>-</w:t>
            </w:r>
          </w:p>
        </w:tc>
      </w:tr>
    </w:tbl>
    <w:p>
      <w:pPr>
        <w:spacing w:after="0" w:line="394"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Company filed a Certificate of Amendment to Certificate of Incorporation with the Secretary of State of the State of Delaware on June 10, 2026 to effect the Share Increase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1268730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920" w:right="320" w:hanging="552"/>
        <w:spacing w:after="0" w:line="269" w:lineRule="auto"/>
        <w:tabs>
          <w:tab w:leader="none" w:pos="73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stockholders approved the non-binding, advisory vote on the compensation paid to its named executive officers. The results of the stockholders’ vote with respect to such approval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224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Votes</w:t>
            </w:r>
          </w:p>
        </w:tc>
        <w:tc>
          <w:tcPr>
            <w:tcW w:w="2740" w:type="dxa"/>
            <w:vAlign w:val="bottom"/>
          </w:tcPr>
          <w:p>
            <w:pPr>
              <w:jc w:val="center"/>
              <w:ind w:right="261"/>
              <w:spacing w:after="0"/>
              <w:rPr>
                <w:sz w:val="20"/>
                <w:szCs w:val="20"/>
                <w:color w:val="auto"/>
              </w:rPr>
            </w:pPr>
            <w:r>
              <w:rPr>
                <w:rFonts w:ascii="Times New Roman" w:cs="Times New Roman" w:eastAsia="Times New Roman" w:hAnsi="Times New Roman"/>
                <w:sz w:val="20"/>
                <w:szCs w:val="20"/>
                <w:color w:val="auto"/>
                <w:w w:val="98"/>
              </w:rPr>
              <w:t>Votes</w:t>
            </w:r>
          </w:p>
        </w:tc>
        <w:tc>
          <w:tcPr>
            <w:tcW w:w="4000" w:type="dxa"/>
            <w:vAlign w:val="bottom"/>
          </w:tcPr>
          <w:p>
            <w:pPr>
              <w:spacing w:after="0"/>
              <w:rPr>
                <w:sz w:val="19"/>
                <w:szCs w:val="19"/>
                <w:color w:val="auto"/>
              </w:rPr>
            </w:pPr>
          </w:p>
        </w:tc>
      </w:tr>
      <w:tr>
        <w:trPr>
          <w:trHeight w:val="252"/>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Votes For</w:t>
            </w:r>
          </w:p>
        </w:tc>
        <w:tc>
          <w:tcPr>
            <w:tcW w:w="22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9"/>
              </w:rPr>
              <w:t>Against</w:t>
            </w:r>
          </w:p>
        </w:tc>
        <w:tc>
          <w:tcPr>
            <w:tcW w:w="274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7"/>
              </w:rPr>
              <w:t>Abstaining</w:t>
            </w:r>
          </w:p>
        </w:tc>
        <w:tc>
          <w:tcPr>
            <w:tcW w:w="40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8"/>
              </w:rPr>
              <w:t>Broker Non-Votes</w:t>
            </w:r>
          </w:p>
        </w:tc>
      </w:tr>
      <w:tr>
        <w:trPr>
          <w:trHeight w:val="252"/>
        </w:trPr>
        <w:tc>
          <w:tcPr>
            <w:tcW w:w="22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72,596,980</w:t>
            </w:r>
          </w:p>
        </w:tc>
        <w:tc>
          <w:tcPr>
            <w:tcW w:w="224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7"/>
              </w:rPr>
              <w:t>6,203,634</w:t>
            </w:r>
          </w:p>
        </w:tc>
        <w:tc>
          <w:tcPr>
            <w:tcW w:w="2740" w:type="dxa"/>
            <w:vAlign w:val="bottom"/>
          </w:tcPr>
          <w:p>
            <w:pPr>
              <w:jc w:val="center"/>
              <w:ind w:right="261"/>
              <w:spacing w:after="0"/>
              <w:rPr>
                <w:sz w:val="20"/>
                <w:szCs w:val="20"/>
                <w:color w:val="auto"/>
              </w:rPr>
            </w:pPr>
            <w:r>
              <w:rPr>
                <w:rFonts w:ascii="Times New Roman" w:cs="Times New Roman" w:eastAsia="Times New Roman" w:hAnsi="Times New Roman"/>
                <w:sz w:val="20"/>
                <w:szCs w:val="20"/>
                <w:color w:val="auto"/>
                <w:w w:val="98"/>
              </w:rPr>
              <w:t>38,755</w:t>
            </w:r>
          </w:p>
        </w:tc>
        <w:tc>
          <w:tcPr>
            <w:tcW w:w="4000" w:type="dxa"/>
            <w:vAlign w:val="bottom"/>
          </w:tcPr>
          <w:p>
            <w:pPr>
              <w:jc w:val="right"/>
              <w:ind w:right="1641"/>
              <w:spacing w:after="0"/>
              <w:rPr>
                <w:sz w:val="20"/>
                <w:szCs w:val="20"/>
                <w:color w:val="auto"/>
              </w:rPr>
            </w:pPr>
            <w:r>
              <w:rPr>
                <w:rFonts w:ascii="Times New Roman" w:cs="Times New Roman" w:eastAsia="Times New Roman" w:hAnsi="Times New Roman"/>
                <w:sz w:val="20"/>
                <w:szCs w:val="20"/>
                <w:color w:val="auto"/>
              </w:rPr>
              <w:t>7,685,551</w:t>
            </w:r>
          </w:p>
        </w:tc>
      </w:tr>
      <w:tr>
        <w:trPr>
          <w:trHeight w:val="2287"/>
        </w:trPr>
        <w:tc>
          <w:tcPr>
            <w:tcW w:w="22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SOLID BIOSCIENCES INC.</w:t>
            </w:r>
          </w:p>
        </w:tc>
      </w:tr>
      <w:tr>
        <w:trPr>
          <w:trHeight w:val="58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Cumbo</w:t>
            </w:r>
          </w:p>
        </w:tc>
      </w:tr>
      <w:tr>
        <w:trPr>
          <w:trHeight w:val="191"/>
        </w:trPr>
        <w:tc>
          <w:tcPr>
            <w:tcW w:w="3660" w:type="dxa"/>
            <w:vAlign w:val="bottom"/>
          </w:tcPr>
          <w:p>
            <w:pPr>
              <w:spacing w:after="0"/>
              <w:rPr>
                <w:sz w:val="16"/>
                <w:szCs w:val="16"/>
                <w:color w:val="auto"/>
              </w:rPr>
            </w:pPr>
          </w:p>
        </w:tc>
        <w:tc>
          <w:tcPr>
            <w:tcW w:w="26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Alexander Cumbo</w:t>
            </w:r>
          </w:p>
        </w:tc>
      </w:tr>
      <w:tr>
        <w:trPr>
          <w:trHeight w:val="248"/>
        </w:trPr>
        <w:tc>
          <w:tcPr>
            <w:tcW w:w="3660" w:type="dxa"/>
            <w:vAlign w:val="bottom"/>
          </w:tcPr>
          <w:p>
            <w:pPr>
              <w:spacing w:after="0"/>
              <w:rPr>
                <w:sz w:val="21"/>
                <w:szCs w:val="21"/>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789"/>
        </w:trPr>
        <w:tc>
          <w:tcPr>
            <w:tcW w:w="36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2026-06-10T15:07:56Z</dcterms:created>
  <dcterms:modified xsi:type="dcterms:W3CDTF">2026-06-10T15:07:56Z</dcterms:modified>
</cp:coreProperties>
</file>