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13, 2025</w:t>
      </w:r>
    </w:p>
    <w:p>
      <w:pPr>
        <w:spacing w:after="0" w:line="1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Solid Biosciences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81915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5" w:lineRule="exact"/>
        <w:rPr>
          <w:sz w:val="24"/>
          <w:szCs w:val="24"/>
          <w:color w:val="auto"/>
        </w:rPr>
      </w:pPr>
    </w:p>
    <w:tbl>
      <w:tblPr>
        <w:tblLayout w:type="fixed"/>
        <w:tblInd w:w="2560" w:type="dxa"/>
        <w:tblCellMar>
          <w:top w:w="0" w:type="dxa"/>
          <w:left w:w="0" w:type="dxa"/>
          <w:bottom w:w="0" w:type="dxa"/>
          <w:right w:w="0" w:type="dxa"/>
        </w:tblCellMar>
      </w:tblPr>
      <w:tr>
        <w:trPr>
          <w:trHeight w:val="214"/>
        </w:trPr>
        <w:tc>
          <w:tcPr>
            <w:tcW w:w="602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90-0943402</w:t>
            </w:r>
          </w:p>
        </w:tc>
      </w:tr>
      <w:tr>
        <w:trPr>
          <w:trHeight w:val="148"/>
        </w:trPr>
        <w:tc>
          <w:tcPr>
            <w:tcW w:w="6020" w:type="dxa"/>
            <w:vAlign w:val="bottom"/>
            <w:gridSpan w:val="3"/>
          </w:tcPr>
          <w:p>
            <w:pPr>
              <w:jc w:val="center"/>
              <w:ind w:right="31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40" w:type="dxa"/>
            <w:vAlign w:val="bottom"/>
          </w:tcPr>
          <w:p>
            <w:pPr>
              <w:jc w:val="center"/>
              <w:ind w:left="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2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40" w:type="dxa"/>
            <w:vAlign w:val="bottom"/>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2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500 Rutherford Avenue, Third Floor</w:t>
            </w:r>
          </w:p>
        </w:tc>
        <w:tc>
          <w:tcPr>
            <w:tcW w:w="1640" w:type="dxa"/>
            <w:vAlign w:val="bottom"/>
          </w:tcPr>
          <w:p>
            <w:pPr>
              <w:spacing w:after="0"/>
              <w:rPr>
                <w:sz w:val="24"/>
                <w:szCs w:val="24"/>
                <w:color w:val="auto"/>
              </w:rPr>
            </w:pPr>
          </w:p>
        </w:tc>
      </w:tr>
      <w:tr>
        <w:trPr>
          <w:trHeight w:val="227"/>
        </w:trPr>
        <w:tc>
          <w:tcPr>
            <w:tcW w:w="602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Charlestown, Massachusetts</w:t>
            </w:r>
          </w:p>
        </w:tc>
        <w:tc>
          <w:tcPr>
            <w:tcW w:w="16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02129</w:t>
            </w:r>
          </w:p>
        </w:tc>
      </w:tr>
      <w:tr>
        <w:trPr>
          <w:trHeight w:val="190"/>
        </w:trPr>
        <w:tc>
          <w:tcPr>
            <w:tcW w:w="6020" w:type="dxa"/>
            <w:vAlign w:val="bottom"/>
            <w:gridSpan w:val="3"/>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60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Amended and Restated 2020 Equity Incentive Plan, as amended</w:t>
            </w:r>
          </w:p>
        </w:tc>
        <w:tc>
          <w:tcPr>
            <w:tcW w:w="1640" w:type="dxa"/>
            <w:vAlign w:val="bottom"/>
          </w:tcPr>
          <w:p>
            <w:pPr>
              <w:spacing w:after="0"/>
              <w:rPr>
                <w:sz w:val="24"/>
                <w:szCs w:val="24"/>
                <w:color w:val="auto"/>
              </w:rPr>
            </w:pPr>
          </w:p>
        </w:tc>
      </w:tr>
      <w:tr>
        <w:trPr>
          <w:trHeight w:val="190"/>
        </w:trPr>
        <w:tc>
          <w:tcPr>
            <w:tcW w:w="1180" w:type="dxa"/>
            <w:vAlign w:val="bottom"/>
          </w:tcPr>
          <w:p>
            <w:pPr>
              <w:spacing w:after="0"/>
              <w:rPr>
                <w:sz w:val="16"/>
                <w:szCs w:val="16"/>
                <w:color w:val="auto"/>
              </w:rPr>
            </w:pPr>
          </w:p>
        </w:tc>
        <w:tc>
          <w:tcPr>
            <w:tcW w:w="484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640" w:type="dxa"/>
            <w:vAlign w:val="bottom"/>
          </w:tcPr>
          <w:p>
            <w:pPr>
              <w:spacing w:after="0"/>
              <w:rPr>
                <w:sz w:val="16"/>
                <w:szCs w:val="16"/>
                <w:color w:val="auto"/>
              </w:rPr>
            </w:pPr>
          </w:p>
        </w:tc>
      </w:tr>
      <w:tr>
        <w:trPr>
          <w:trHeight w:val="285"/>
        </w:trPr>
        <w:tc>
          <w:tcPr>
            <w:tcW w:w="1180" w:type="dxa"/>
            <w:vAlign w:val="bottom"/>
          </w:tcPr>
          <w:p>
            <w:pPr>
              <w:spacing w:after="0"/>
              <w:rPr>
                <w:sz w:val="24"/>
                <w:szCs w:val="24"/>
                <w:color w:val="auto"/>
              </w:rPr>
            </w:pPr>
          </w:p>
        </w:tc>
        <w:tc>
          <w:tcPr>
            <w:tcW w:w="484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Alexander Cumbo</w:t>
            </w:r>
          </w:p>
        </w:tc>
        <w:tc>
          <w:tcPr>
            <w:tcW w:w="164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484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16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484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Solid Biosciences Inc.</w:t>
            </w:r>
          </w:p>
        </w:tc>
        <w:tc>
          <w:tcPr>
            <w:tcW w:w="16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484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500 Rutherford Avenue, Third Floor</w:t>
            </w:r>
          </w:p>
        </w:tc>
        <w:tc>
          <w:tcPr>
            <w:tcW w:w="1640" w:type="dxa"/>
            <w:vAlign w:val="bottom"/>
          </w:tcPr>
          <w:p>
            <w:pPr>
              <w:spacing w:after="0"/>
              <w:rPr>
                <w:sz w:val="18"/>
                <w:szCs w:val="18"/>
                <w:color w:val="auto"/>
              </w:rPr>
            </w:pPr>
          </w:p>
        </w:tc>
      </w:tr>
      <w:tr>
        <w:trPr>
          <w:trHeight w:val="214"/>
        </w:trPr>
        <w:tc>
          <w:tcPr>
            <w:tcW w:w="1180" w:type="dxa"/>
            <w:vAlign w:val="bottom"/>
          </w:tcPr>
          <w:p>
            <w:pPr>
              <w:spacing w:after="0"/>
              <w:rPr>
                <w:sz w:val="18"/>
                <w:szCs w:val="18"/>
                <w:color w:val="auto"/>
              </w:rPr>
            </w:pPr>
          </w:p>
        </w:tc>
        <w:tc>
          <w:tcPr>
            <w:tcW w:w="484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Charlestown, Massachusetts 02129</w:t>
            </w:r>
          </w:p>
        </w:tc>
        <w:tc>
          <w:tcPr>
            <w:tcW w:w="1640" w:type="dxa"/>
            <w:vAlign w:val="bottom"/>
          </w:tcPr>
          <w:p>
            <w:pPr>
              <w:spacing w:after="0"/>
              <w:rPr>
                <w:sz w:val="18"/>
                <w:szCs w:val="18"/>
                <w:color w:val="auto"/>
              </w:rPr>
            </w:pPr>
          </w:p>
        </w:tc>
      </w:tr>
      <w:tr>
        <w:trPr>
          <w:trHeight w:val="190"/>
        </w:trPr>
        <w:tc>
          <w:tcPr>
            <w:tcW w:w="1180" w:type="dxa"/>
            <w:vAlign w:val="bottom"/>
          </w:tcPr>
          <w:p>
            <w:pPr>
              <w:spacing w:after="0"/>
              <w:rPr>
                <w:sz w:val="16"/>
                <w:szCs w:val="16"/>
                <w:color w:val="auto"/>
              </w:rPr>
            </w:pPr>
          </w:p>
        </w:tc>
        <w:tc>
          <w:tcPr>
            <w:tcW w:w="48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640" w:type="dxa"/>
            <w:vAlign w:val="bottom"/>
          </w:tcPr>
          <w:p>
            <w:pPr>
              <w:spacing w:after="0"/>
              <w:rPr>
                <w:sz w:val="16"/>
                <w:szCs w:val="16"/>
                <w:color w:val="auto"/>
              </w:rPr>
            </w:pPr>
          </w:p>
        </w:tc>
      </w:tr>
      <w:tr>
        <w:trPr>
          <w:trHeight w:val="282"/>
        </w:trPr>
        <w:tc>
          <w:tcPr>
            <w:tcW w:w="494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(617) 337-4680</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0"/>
        </w:trPr>
        <w:tc>
          <w:tcPr>
            <w:tcW w:w="6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640" w:type="dxa"/>
            <w:vAlign w:val="bottom"/>
          </w:tcPr>
          <w:p>
            <w:pPr>
              <w:spacing w:after="0"/>
              <w:rPr>
                <w:sz w:val="16"/>
                <w:szCs w:val="16"/>
                <w:color w:val="auto"/>
              </w:rPr>
            </w:pPr>
          </w:p>
        </w:tc>
      </w:tr>
      <w:tr>
        <w:trPr>
          <w:trHeight w:val="104"/>
        </w:trPr>
        <w:tc>
          <w:tcPr>
            <w:tcW w:w="118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tcPr>
          <w:p>
            <w:pPr>
              <w:spacing w:after="0"/>
              <w:rPr>
                <w:sz w:val="9"/>
                <w:szCs w:val="9"/>
                <w:color w:val="auto"/>
              </w:rPr>
            </w:pPr>
          </w:p>
        </w:tc>
      </w:tr>
    </w:tbl>
    <w:p>
      <w:pPr>
        <w:spacing w:after="0" w:line="13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 OF INCORPORATION BY REFERENCE</w:t>
      </w:r>
    </w:p>
    <w:p>
      <w:pPr>
        <w:spacing w:after="0" w:line="229" w:lineRule="exact"/>
        <w:rPr>
          <w:sz w:val="20"/>
          <w:szCs w:val="20"/>
          <w:color w:val="auto"/>
        </w:rPr>
      </w:pPr>
    </w:p>
    <w:p>
      <w:pPr>
        <w:spacing w:after="0" w:line="252"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This Registration Statement on Form S-8, relating to the Amended and Restated 2020 Equity Incentive Plan, as amended, of Solid Biosciences Inc. (the “Registrant”), is being filed for the purpose of registering additional securities of the same class as other securities for which a Registration Statement on Form S-8 relating to the Amended and Restated 2020 Equity Incentive Plan, as amended, has previously been filed and is effective. Accordingly, this Registration Statement incorporates by reference the contents of (i) the Registration Statement on Form S-8, File No. 333-241370, filed with the Securities and Exchange Commission on </w:t>
      </w:r>
      <w:hyperlink r:id="rId16">
        <w:r>
          <w:rPr>
            <w:rFonts w:ascii="Times New Roman" w:cs="Times New Roman" w:eastAsia="Times New Roman" w:hAnsi="Times New Roman"/>
            <w:sz w:val="18"/>
            <w:szCs w:val="18"/>
            <w:u w:val="single" w:color="auto"/>
            <w:color w:val="0000EE"/>
          </w:rPr>
          <w:t>August 6,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by the Registrant, relating to the Registrant’s 2020 Equity Incentive Plan, (ii) the Registration Statement on Form S-8, File No. 333-258856, filed with the Securities and Exchange Commission on </w:t>
      </w:r>
      <w:hyperlink r:id="rId17">
        <w:r>
          <w:rPr>
            <w:rFonts w:ascii="Times New Roman" w:cs="Times New Roman" w:eastAsia="Times New Roman" w:hAnsi="Times New Roman"/>
            <w:sz w:val="18"/>
            <w:szCs w:val="18"/>
            <w:u w:val="single" w:color="auto"/>
            <w:color w:val="0000EE"/>
          </w:rPr>
          <w:t>August 16,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by the Registrant, relating to the Registrant’s 2020 Equity Incentive Plan, 2021 Employee Stock Purchase Plan, Inducement Stock Option Awards (March 2021 – August 2021) and Inducement Restricted Stock Unit Award (August 2021), (iii) the Registration Statement on Form S-8, File No. 333-268643, filed with the Securities and Exchange Commission on </w:t>
      </w:r>
      <w:hyperlink r:id="rId18">
        <w:r>
          <w:rPr>
            <w:rFonts w:ascii="Times New Roman" w:cs="Times New Roman" w:eastAsia="Times New Roman" w:hAnsi="Times New Roman"/>
            <w:sz w:val="18"/>
            <w:szCs w:val="18"/>
            <w:u w:val="single" w:color="auto"/>
            <w:color w:val="0000EE"/>
          </w:rPr>
          <w:t>December 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by the Registrant, relating to the Registrant’s Amended and Restated 2020 Equity Incentive Plan, Inducement Stock Option Awards (December 2022) and Inducement Restricted Stock Unit Awards (December 2022), (iv) the Registration Statement on Form S-8, File No. 333-270765, filed with the Securities and Exchange Commission on </w:t>
      </w:r>
      <w:hyperlink r:id="rId19">
        <w:r>
          <w:rPr>
            <w:rFonts w:ascii="Times New Roman" w:cs="Times New Roman" w:eastAsia="Times New Roman" w:hAnsi="Times New Roman"/>
            <w:sz w:val="18"/>
            <w:szCs w:val="18"/>
            <w:u w:val="single" w:color="auto"/>
            <w:color w:val="0000EE"/>
          </w:rPr>
          <w:t>March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by the Registrant, relating to the Registrant’s Amended and Restated 2020 Equity Incentive Plan, (v) the Registration Statement on Form S-8, File No. 333-277869, filed with the Securities and Exchange Commission on </w:t>
      </w:r>
      <w:hyperlink r:id="rId20">
        <w:r>
          <w:rPr>
            <w:rFonts w:ascii="Times New Roman" w:cs="Times New Roman" w:eastAsia="Times New Roman" w:hAnsi="Times New Roman"/>
            <w:sz w:val="18"/>
            <w:szCs w:val="18"/>
            <w:u w:val="single" w:color="auto"/>
            <w:color w:val="0000EE"/>
          </w:rPr>
          <w:t>March 13,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Registrant, relating to the Registrant’s Amended and Restated 2020 Equity Incentive Plan, Amended and Restated 2021 Employee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Stock Purchase Plan and 2024 Inducement Stock Incentive Plan, (vi) the Registration Statement on Form S-8, File No. 333-280116, filed with the Securities and Exchange Commission on </w:t>
      </w:r>
      <w:hyperlink r:id="rId21">
        <w:r>
          <w:rPr>
            <w:rFonts w:ascii="Times New Roman" w:cs="Times New Roman" w:eastAsia="Times New Roman" w:hAnsi="Times New Roman"/>
            <w:sz w:val="18"/>
            <w:szCs w:val="18"/>
            <w:u w:val="single" w:color="auto"/>
            <w:color w:val="0000FF"/>
          </w:rPr>
          <w:t>June 11,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by the Registrant, relating to the Registrant’s Amended and Restated 2020 Equity Incentive Plan, as amended, and (vii) the Registration Statement on Form S-8, File No. 333-285603, filed with the Securities and Exchange Commission on </w:t>
      </w:r>
      <w:hyperlink r:id="rId22">
        <w:r>
          <w:rPr>
            <w:rFonts w:ascii="Times New Roman" w:cs="Times New Roman" w:eastAsia="Times New Roman" w:hAnsi="Times New Roman"/>
            <w:sz w:val="18"/>
            <w:szCs w:val="18"/>
            <w:u w:val="single" w:color="auto"/>
            <w:color w:val="0000FF"/>
          </w:rPr>
          <w:t>March 6, 2025</w:t>
        </w:r>
      </w:hyperlink>
      <w:r>
        <w:rPr>
          <w:rFonts w:ascii="Times New Roman" w:cs="Times New Roman" w:eastAsia="Times New Roman" w:hAnsi="Times New Roman"/>
          <w:sz w:val="18"/>
          <w:szCs w:val="18"/>
          <w:color w:val="000000"/>
        </w:rPr>
        <w:t xml:space="preserve"> by the Registrant, relating to the Registrant’s Amended and Restated 2020 Equity Incentive Plan, as amended, and Amended and Restated 2021 Employee Stock Purchase Plan, in each case, except for Item 8, Exhibits.</w:t>
      </w:r>
    </w:p>
    <w:p>
      <w:pPr>
        <w:spacing w:after="0" w:line="200" w:lineRule="exact"/>
        <w:rPr>
          <w:rFonts w:ascii="Times New Roman" w:cs="Times New Roman" w:eastAsia="Times New Roman" w:hAnsi="Times New Roman"/>
          <w:sz w:val="18"/>
          <w:szCs w:val="18"/>
          <w:color w:val="0000EE"/>
        </w:rPr>
      </w:pPr>
    </w:p>
    <w:p>
      <w:pPr>
        <w:spacing w:after="0" w:line="208"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8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8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Certificate of Incorporation of the Registrant, as amended</w:t>
            </w:r>
          </w:p>
        </w:tc>
      </w:tr>
      <w:tr>
        <w:trPr>
          <w:trHeight w:val="20"/>
        </w:trPr>
        <w:tc>
          <w:tcPr>
            <w:tcW w:w="9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Bylaws of the Registrant (incorporated by reference to Exhibit 4.2 to the Registrant’s Registration Statement on Form S-8 (File No. 333-</w:t>
              </w:r>
            </w:hyperlink>
          </w:p>
        </w:tc>
      </w:tr>
      <w:tr>
        <w:trPr>
          <w:trHeight w:val="196"/>
        </w:trPr>
        <w:tc>
          <w:tcPr>
            <w:tcW w:w="920" w:type="dxa"/>
            <w:vAlign w:val="bottom"/>
          </w:tcPr>
          <w:p>
            <w:pPr>
              <w:spacing w:after="0"/>
              <w:rPr>
                <w:sz w:val="17"/>
                <w:szCs w:val="17"/>
                <w:color w:val="auto"/>
              </w:rPr>
            </w:pPr>
          </w:p>
        </w:tc>
        <w:tc>
          <w:tcPr>
            <w:tcW w:w="5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222763) filed with the Securities and Exchange Commission on January 29, 2018)</w:t>
              </w:r>
            </w:hyperlink>
          </w:p>
        </w:tc>
        <w:tc>
          <w:tcPr>
            <w:tcW w:w="3900" w:type="dxa"/>
            <w:vAlign w:val="bottom"/>
            <w:gridSpan w:val="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9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Opinion of Wilmer Cutler Pickering Hale and Dorr LLP, counsel to the Registrant</w:t>
            </w:r>
          </w:p>
        </w:tc>
        <w:tc>
          <w:tcPr>
            <w:tcW w:w="3920" w:type="dxa"/>
            <w:vAlign w:val="bottom"/>
            <w:gridSpan w:val="3"/>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346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Wilmer Cutler Pickering Hale and Dorr LLP (included in Exhibit 5.1)</w:t>
            </w:r>
          </w:p>
        </w:tc>
      </w:tr>
      <w:tr>
        <w:trPr>
          <w:trHeight w:val="20"/>
        </w:trPr>
        <w:tc>
          <w:tcPr>
            <w:tcW w:w="9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pages of this registration statement)</w:t>
            </w:r>
          </w:p>
        </w:tc>
        <w:tc>
          <w:tcPr>
            <w:tcW w:w="3940" w:type="dxa"/>
            <w:vAlign w:val="bottom"/>
            <w:gridSpan w:val="4"/>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Amended and Restated 2020 Equity Incentive Plan, as amended</w:t>
            </w:r>
          </w:p>
        </w:tc>
        <w:tc>
          <w:tcPr>
            <w:tcW w:w="5240" w:type="dxa"/>
            <w:vAlign w:val="bottom"/>
            <w:gridSpan w:val="6"/>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Calculation of Filing Fee Tables</w:t>
            </w:r>
          </w:p>
        </w:tc>
        <w:tc>
          <w:tcPr>
            <w:tcW w:w="7520" w:type="dxa"/>
            <w:vAlign w:val="bottom"/>
            <w:gridSpan w:val="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-899795</wp:posOffset>
            </wp:positionV>
            <wp:extent cx="28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-693420</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3516630</wp:posOffset>
            </wp:positionH>
            <wp:positionV relativeFrom="paragraph">
              <wp:posOffset>-282575</wp:posOffset>
            </wp:positionV>
            <wp:extent cx="28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-7620</wp:posOffset>
            </wp:positionV>
            <wp:extent cx="2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Charlestown, Commonwealth of Massachusetts, on this 13</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day of June,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SOLID BIOSCIENCES INC.</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Cumbo</w:t>
            </w:r>
          </w:p>
        </w:tc>
      </w:tr>
      <w:tr>
        <w:trPr>
          <w:trHeight w:val="205"/>
        </w:trPr>
        <w:tc>
          <w:tcPr>
            <w:tcW w:w="1140" w:type="dxa"/>
            <w:vAlign w:val="bottom"/>
          </w:tcPr>
          <w:p>
            <w:pPr>
              <w:spacing w:after="0"/>
              <w:rPr>
                <w:sz w:val="17"/>
                <w:szCs w:val="17"/>
                <w:color w:val="auto"/>
              </w:rPr>
            </w:pPr>
          </w:p>
        </w:tc>
        <w:tc>
          <w:tcPr>
            <w:tcW w:w="10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Alexander Cumbo</w:t>
            </w:r>
          </w:p>
        </w:tc>
      </w:tr>
      <w:tr>
        <w:trPr>
          <w:trHeight w:val="234"/>
        </w:trPr>
        <w:tc>
          <w:tcPr>
            <w:tcW w:w="114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the undersigned officers and directors of Solid Biosciences Inc., hereby severally constitute and appoint Alexander Cumbo, Kevin Tan and David Howton,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Solid Biosciences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Cumbo</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Alexander Cumbo</w:t>
            </w:r>
          </w:p>
        </w:tc>
        <w:tc>
          <w:tcPr>
            <w:tcW w:w="58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Kevin Tan</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F. Smith</w:t>
            </w:r>
          </w:p>
        </w:tc>
        <w:tc>
          <w:tcPr>
            <w:tcW w:w="586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rPr>
              <w:t>Chairman of the Board</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Ian F. Smith</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Freed</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Martin Freed</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Ilan Ganot</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Ilan Ganot</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Clare Kahn</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Clare Kahn</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Georgia Keresty</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Georgia Keresty</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Sukumar Nagendran</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Sukumar Nagendran</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Stone</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Adam Stone</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3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Lynne Sullivan</w:t>
            </w:r>
          </w:p>
        </w:tc>
        <w:tc>
          <w:tcPr>
            <w:tcW w:w="58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June 13, 2025</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Lynne Sullivan</w:t>
            </w:r>
          </w:p>
        </w:tc>
        <w:tc>
          <w:tcPr>
            <w:tcW w:w="58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859"/>
        </w:trPr>
        <w:tc>
          <w:tcPr>
            <w:tcW w:w="3040" w:type="dxa"/>
            <w:vAlign w:val="bottom"/>
          </w:tcPr>
          <w:p>
            <w:pPr>
              <w:spacing w:after="0"/>
              <w:rPr>
                <w:sz w:val="24"/>
                <w:szCs w:val="24"/>
                <w:color w:val="auto"/>
              </w:rPr>
            </w:pPr>
          </w:p>
        </w:tc>
        <w:tc>
          <w:tcPr>
            <w:tcW w:w="5860" w:type="dxa"/>
            <w:vAlign w:val="bottom"/>
          </w:tcPr>
          <w:p>
            <w:pPr>
              <w:jc w:val="right"/>
              <w:ind w:right="3151"/>
              <w:spacing w:after="0"/>
              <w:rPr>
                <w:sz w:val="20"/>
                <w:szCs w:val="20"/>
                <w:color w:val="auto"/>
              </w:rPr>
            </w:pPr>
            <w:r>
              <w:rPr>
                <w:rFonts w:ascii="Times New Roman" w:cs="Times New Roman" w:eastAsia="Times New Roman" w:hAnsi="Times New Roman"/>
                <w:sz w:val="18"/>
                <w:szCs w:val="18"/>
                <w:color w:val="auto"/>
              </w:rPr>
              <w:t>4</w:t>
            </w:r>
          </w:p>
        </w:tc>
        <w:tc>
          <w:tcPr>
            <w:tcW w:w="2340" w:type="dxa"/>
            <w:vAlign w:val="bottom"/>
          </w:tcPr>
          <w:p>
            <w:pPr>
              <w:spacing w:after="0"/>
              <w:rPr>
                <w:sz w:val="24"/>
                <w:szCs w:val="24"/>
                <w:color w:val="auto"/>
              </w:rPr>
            </w:pPr>
          </w:p>
        </w:tc>
      </w:tr>
      <w:tr>
        <w:trPr>
          <w:trHeight w:val="763"/>
        </w:trPr>
        <w:tc>
          <w:tcPr>
            <w:tcW w:w="304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undersigned, for purposes of incorporating a corporation under the General Corporation Law of the State of Delaware, does hereby certify as follows: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name of the Corporation is: Solid Biosciences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OFFICE AND AGENT</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Wilmington, Delaware 19801. The name of the Corporation’s registered agent at such address is The Corporation Trust Company.</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Corporation is being incorporated in connection with the conversion of Solid Biosciences, LLC, a Delaware limited liability company (the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to the Corporation, and this Certificate of Incorporation is being filed simultaneously with the Certificate of Conversion of the LLC to the Corporation.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number of shares that the Corporation shall have authority to issue is 310,000,000 shares consisting of:</w:t>
      </w:r>
    </w:p>
    <w:p>
      <w:pPr>
        <w:spacing w:after="0" w:line="113" w:lineRule="exact"/>
        <w:rPr>
          <w:sz w:val="20"/>
          <w:szCs w:val="20"/>
          <w:color w:val="auto"/>
        </w:rPr>
      </w:pPr>
    </w:p>
    <w:p>
      <w:pPr>
        <w:ind w:left="1340" w:hanging="186"/>
        <w:spacing w:after="0"/>
        <w:tabs>
          <w:tab w:leader="none" w:pos="1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340" w:hanging="186"/>
        <w:spacing w:after="0"/>
        <w:tabs>
          <w:tab w:leader="none" w:pos="1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$0.001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154"/>
        <w:spacing w:after="0" w:line="282" w:lineRule="auto"/>
        <w:tabs>
          <w:tab w:leader="none" w:pos="13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issued and outstanding shall be identical in all respects one with the other and no dividends shall be paid on any shares of Common Stock unless the same dividend is paid on all shares of Common Stock outstanding at the time of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194" w:lineRule="exact"/>
        <w:rPr>
          <w:sz w:val="20"/>
          <w:szCs w:val="20"/>
          <w:color w:val="auto"/>
        </w:rPr>
      </w:pPr>
    </w:p>
    <w:p>
      <w:pPr>
        <w:ind w:right="80" w:firstLine="1154"/>
        <w:spacing w:after="0" w:line="255" w:lineRule="auto"/>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and subject to those rights expressly granted to the holders of the Preferred Stock, or except as may be provided by the DGCL, the holders of Common Stock shall have exclusively all other rights of stockholders, including, but not by way of limitation, (i) the right to receive dividends, when, as and if declared by the Board of Directors out of assets lawfully available therefor, and (ii) in the event of any distribution of assets upon liquidation, dissolution or winding up of the Corporation or otherwise, the right to receive ratably and equally all the assets and funds of the Corporation remaining after payment of all of the Corporation’s debts and other liabilities and payment to the holders of any then outstanding shares of Preferred Stock of the specific amounts that they are entitled to receive upon such liquidation, dissolution or winding up of the Corporation as herein provided.</w:t>
      </w:r>
    </w:p>
    <w:p>
      <w:pPr>
        <w:spacing w:after="0" w:line="188" w:lineRule="exact"/>
        <w:rPr>
          <w:rFonts w:ascii="Times New Roman" w:cs="Times New Roman" w:eastAsia="Times New Roman" w:hAnsi="Times New Roman"/>
          <w:sz w:val="18"/>
          <w:szCs w:val="18"/>
          <w:color w:val="auto"/>
        </w:rPr>
      </w:pPr>
    </w:p>
    <w:p>
      <w:pPr>
        <w:ind w:right="160" w:firstLine="1154"/>
        <w:spacing w:after="0" w:line="266" w:lineRule="auto"/>
        <w:tabs>
          <w:tab w:leader="none" w:pos="13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Common Stock shall be entitled to one vote for each share of such Common Stock held by such holder, and voting power with respect to all classes of securities of the Corporation shall be vested solely in the Common Stock, other than as specifically provided in this Certificate of Incorporation, as it may be amended, with respect to the Preferred Stock.</w:t>
      </w:r>
    </w:p>
    <w:p>
      <w:pPr>
        <w:spacing w:after="0" w:line="175" w:lineRule="exact"/>
        <w:rPr>
          <w:rFonts w:ascii="Times New Roman" w:cs="Times New Roman" w:eastAsia="Times New Roman" w:hAnsi="Times New Roman"/>
          <w:sz w:val="18"/>
          <w:szCs w:val="18"/>
          <w:color w:val="auto"/>
        </w:rPr>
      </w:pPr>
    </w:p>
    <w:p>
      <w:pPr>
        <w:ind w:right="200" w:firstLine="1154"/>
        <w:spacing w:after="0" w:line="282" w:lineRule="auto"/>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not be convertible into, or exchangeable for, shares of any other class or classes or of any other series of the same class of the Corporation’s capital stock.</w:t>
      </w:r>
    </w:p>
    <w:p>
      <w:pPr>
        <w:spacing w:after="0" w:line="161" w:lineRule="exact"/>
        <w:rPr>
          <w:rFonts w:ascii="Times New Roman" w:cs="Times New Roman" w:eastAsia="Times New Roman" w:hAnsi="Times New Roman"/>
          <w:sz w:val="18"/>
          <w:szCs w:val="18"/>
          <w:color w:val="auto"/>
        </w:rPr>
      </w:pPr>
    </w:p>
    <w:p>
      <w:pPr>
        <w:ind w:right="740" w:firstLine="1154"/>
        <w:spacing w:after="0" w:line="282" w:lineRule="auto"/>
        <w:tabs>
          <w:tab w:leader="none" w:pos="13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Common Stock shall have any preemptive rights with respect to the Common Stock or any other securities of the Corporation or to any obligations convertible (directly or indirectly) into securities of the Corporation whether now or hereafter authorized.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Authority is hereby vested in the Board of Directors of the Corporation to provide for the issuance of Preferred Stock in one or more series and in connection therewith to fix by resolution providing for the issue of any such series, the number of shares to be included and such of the preferences and relative participating, optional or other special rights and limitations of such series, including, without limitation, rights of redemption or conversion into Common Stock, to the fullest extent now or hereafter permitted by the DGCL. The authority of the Board of Directors with respect to each series of Preferred Stock shall include, but not be limited to, determination of the following:</w:t>
      </w:r>
    </w:p>
    <w:p>
      <w:pPr>
        <w:spacing w:after="0" w:line="89" w:lineRule="exact"/>
        <w:rPr>
          <w:sz w:val="20"/>
          <w:szCs w:val="20"/>
          <w:color w:val="auto"/>
        </w:rPr>
      </w:pPr>
    </w:p>
    <w:p>
      <w:pPr>
        <w:ind w:left="1700" w:hanging="221"/>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30" w:lineRule="exact"/>
        <w:rPr>
          <w:rFonts w:ascii="Times New Roman" w:cs="Times New Roman" w:eastAsia="Times New Roman" w:hAnsi="Times New Roman"/>
          <w:sz w:val="18"/>
          <w:szCs w:val="18"/>
          <w:color w:val="auto"/>
        </w:rPr>
      </w:pPr>
    </w:p>
    <w:p>
      <w:pPr>
        <w:ind w:left="1480" w:right="360" w:hanging="1"/>
        <w:spacing w:after="0" w:line="282" w:lineRule="auto"/>
        <w:tabs>
          <w:tab w:leader="none" w:pos="17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number the Board of Directors may thereafter increase or decrease (but not below the number of shares thereof then outstanding);</w:t>
      </w:r>
    </w:p>
    <w:p>
      <w:pPr>
        <w:spacing w:after="0" w:line="67" w:lineRule="exact"/>
        <w:rPr>
          <w:rFonts w:ascii="Times New Roman" w:cs="Times New Roman" w:eastAsia="Times New Roman" w:hAnsi="Times New Roman"/>
          <w:sz w:val="18"/>
          <w:szCs w:val="18"/>
          <w:color w:val="auto"/>
        </w:rPr>
      </w:pPr>
    </w:p>
    <w:p>
      <w:pPr>
        <w:ind w:left="1800" w:hanging="321"/>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shall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780" w:hanging="301"/>
        <w:spacing w:after="0"/>
        <w:tabs>
          <w:tab w:leader="none" w:pos="1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at which dividends, if any, shall be payable;</w:t>
      </w:r>
    </w:p>
    <w:p>
      <w:pPr>
        <w:spacing w:after="0" w:line="130" w:lineRule="exact"/>
        <w:rPr>
          <w:rFonts w:ascii="Times New Roman" w:cs="Times New Roman" w:eastAsia="Times New Roman" w:hAnsi="Times New Roman"/>
          <w:sz w:val="18"/>
          <w:szCs w:val="18"/>
          <w:color w:val="auto"/>
        </w:rPr>
      </w:pPr>
    </w:p>
    <w:p>
      <w:pPr>
        <w:ind w:left="1740" w:hanging="261"/>
        <w:spacing w:after="0"/>
        <w:tabs>
          <w:tab w:leader="none" w:pos="1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30" w:lineRule="exact"/>
        <w:rPr>
          <w:rFonts w:ascii="Times New Roman" w:cs="Times New Roman" w:eastAsia="Times New Roman" w:hAnsi="Times New Roman"/>
          <w:sz w:val="18"/>
          <w:szCs w:val="18"/>
          <w:color w:val="auto"/>
        </w:rPr>
      </w:pPr>
    </w:p>
    <w:p>
      <w:pPr>
        <w:ind w:left="1780" w:hanging="301"/>
        <w:spacing w:after="0"/>
        <w:tabs>
          <w:tab w:leader="none" w:pos="1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480" w:hanging="1"/>
        <w:spacing w:after="0" w:line="282" w:lineRule="auto"/>
        <w:tabs>
          <w:tab w:leader="none" w:pos="18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67" w:lineRule="exact"/>
        <w:rPr>
          <w:rFonts w:ascii="Times New Roman" w:cs="Times New Roman" w:eastAsia="Times New Roman" w:hAnsi="Times New Roman"/>
          <w:sz w:val="18"/>
          <w:szCs w:val="18"/>
          <w:color w:val="auto"/>
        </w:rPr>
      </w:pPr>
    </w:p>
    <w:p>
      <w:pPr>
        <w:ind w:left="1480" w:right="120" w:hanging="1"/>
        <w:spacing w:after="0" w:line="261" w:lineRule="auto"/>
        <w:tabs>
          <w:tab w:leader="none" w:pos="18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shares of any other class or series, or any other security, of the Corporation or any other entity, and, if so, the specification of such other class or series of such other security, the conversion price or prices or rate or rates, any adjustments thereof, the date or dates at which such shares shall be convertible and all other terms and conditions upon which such conversion may be made;</w:t>
      </w:r>
    </w:p>
    <w:p>
      <w:pPr>
        <w:spacing w:after="0" w:line="85" w:lineRule="exact"/>
        <w:rPr>
          <w:rFonts w:ascii="Times New Roman" w:cs="Times New Roman" w:eastAsia="Times New Roman" w:hAnsi="Times New Roman"/>
          <w:sz w:val="18"/>
          <w:szCs w:val="18"/>
          <w:color w:val="auto"/>
        </w:rPr>
      </w:pPr>
    </w:p>
    <w:p>
      <w:pPr>
        <w:ind w:left="1780" w:hanging="301"/>
        <w:spacing w:after="0"/>
        <w:tabs>
          <w:tab w:leader="none" w:pos="1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ind w:left="1740" w:hanging="261"/>
        <w:spacing w:after="0"/>
        <w:tabs>
          <w:tab w:leader="none" w:pos="1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series; and</w:t>
      </w:r>
    </w:p>
    <w:p>
      <w:pPr>
        <w:spacing w:after="0" w:line="130" w:lineRule="exact"/>
        <w:rPr>
          <w:rFonts w:ascii="Times New Roman" w:cs="Times New Roman" w:eastAsia="Times New Roman" w:hAnsi="Times New Roman"/>
          <w:sz w:val="18"/>
          <w:szCs w:val="18"/>
          <w:color w:val="auto"/>
        </w:rPr>
      </w:pPr>
    </w:p>
    <w:p>
      <w:pPr>
        <w:ind w:left="1480" w:right="500" w:hanging="1"/>
        <w:spacing w:after="0" w:line="282" w:lineRule="auto"/>
        <w:tabs>
          <w:tab w:leader="none" w:pos="17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powers, privileges, preferences and rights, and qualifications, limitations and restrictions thereof, as the Board of Directors shall determine.</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Conversion of Limited Liability Company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Upon the filing of the Certificate of Conversion of the LLC to the Corporation and this Certificate of Incorporation or, if such certificates provide that they are not to become effective until a specified later date, upon such specified later effective date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limited liability company unit of the LLC issued and outstanding immediately prior to the Effective Time will be deemed to be 0.8485 issued and outstanding fully paid and nonassessable share of Common Stock. Notwithstanding the foregoing, there shall be no fractional shares of Common Stock issued in connection with the conversion and, in lieu thereof, the Corporation shall pay to each former holder of limited liability company units otherwise entitled to receive any such fraction an amount equal to the fair value thereof, as determined in good faith by the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number of directors that shall constitute the Board of Directors shall be fixed from time to time by resolution adopted by the affirmative vote of a majority of the total number of directors then in office.</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Classes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shall be and is divided into three classes, as nearly equal in number as possible, designated: Class I, Class II and Class III. In case of any increase or decrease, from time to time, in the number of directors, the number of directors shall be apportioned as nearly equal as possible. No decrease in the number of directors shall shorten the term of any incumbent director.</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Election and Term of Office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directors shall be elected in accordance with the procedures set forth in the Bylaws of the Corporation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as permitted by law. Each director shall serve for a term ending on the date of the third annual meeting of stockholders following the annual meeting at which such director was elected; provided, that each director initially appointed to Class I shall serve for an initial term expiring at the Corporation’s first annual meeting of stockholders following the effectiveness of this provision; each director initially appointed to Class II shall serve for an initial term expiring at the Corporation’s second annual meeting of stockholders following the effectiveness of this provision; and each director initially appointed to Class III shall serve for an initial term expiring at the Corporation’s third annual meeting of stockholders following the effectiveness of this provision. The directors shall be elected and shall hold office only in this manner, except as expressly provided in Section 4 and Section 5 of this Article V. Each director shall hold office until a successor is duly elected and qualified or until his or her earlier death, resignation, retirement, disqualification or removal. Elections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Newly created directorships resulting from any increase in the number of directors or any vacancies in the Board of Directors resulting from expansion of the Board of Directors, death, resignation, retirement, disqualification, removal from office or any other cause may be filled, so long as there is at least one remaining director, only by the Board of Directors, provided that a quorum is then in office and present, or by a majority of the directors then in office, if less than a quorum is then in office, or by the sole remaining director. Directors elected to fill vacancies shall have the same remaining term as that of his or her predecessor.</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Directors may be removed from office only for cause and, in addition to any vote required by law, the affirmative vote of the holders of at least two-thirds of the voting power of all then outstanding shares of capital stock of the Corporation entitled to vote generally in an election of directors, voting together as a single class, shall be required to effect such removal.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Rights of Holders of 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this Article V,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this Certificate of Incorporation or the certificate of designation governing such series.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for the election of directors and for the transaction of such other business as may properly come before the meeting shall be held at such date, time and place, if any, as shall be determined solely by the resolution of the Board of Directors in its sole and absolute discretion, including, without limitation, by remote electronic communication technology.</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Board of Directors is expressly authorized to adopt, amend or repeal the Bylaws. The affirmative vote of at least a majority of the entire Board of Directors shall be required to adopt, amend or repeal the Bylaws. Notwithstanding the foregoing and anything contained in this Certificate of Incorporation to the contrary, the Bylaws shall not be amended or repealed by the stockholders, and no provision inconsistent therewith shall be adopted by the stockholders, without the affirmative vote of the holders of at least two-thirds of the voting power of all outstanding shares of the Corporation entitled to vote generally in the election of directors, voting together as a single class.</w:t>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To the fullest extent permitted by the DGCL as it now exists or may hereafter be amended (but, in the case of any such amendment, only to the extent that such amendment permits the Corporation to provide broader director protection rights than permitted prior thereto), no director of the Corporation shall be personally liable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9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Corporation or any of its stockholders for monetary damages arising from a breach of fiduciary duty owed to the Corporation or its stockholders. Any repeal or modification of this Article VIII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Corporation shall indemnify its directors to the fullest extent permitted by the DGCL as it now exists or may hereafter be amended (but, in the case of any such amendment, only to the extent that such amendment permits the Corporation to provide broader protection rights than permitted prior thereto), and such right to indemnification shall continue as to a person who has ceased to be a director of the Corporation and shall inure to the benefit of his or her heirs, executors and personal and legal representatives; provided, that, except for proceedings to enforce rights and indemnification, the Corporation shall not be obligated to indemnify any director (or his or her heirs, executors or personal or legal representatives) in connection with a proceeding (or part thereof) initiated by such person unless such proceeding (or part thereof) was authorized or consented by the Board of Directors. The right to indemnification conferred by this Article X shall include the right to be paid by the Corporation the expenses incurred in defending or otherwise participating in any proceeding in advance of its final disposition.</w:t>
      </w:r>
    </w:p>
    <w:p>
      <w:pPr>
        <w:spacing w:after="0" w:line="19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Corporation may, to the extent authorized from time to time by the Board of Directors, provide rights to indemnification and to the advancement of expenses to officers, employees and agents of the Corporation similar to those conferred in this Article X to the Board of Directors.</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the advancement of expenses in this Article X shall not be exclusive of any other right which any person may have or hereafter acquire under this Certificate of Incorporation, as amended from time to time, the Bylaws, any statute, agreement, vote of stockholders or disinterested directors or otherwise.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repeal or modification of this Article X by the stockholders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STOCKHOLDER MEETINGS; BOOKS AND RECORDS</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Board of Directors or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ACTION BY WRITTEN CONSENT; SPECIAL MEETINGS OF STOCKHOLDERS; ADVANCE NOTICE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No Action by Written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1146"/>
        <w:spacing w:after="0" w:line="282" w:lineRule="auto"/>
        <w:rPr>
          <w:sz w:val="20"/>
          <w:szCs w:val="20"/>
          <w:color w:val="auto"/>
        </w:rPr>
      </w:pPr>
      <w:r>
        <w:rPr>
          <w:rFonts w:ascii="Times New Roman" w:cs="Times New Roman" w:eastAsia="Times New Roman" w:hAnsi="Times New Roman"/>
          <w:sz w:val="18"/>
          <w:szCs w:val="18"/>
          <w:color w:val="auto"/>
        </w:rPr>
        <w:t>Any action required or permitted to be taken by stockholders of the Corporation must be effected at a meeting of the stockholders of the Corporation and may not be effected by written consent in lieu of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by the terms of any series of Preferred Stock and to the requirements of applicable law, special meetings of stockholders of the Corporation may be called only by a majority of the Board of Directors, the Chairman of the Board of Directors or the Chief Executive Officer of the Corporation, and the ability of the stockholders to call a special meeting is hereby specifically denied. Only such business shall be considered at a special meeting of stockholders as shall have been stated in the notice for such meeting.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the Corporation’s stockholders, (iii) any action asserting a claim arising pursuant to any provision of the Delaware General Corporation Law, the Certificate of Incorporation or the Bylaws or (iv) any action asserting a claim governed by the internal affairs doctrine, in each case subject to said Court of Chancery having personal jurisdiction over the indispensable parties named as defendants therein.</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 In addition, the affirmative vote of the holders of at least two-thirds of the voting power of all outstanding shares of the Corporation entitled to vote generally in the election of directors shall be required to adopt any provision inconsistent with, to amend or repeal any provision of, or to adopt a bylaw inconsistent with Article V, Article VII, Article XI, Article XIII or this Article XIV of this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INCORPORATOR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incorporator of the Corporation is Janice Lee, whose mailing address is c/o Proskauer Rose LLP, 11 Times Square, 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10036.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INITIAL BOARD OF DIRECTORS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powers of the incorporator are to terminate upon the filing of this Certificate of Incorporation with the Secretary of State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names of the persons who are to serve as the initial directors of the Corporation are: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Robert Huffines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Adam Koppel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Rajeev Shah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Matthew Arnold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Adam 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Lynne Sullivan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Ilan Ganot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Gilad Hayeem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Andrey Zarur</w:t>
      </w:r>
    </w:p>
    <w:p>
      <w:pPr>
        <w:spacing w:after="0" w:line="2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The mailing address of each such director is: c/o Solid Biosciences Inc., 161 First Street, Third Floor, Cambridge, Massachusetts 02142.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undersigned incorporator hereby acknowledges that the foregoing certificate of incorporation is her act and deed on this the 25</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day of January,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Janice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Janice Lee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General Corporation Law of the State of Delaware</w:t>
      </w:r>
    </w:p>
    <w:p>
      <w:pPr>
        <w:spacing w:after="0" w:line="203"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color w:val="auto"/>
        </w:rPr>
        <w:t>Solid Biosciences Inc. (hereinafter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does hereby certify as follows:</w:t>
      </w:r>
    </w:p>
    <w:p>
      <w:pPr>
        <w:spacing w:after="0" w:line="1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FIRST: A resolution was duly adopted by the Board of Directors of the Corporation pursuant to Section 242 of the General Corporation Law of the State of Delaware setting forth an amendment to the Certificate of Incorporation of the Corporation and declaring said amendment to be advisable. The stockholders of the Corporation duly approved and adopted said proposed amendment at an annual meeting of stockholders in accordance with Section 242 of the General Corporation Law of the State of Delaware. The resolution setting forth the amendment is as follows:</w:t>
      </w:r>
    </w:p>
    <w:p>
      <w:pPr>
        <w:spacing w:after="0" w:line="207" w:lineRule="exact"/>
        <w:rPr>
          <w:sz w:val="20"/>
          <w:szCs w:val="20"/>
          <w:color w:val="auto"/>
        </w:rPr>
      </w:pPr>
    </w:p>
    <w:p>
      <w:pPr>
        <w:ind w:left="1700" w:right="40" w:hanging="1686"/>
        <w:spacing w:after="0" w:line="282" w:lineRule="auto"/>
        <w:tabs>
          <w:tab w:leader="none" w:pos="1680" w:val="left"/>
        </w:tabs>
        <w:rPr>
          <w:sz w:val="20"/>
          <w:szCs w:val="20"/>
          <w:color w:val="auto"/>
        </w:rPr>
      </w:pPr>
      <w:r>
        <w:rPr>
          <w:rFonts w:ascii="Times New Roman" w:cs="Times New Roman" w:eastAsia="Times New Roman" w:hAnsi="Times New Roman"/>
          <w:sz w:val="18"/>
          <w:szCs w:val="18"/>
          <w:u w:val="single" w:color="auto"/>
          <w:color w:val="auto"/>
        </w:rPr>
        <w:t>RESOLVED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That the first sentence of Article IV of the Certificate of Incorporation of the Corporation be and hereby is deleted in its entirety and the following three paragraphs are inserted in lieu thereof:</w:t>
      </w:r>
    </w:p>
    <w:p>
      <w:pPr>
        <w:spacing w:after="0" w:line="185" w:lineRule="exact"/>
        <w:rPr>
          <w:sz w:val="20"/>
          <w:szCs w:val="20"/>
          <w:color w:val="auto"/>
        </w:rPr>
      </w:pPr>
    </w:p>
    <w:p>
      <w:pPr>
        <w:ind w:left="1700" w:right="20"/>
        <w:spacing w:after="0" w:line="253" w:lineRule="auto"/>
        <w:rPr>
          <w:sz w:val="20"/>
          <w:szCs w:val="20"/>
          <w:color w:val="auto"/>
        </w:rPr>
      </w:pPr>
      <w:r>
        <w:rPr>
          <w:rFonts w:ascii="Times New Roman" w:cs="Times New Roman" w:eastAsia="Times New Roman" w:hAnsi="Times New Roman"/>
          <w:sz w:val="18"/>
          <w:szCs w:val="18"/>
          <w:color w:val="auto"/>
        </w:rPr>
        <w:t>“That, effective upon the effective time of this Certificate of Amendment to Certificate of Incorporation (this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 one-for-15 reverse stock split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shall become effective, pursuant to which each 15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 w:cs="Times New Roman" w:eastAsia="Times New Roman" w:hAnsi="Times New Roman"/>
          <w:sz w:val="18"/>
          <w:szCs w:val="18"/>
          <w:b w:val="1"/>
          <w:bCs w:val="1"/>
          <w:color w:val="auto"/>
        </w:rPr>
        <w:t>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Split</w:t>
      </w:r>
      <w:r>
        <w:rPr>
          <w:rFonts w:ascii="Times New Roman" w:cs="Times New Roman" w:eastAsia="Times New Roman" w:hAnsi="Times New Roman"/>
          <w:sz w:val="18"/>
          <w:szCs w:val="18"/>
          <w:color w:val="auto"/>
        </w:rPr>
        <w:t>”). The par value of the Common Stock following the Reverse Stock Split shall remain at $0.001 per share. No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shall be issued as a result of the Reverse Stock Split and, in lieu thereof, upon surrender after the Effective Time of a certificate or book entry position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closing price per share of the Common Stock on the Nasdaq Global Select Market at the close of business on the date of the Effective Time.</w:t>
      </w:r>
    </w:p>
    <w:p>
      <w:pPr>
        <w:spacing w:after="0" w:line="216" w:lineRule="exact"/>
        <w:rPr>
          <w:sz w:val="20"/>
          <w:szCs w:val="20"/>
          <w:color w:val="auto"/>
        </w:rPr>
      </w:pPr>
    </w:p>
    <w:p>
      <w:pPr>
        <w:ind w:left="1700"/>
        <w:spacing w:after="0" w:line="255" w:lineRule="auto"/>
        <w:rPr>
          <w:sz w:val="20"/>
          <w:szCs w:val="20"/>
          <w:color w:val="auto"/>
        </w:rPr>
      </w:pPr>
      <w:r>
        <w:rPr>
          <w:rFonts w:ascii="Times New Roman" w:cs="Times New Roman" w:eastAsia="Times New Roman" w:hAnsi="Times New Roman"/>
          <w:sz w:val="18"/>
          <w:szCs w:val="18"/>
          <w:color w:val="auto"/>
        </w:rPr>
        <w:t>Each stock certificate or book 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position have been reclassified (as well as the right to receive cash in lieu of fractional shares of Common Stock after the Effective Time); provided, however, that each person of record holding a certificate or book entry position that represented shares of Common Stock that were issued and outstanding immediately prior to the Effective Time shall receive, upon surrender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left="1700"/>
        <w:spacing w:after="0" w:line="266" w:lineRule="auto"/>
        <w:rPr>
          <w:sz w:val="20"/>
          <w:szCs w:val="20"/>
          <w:color w:val="auto"/>
        </w:rPr>
      </w:pPr>
      <w:r>
        <w:rPr>
          <w:rFonts w:ascii="Times New Roman" w:cs="Times New Roman" w:eastAsia="Times New Roman" w:hAnsi="Times New Roman"/>
          <w:sz w:val="18"/>
          <w:szCs w:val="18"/>
          <w:color w:val="auto"/>
        </w:rPr>
        <w:t>certificate or book entry position, a new certificate or book entry position evidencing and representing the number of whole shares of Common Stock after the Effective Time into which the shares of Common Stock formerly represented by such certificate or book entry position shall have been reclassified.</w:t>
      </w:r>
    </w:p>
    <w:p>
      <w:pPr>
        <w:spacing w:after="0" w:line="20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aggregate number of shares that the Corporation shall have authority to issue is 70,000,000 shares consisting of:</w:t>
      </w:r>
    </w:p>
    <w:p>
      <w:pPr>
        <w:spacing w:after="0" w:line="131" w:lineRule="exact"/>
        <w:rPr>
          <w:sz w:val="20"/>
          <w:szCs w:val="20"/>
          <w:color w:val="auto"/>
        </w:rPr>
      </w:pPr>
    </w:p>
    <w:p>
      <w:pPr>
        <w:ind w:left="2220" w:hanging="171"/>
        <w:spacing w:after="0"/>
        <w:tabs>
          <w:tab w:leader="none" w:pos="2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60,000,000 shares of Common Stock; and</w:t>
      </w:r>
    </w:p>
    <w:p>
      <w:pPr>
        <w:spacing w:after="0" w:line="126" w:lineRule="exact"/>
        <w:rPr>
          <w:rFonts w:ascii="Times New Roman" w:cs="Times New Roman" w:eastAsia="Times New Roman" w:hAnsi="Times New Roman"/>
          <w:sz w:val="18"/>
          <w:szCs w:val="18"/>
          <w:color w:val="auto"/>
        </w:rPr>
      </w:pPr>
    </w:p>
    <w:p>
      <w:pPr>
        <w:ind w:left="2220" w:hanging="171"/>
        <w:spacing w:after="0"/>
        <w:tabs>
          <w:tab w:leader="none" w:pos="2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$0.001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SECOND: This Certificate of Amendment shall be effective at 5:00 p.m., Eastern Time, on October 27, 2022.</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its corporate seal to be affixed hereto and this Certificate of Amendment to be signed by its President and Chief Executive Officer this 27</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day of October, 2022.</w:t>
      </w:r>
    </w:p>
    <w:p>
      <w:pPr>
        <w:spacing w:after="0" w:line="1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256" w:lineRule="exact"/>
        <w:rPr>
          <w:sz w:val="20"/>
          <w:szCs w:val="20"/>
          <w:color w:val="auto"/>
        </w:rPr>
      </w:pPr>
    </w:p>
    <w:p>
      <w:pPr>
        <w:ind w:left="6200"/>
        <w:spacing w:after="0"/>
        <w:tabs>
          <w:tab w:leader="none" w:pos="6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Ilan Ganot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 w:name="page14"/>
    <w:bookmarkEnd w:id="13"/>
    <w:p>
      <w:pPr>
        <w:spacing w:after="0" w:line="1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1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General Corporation Law of the State of Delaware</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Solid Biosciences Inc. (hereinafter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Corporation Law of the State of Delaware, does hereby certify as follows:</w:t>
      </w:r>
    </w:p>
    <w:p>
      <w:pPr>
        <w:spacing w:after="0" w:line="9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of the State of Delaware setting forth an amendment to the Certificate of Incorporation of the Corporation, as amended, and declaring said amendment to be advisable. The stockholders of the Corporation duly approved and adopted said proposed amendment at an annual meeting of stockholders in accordance with Section 242 of the General Corporation Law of the State of Delaware. The resolution setting forth the amendment is as follows:</w:t>
      </w:r>
    </w:p>
    <w:p>
      <w:pPr>
        <w:spacing w:after="0" w:line="207" w:lineRule="exact"/>
        <w:rPr>
          <w:sz w:val="20"/>
          <w:szCs w:val="20"/>
          <w:color w:val="auto"/>
        </w:rPr>
      </w:pPr>
    </w:p>
    <w:p>
      <w:pPr>
        <w:ind w:left="1700" w:right="220" w:hanging="1686"/>
        <w:spacing w:after="0" w:line="282" w:lineRule="auto"/>
        <w:tabs>
          <w:tab w:leader="none" w:pos="1680" w:val="left"/>
        </w:tabs>
        <w:rPr>
          <w:sz w:val="20"/>
          <w:szCs w:val="20"/>
          <w:color w:val="auto"/>
        </w:rPr>
      </w:pPr>
      <w:r>
        <w:rPr>
          <w:rFonts w:ascii="Times New Roman" w:cs="Times New Roman" w:eastAsia="Times New Roman" w:hAnsi="Times New Roman"/>
          <w:sz w:val="18"/>
          <w:szCs w:val="18"/>
          <w:u w:val="single" w:color="auto"/>
          <w:color w:val="auto"/>
        </w:rPr>
        <w:t>RESOLVED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That the first three paragraphs of Article IV of the Certificate of Incorporation of the Corporation, as amended, be and hereby are deleted in their entirety and the following is inserted in lieu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number of shares that the Corporation shall have authority to issue is 130,000,000 shares consisting of:</w:t>
      </w:r>
    </w:p>
    <w:p>
      <w:pPr>
        <w:spacing w:after="0" w:line="113" w:lineRule="exact"/>
        <w:rPr>
          <w:sz w:val="20"/>
          <w:szCs w:val="20"/>
          <w:color w:val="auto"/>
        </w:rPr>
      </w:pPr>
    </w:p>
    <w:p>
      <w:pPr>
        <w:ind w:left="700" w:hanging="183"/>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120,000,000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$0.001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WITNESS WHEREOF, the Corporation has caused its duly authorized officer to execute this Certificate of Amendment on this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day of June,</w:t>
      </w: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256" w:lineRule="exact"/>
        <w:rPr>
          <w:sz w:val="20"/>
          <w:szCs w:val="20"/>
          <w:color w:val="auto"/>
        </w:rPr>
      </w:pPr>
    </w:p>
    <w:p>
      <w:pPr>
        <w:ind w:left="6200"/>
        <w:spacing w:after="0"/>
        <w:tabs>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17145</wp:posOffset>
            </wp:positionV>
            <wp:extent cx="2948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Alexander Cumbo</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1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General Corporation Law of the State of Delaware</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Solid Biosciences Inc. (hereinafter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Corporation Law of the State of Delaware, does hereby certify as follows:</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of the State of Delaware setting forth an amendment to the Certificate of Incorporation of the Corporation, as amended, and declaring said amendment to be advisable. The stockholders of the Corporation duly approved and adopted said proposed amendment at an annual meeting of stockholders in accordance with Section 242 of the General Corporation Law of the State of Delaware. The resolution setting forth the amendment is as follows:</w:t>
      </w:r>
    </w:p>
    <w:p>
      <w:pPr>
        <w:spacing w:after="0" w:line="207" w:lineRule="exact"/>
        <w:rPr>
          <w:sz w:val="20"/>
          <w:szCs w:val="20"/>
          <w:color w:val="auto"/>
        </w:rPr>
      </w:pPr>
    </w:p>
    <w:p>
      <w:pPr>
        <w:ind w:left="1700" w:right="60" w:hanging="1686"/>
        <w:spacing w:after="0" w:line="282" w:lineRule="auto"/>
        <w:tabs>
          <w:tab w:leader="none" w:pos="1680" w:val="left"/>
        </w:tabs>
        <w:rPr>
          <w:sz w:val="20"/>
          <w:szCs w:val="20"/>
          <w:color w:val="auto"/>
        </w:rPr>
      </w:pPr>
      <w:r>
        <w:rPr>
          <w:rFonts w:ascii="Times New Roman" w:cs="Times New Roman" w:eastAsia="Times New Roman" w:hAnsi="Times New Roman"/>
          <w:sz w:val="18"/>
          <w:szCs w:val="18"/>
          <w:u w:val="single" w:color="auto"/>
          <w:color w:val="auto"/>
        </w:rPr>
        <w:t>RESOLVED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That the first paragraph of Article IV of the Certificate of Incorporation of the Corporation, as amended, be and hereby is deleted in its entirety and the following is inserted in lieu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number of shares that the Corporation shall have authority to issue is 250,000,000 shares consisting of:</w:t>
      </w:r>
    </w:p>
    <w:p>
      <w:pPr>
        <w:spacing w:after="0" w:line="113" w:lineRule="exact"/>
        <w:rPr>
          <w:sz w:val="20"/>
          <w:szCs w:val="20"/>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240,000,000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$0.001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WITNESS WHEREOF, the Corporation has caused its duly authorized officer to execute this Certificate of Amendment on this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day of June,</w:t>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25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Alexander Cumbo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ind w:left="1036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173990</wp:posOffset>
            </wp:positionV>
            <wp:extent cx="109728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0972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+1 617 526 6000 (t)</w:t>
      </w:r>
    </w:p>
    <w:p>
      <w:pPr>
        <w:spacing w:after="0" w:line="27"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+1 617 526 5000 (f)</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wilmerhale.com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13,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Rutherford Avenue, Third Floor</w:t>
      </w:r>
    </w:p>
    <w:p>
      <w:pPr>
        <w:spacing w:after="0"/>
        <w:rPr>
          <w:sz w:val="20"/>
          <w:szCs w:val="20"/>
          <w:color w:val="auto"/>
        </w:rPr>
      </w:pPr>
      <w:r>
        <w:rPr>
          <w:rFonts w:ascii="Times New Roman" w:cs="Times New Roman" w:eastAsia="Times New Roman" w:hAnsi="Times New Roman"/>
          <w:sz w:val="22"/>
          <w:szCs w:val="22"/>
          <w:color w:val="auto"/>
        </w:rPr>
        <w:t>Charlestown, Massachusetts 02129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Amended and Restated 2020 Equity Incentive Plan,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98"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9,000,000 shares (the “Shares”) of common stock, par value $0.001 per share, of Solid Biosciences Inc., a Delaware corporation (the “Company”), issuable under the Company’s Amended and Restated 2020 Equity Incentive Plan, as amended (the “Plan”).</w:t>
      </w:r>
    </w:p>
    <w:p>
      <w:pPr>
        <w:spacing w:after="0" w:line="17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Plan and such other documents relating to the Company as we have deemed material for the purposes of this opinion.</w:t>
      </w:r>
    </w:p>
    <w:p>
      <w:pPr>
        <w:spacing w:after="0" w:line="18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0"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5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We express no opinion herein as to the laws of any state or jurisdiction other than the General Corporation Law of the State of Delaware.</w:t>
      </w:r>
    </w:p>
    <w:p>
      <w:pPr>
        <w:spacing w:after="0" w:line="158"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It is understood that this opinion is to be used only in connection with the offer and sale of the Shares while the Registration Statement is in effect.</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928370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280670</wp:posOffset>
            </wp:positionV>
            <wp:extent cx="5220335"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220335" cy="22288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6" w:name="page17"/>
    <w:bookmarkEnd w:id="16"/>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13,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629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414020</wp:posOffset>
            </wp:positionV>
            <wp:extent cx="5332095"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332095" cy="22288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329"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Solid Biosciences Inc. of our report dated March 6, 2025 relating to the financial statements, which appears in Solid Biosciences Inc.'s Annual Report on Form 10-K for the year ended December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2020 EQUITY INCENTIVE PLAN</w:t>
      </w:r>
    </w:p>
    <w:p>
      <w:pPr>
        <w:spacing w:after="0" w:line="229"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purpose of this Amended and Restated 2020 Equity Incentive Plan (the “Plan”) of Solid Biosciences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cash and equity performance-based incentives that are intended to better align the interests of such persons with those of the Company’s stockholders. The Plan amends and restates the 2020 Equity Incentive Plan (the “Original Plan”) that was originally adopted by the board of directors of the Company (the “Board”) on April 15, 2020 and approved by the stockholders on June 16, 2020, and was amended by the Board on April 27, 2021 and approved by our stockholders on June 16, 2021. Except where the context otherwise requires, the term “Company” shall include any of the Company’s present or future parent or subsidiary corporations as defined in Sections 424(e) or (f) of the Internal Revenue Code of 1986, as amended, and any regulations thereunder (the “Code”) and any other business venture (including, without limitation, joint venture or limited liability company) in which the Company has a controlling interest, as determined by the Board.</w:t>
      </w:r>
    </w:p>
    <w:p>
      <w:pPr>
        <w:spacing w:after="0" w:line="302"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“Securities Act”), or any successor form) are eligible to be granted Awards (as defined below) under the Plan. Each person who is granted an Award under the Plan is deemed a “Participant.” The Plan provides for the following types of awards, each of which is referred to as an “Award”: Options (as defined in Section 5), SARs (as defined in Section 6), Restricted Stock (as defined in Section 7), RSUs (as defined in Section 7), Other Stock-Based Awards (as defined in Section 8)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297"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117" w:lineRule="exact"/>
        <w:rPr>
          <w:rFonts w:ascii="Times New Roman" w:cs="Times New Roman" w:eastAsia="Times New Roman" w:hAnsi="Times New Roman"/>
          <w:sz w:val="18"/>
          <w:szCs w:val="18"/>
          <w:color w:val="auto"/>
        </w:rPr>
      </w:pPr>
    </w:p>
    <w:p>
      <w:pPr>
        <w:ind w:right="40" w:firstLine="517"/>
        <w:spacing w:after="0" w:line="256" w:lineRule="auto"/>
        <w:tabs>
          <w:tab w:leader="none" w:pos="7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w:t>
      </w:r>
    </w:p>
    <w:p>
      <w:pPr>
        <w:spacing w:after="0" w:line="187" w:lineRule="exact"/>
        <w:rPr>
          <w:rFonts w:ascii="Times New Roman" w:cs="Times New Roman" w:eastAsia="Times New Roman" w:hAnsi="Times New Roman"/>
          <w:sz w:val="18"/>
          <w:szCs w:val="18"/>
          <w:color w:val="auto"/>
        </w:rPr>
      </w:pPr>
    </w:p>
    <w:p>
      <w:pPr>
        <w:jc w:val="both"/>
        <w:ind w:right="60" w:firstLine="517"/>
        <w:spacing w:after="0" w:line="261" w:lineRule="auto"/>
        <w:tabs>
          <w:tab w:leader="none" w:pos="7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(each, a “Committee”). All references in the Plan to the “Board” shall mean the Board or a Committee of the Board or the Delegated Persons referred to in Section 3(c) to the extent that the Board’s powers or authority under the Plan have been delegated to such Committee or such Delegated Persons.</w:t>
      </w:r>
    </w:p>
    <w:p>
      <w:pPr>
        <w:spacing w:after="0" w:line="179" w:lineRule="exact"/>
        <w:rPr>
          <w:rFonts w:ascii="Times New Roman" w:cs="Times New Roman" w:eastAsia="Times New Roman" w:hAnsi="Times New Roman"/>
          <w:sz w:val="18"/>
          <w:szCs w:val="18"/>
          <w:color w:val="auto"/>
        </w:rPr>
      </w:pPr>
    </w:p>
    <w:p>
      <w:pPr>
        <w:ind w:right="40" w:firstLine="517"/>
        <w:spacing w:after="0" w:line="256" w:lineRule="auto"/>
        <w:tabs>
          <w:tab w:leader="none" w:pos="7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Delegated Persons</w:t>
      </w:r>
      <w:r>
        <w:rPr>
          <w:rFonts w:ascii="Times New Roman" w:cs="Times New Roman" w:eastAsia="Times New Roman" w:hAnsi="Times New Roman"/>
          <w:sz w:val="18"/>
          <w:szCs w:val="18"/>
          <w:color w:val="auto"/>
        </w:rPr>
        <w:t>. Subject to any requirements of applicable law (including as applicable Sections 152(b) and 157(c) of the General Corporation Law of the State of Delaware), the Board may, by resolution, delegate to one or more persons (including officers of the Company) or bodies (such persons or bodies, the “Delegated Persons”) the power to grant Awards (subject to any limitations under the Plan) to eligible service providers of the Company and to exercise such other powers under the Plan as the Board may determine, provided that the Board shall fix: (i) the maximum number of Awards, and the maximum number of shares issuable upon exercise thereof, that may be issued by such Delegated Persons, (ii) the time period during which such Awards,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which the shares issuable upon exercise thereof, may be issued, and (iii) the minimum amount of consideration (if any) for which such Awards may be issued, and a minimum amount of consideration for the shares issuable upon exercise thereof; and provided further, that no Delegated Person shall be authorized to grant Awards to itself; and provided further, that no Delegated Person shall be authorized to grant Awards to any “executive officer” of the Company (as defined by Rule 3b-7 under the Securities Exchange Act of 1934, as amended (the “Exchange Act”)) or to any “officer” of the Company (as defined by Rule 16a-1(f) under the Exchange Act).</w:t>
      </w:r>
    </w:p>
    <w:p>
      <w:pPr>
        <w:spacing w:after="0" w:line="183" w:lineRule="exact"/>
        <w:rPr>
          <w:sz w:val="20"/>
          <w:szCs w:val="20"/>
          <w:color w:val="auto"/>
        </w:rPr>
      </w:pPr>
    </w:p>
    <w:p>
      <w:pPr>
        <w:jc w:val="both"/>
        <w:ind w:right="60" w:firstLine="517"/>
        <w:spacing w:after="0" w:line="266" w:lineRule="auto"/>
        <w:tabs>
          <w:tab w:leader="none" w:pos="7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Non-Employee Directors</w:t>
      </w:r>
      <w:r>
        <w:rPr>
          <w:rFonts w:ascii="Times New Roman" w:cs="Times New Roman" w:eastAsia="Times New Roman" w:hAnsi="Times New Roman"/>
          <w:sz w:val="18"/>
          <w:szCs w:val="18"/>
          <w:color w:val="auto"/>
        </w:rPr>
        <w:t>. Awards to non-employee directors will be granted and administered by a Committee, all of the members of which are independent directors as defined by Section 5605(a)(2) of the of rules of the Nasdaq Stock Market or corresponding rules of any other exchange or marketplace on which the Company stock is traded or listed (the “Exchange”).</w:t>
      </w:r>
    </w:p>
    <w:p>
      <w:pPr>
        <w:spacing w:after="0" w:line="2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Share Counting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40" w:firstLine="1154"/>
        <w:spacing w:after="0" w:line="282" w:lineRule="auto"/>
        <w:tabs>
          <w:tab w:leader="none" w:pos="14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Number of Shares. Subject to adjustment under Section 10, Awards may be made under the Plan for up to a number of shares of common stock, $0.001 par value per share, of the Company (the “Common Stock”), as is equal to the sum of:</w:t>
      </w:r>
    </w:p>
    <w:p>
      <w:pPr>
        <w:spacing w:after="0" w:line="53" w:lineRule="exact"/>
        <w:rPr>
          <w:rFonts w:ascii="Times New Roman" w:cs="Times New Roman" w:eastAsia="Times New Roman" w:hAnsi="Times New Roman"/>
          <w:sz w:val="18"/>
          <w:szCs w:val="18"/>
          <w:color w:val="auto"/>
        </w:rPr>
      </w:pPr>
    </w:p>
    <w:p>
      <w:pPr>
        <w:ind w:left="1960" w:hanging="297"/>
        <w:spacing w:after="0"/>
        <w:tabs>
          <w:tab w:leader="none" w:pos="196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12,533,333 shares of Common Stock, before giving effect to the annual increase pursuant to Section 4(a)(1)(C); plus</w:t>
      </w:r>
    </w:p>
    <w:p>
      <w:pPr>
        <w:spacing w:after="0" w:line="225" w:lineRule="exact"/>
        <w:rPr>
          <w:rFonts w:ascii="Times New Roman" w:cs="Times New Roman" w:eastAsia="Times New Roman" w:hAnsi="Times New Roman"/>
          <w:sz w:val="18"/>
          <w:szCs w:val="18"/>
          <w:color w:val="auto"/>
        </w:rPr>
      </w:pPr>
    </w:p>
    <w:p>
      <w:pPr>
        <w:ind w:firstLine="1663"/>
        <w:spacing w:after="0" w:line="256" w:lineRule="auto"/>
        <w:tabs>
          <w:tab w:leader="none" w:pos="194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number of shares of Common Stock (up to 325,268 shares) as is equal to the sum of (i) the number of shares of Common Stock reserved for issuance under the Company’s 2018 Omnibus Incentive Plan (the “Existing Plan”) that remained available for grant under the Existing Plan as of immediately prior to the date the Original Plan was approved by the Company’s stockholders and (ii) the number of shares of Common Stock subject to awards granted under the Existing Plan which awards expire, terminate or are otherwise surrendered, cancelled, forfeited or repurchased by the Company at their original issuance price pursuant to a contractual repurchase right (subject, however, in the case of Incentive Stock Options to any limitations under the Code); plus</w:t>
      </w:r>
    </w:p>
    <w:p>
      <w:pPr>
        <w:spacing w:after="0" w:line="187" w:lineRule="exact"/>
        <w:rPr>
          <w:rFonts w:ascii="Times New Roman" w:cs="Times New Roman" w:eastAsia="Times New Roman" w:hAnsi="Times New Roman"/>
          <w:sz w:val="18"/>
          <w:szCs w:val="18"/>
          <w:color w:val="auto"/>
        </w:rPr>
      </w:pPr>
    </w:p>
    <w:p>
      <w:pPr>
        <w:ind w:right="40" w:firstLine="1663"/>
        <w:spacing w:after="0" w:line="256" w:lineRule="auto"/>
        <w:tabs>
          <w:tab w:leader="none" w:pos="194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annual increase to be added on the first day of each fiscal year, beginning with the fiscal year ending December 31, 2023 and continuing for each fiscal year until, and including, the fiscal year ending December 31, 2025, equal to the lesser of (I) 5% of the outstanding shares on such date and (II) an amount determined by the Board and (ii) an annual increase to be added on the first day of each fiscal year, beginning with the fiscal year ending December 31, 2026 and continuing for each fiscal year until, and including, the fiscal year ending December 31, 2032, equal to the lesser of (I) 6% of the sum of (a) the number of outstanding shares on such date and (b) the number of shares of our Common Stock subject to pre-funded warrants on such date and (II) an amount determined by the Board.</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Subject to adjustment under Section 10, up to 1,858,601 of the shares of Common Stock available for issuance may be granted as Incentive Stock Options (as defined in Section 5(b)) under the Plan. Shares of Common Stock issued under the Plan may consist in whole or in part of authorized but unissued shares or treasury shares.</w:t>
      </w:r>
    </w:p>
    <w:p>
      <w:pPr>
        <w:spacing w:after="0" w:line="176" w:lineRule="exact"/>
        <w:rPr>
          <w:sz w:val="20"/>
          <w:szCs w:val="20"/>
          <w:color w:val="auto"/>
        </w:rPr>
      </w:pPr>
    </w:p>
    <w:p>
      <w:pPr>
        <w:ind w:right="80" w:firstLine="1154"/>
        <w:spacing w:after="0" w:line="282"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Counting. For purposes of counting the number of shares available for the grant of Awards under the Plan under this Section 4(a) and under the sublimit contained in Section 4(b):</w:t>
      </w:r>
    </w:p>
    <w:p>
      <w:pPr>
        <w:spacing w:after="0" w:line="53" w:lineRule="exact"/>
        <w:rPr>
          <w:rFonts w:ascii="Times New Roman" w:cs="Times New Roman" w:eastAsia="Times New Roman" w:hAnsi="Times New Roman"/>
          <w:sz w:val="18"/>
          <w:szCs w:val="18"/>
          <w:color w:val="auto"/>
        </w:rPr>
      </w:pPr>
    </w:p>
    <w:p>
      <w:pPr>
        <w:ind w:right="80" w:firstLine="1663"/>
        <w:spacing w:after="0" w:line="258" w:lineRule="auto"/>
        <w:tabs>
          <w:tab w:leader="none" w:pos="19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covered by SARs shall be counted against the number of shares available for the grant of Awards under the Plan and against the sublimit contained in Section 4(b); provided, however, that (i) SARs that may be settled only in cash shall not be so counted and (ii) if the Company grants an SAR in tandem with an Option for the same number of shares of Common Stock and provides that only one such Award may be exercised (a “Tandem SAR”), only the shares covered by the Option, and not the shares covered by the Tandem SAR, shall be so counted, and the expiration of one in connection with the other’s exercise will not restore shares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ind w:left="1940" w:hanging="277"/>
        <w:spacing w:after="0"/>
        <w:tabs>
          <w:tab w:leader="none" w:pos="19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RSU may be settled only in cash, no shares shall be counted against the shares available for the grant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the Plan;</w:t>
      </w:r>
    </w:p>
    <w:p>
      <w:pPr>
        <w:spacing w:after="0" w:line="206" w:lineRule="exact"/>
        <w:rPr>
          <w:rFonts w:ascii="Times New Roman" w:cs="Times New Roman" w:eastAsia="Times New Roman" w:hAnsi="Times New Roman"/>
          <w:sz w:val="18"/>
          <w:szCs w:val="18"/>
          <w:color w:val="auto"/>
        </w:rPr>
      </w:pPr>
    </w:p>
    <w:p>
      <w:pPr>
        <w:ind w:firstLine="1663"/>
        <w:spacing w:after="0" w:line="254" w:lineRule="auto"/>
        <w:tabs>
          <w:tab w:leader="none" w:pos="194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provided, however, that (1) in the case of Incentive Stock Options, the foregoing shall be subject to any limitations under the Code, (2) in the case of the exercise of an SAR, the number of shares counted against the shares available under the Plan and against the sublimit contained in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188" w:lineRule="exact"/>
        <w:rPr>
          <w:rFonts w:ascii="Times New Roman" w:cs="Times New Roman" w:eastAsia="Times New Roman" w:hAnsi="Times New Roman"/>
          <w:sz w:val="18"/>
          <w:szCs w:val="18"/>
          <w:color w:val="auto"/>
        </w:rPr>
      </w:pPr>
    </w:p>
    <w:p>
      <w:pPr>
        <w:ind w:right="100" w:firstLine="1663"/>
        <w:spacing w:after="0" w:line="266" w:lineRule="auto"/>
        <w:tabs>
          <w:tab w:leader="none" w:pos="195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175" w:lineRule="exact"/>
        <w:rPr>
          <w:rFonts w:ascii="Times New Roman" w:cs="Times New Roman" w:eastAsia="Times New Roman" w:hAnsi="Times New Roman"/>
          <w:sz w:val="18"/>
          <w:szCs w:val="18"/>
          <w:color w:val="auto"/>
        </w:rPr>
      </w:pPr>
    </w:p>
    <w:p>
      <w:pPr>
        <w:ind w:right="280" w:firstLine="1663"/>
        <w:spacing w:after="0" w:line="282" w:lineRule="auto"/>
        <w:tabs>
          <w:tab w:leader="none" w:pos="193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161" w:lineRule="exact"/>
        <w:rPr>
          <w:rFonts w:ascii="Times New Roman" w:cs="Times New Roman" w:eastAsia="Times New Roman" w:hAnsi="Times New Roman"/>
          <w:sz w:val="18"/>
          <w:szCs w:val="18"/>
          <w:color w:val="auto"/>
        </w:rPr>
      </w:pPr>
    </w:p>
    <w:p>
      <w:pPr>
        <w:ind w:right="40" w:firstLine="517"/>
        <w:spacing w:after="0" w:line="254" w:lineRule="auto"/>
        <w:tabs>
          <w:tab w:leader="none" w:pos="7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Sublimit on Awards to Non-Employee Directors</w:t>
      </w:r>
      <w:r>
        <w:rPr>
          <w:rFonts w:ascii="Times New Roman" w:cs="Times New Roman" w:eastAsia="Times New Roman" w:hAnsi="Times New Roman"/>
          <w:sz w:val="18"/>
          <w:szCs w:val="18"/>
          <w:color w:val="auto"/>
        </w:rPr>
        <w:t>. The maximum amount of cash and equity compensation (calculated based on grant date fair value for financial reporting purposes) granted in any calendar year to any individual non-employee director in his or her capacity as a non-employee director shall not exceed $500,000 for an incumbent non-employee director or $1,000,000 in the case of a non-employee director’s initial year of service; provided, however, that fees paid by the Company on behalf of any non-employee director in connection with regulatory compliance and any amounts paid to the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cash and Awards granted under the Plan to non-employee directors in their capacity as consultants or advisors to the Company are not subject to the limitation set forth in this Section 4(b).</w:t>
      </w:r>
    </w:p>
    <w:p>
      <w:pPr>
        <w:spacing w:after="0" w:line="188" w:lineRule="exact"/>
        <w:rPr>
          <w:rFonts w:ascii="Times New Roman" w:cs="Times New Roman" w:eastAsia="Times New Roman" w:hAnsi="Times New Roman"/>
          <w:sz w:val="18"/>
          <w:szCs w:val="18"/>
          <w:color w:val="auto"/>
        </w:rPr>
      </w:pPr>
    </w:p>
    <w:p>
      <w:pPr>
        <w:ind w:right="20" w:firstLine="517"/>
        <w:spacing w:after="0" w:line="258" w:lineRule="auto"/>
        <w:tabs>
          <w:tab w:leader="none" w:pos="7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 contained in the Plan, except as may be required by reason of Section 422 and related provisions of the Code.</w:t>
      </w:r>
    </w:p>
    <w:p>
      <w:pPr>
        <w:spacing w:after="0" w:line="2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517"/>
        <w:spacing w:after="0" w:line="266" w:lineRule="auto"/>
        <w:tabs>
          <w:tab w:leader="none" w:pos="7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75" w:lineRule="exact"/>
        <w:rPr>
          <w:rFonts w:ascii="Times New Roman" w:cs="Times New Roman" w:eastAsia="Times New Roman" w:hAnsi="Times New Roman"/>
          <w:sz w:val="18"/>
          <w:szCs w:val="18"/>
          <w:color w:val="auto"/>
        </w:rPr>
      </w:pPr>
    </w:p>
    <w:p>
      <w:pPr>
        <w:ind w:right="20" w:firstLine="517"/>
        <w:spacing w:after="0" w:line="261" w:lineRule="auto"/>
        <w:tabs>
          <w:tab w:leader="none" w:pos="7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Option that the Board intends to be an “incentive stock option” as defined in Section 422 of the Code (an “Incentive Stock Option”) shall only be granted to employees of Solid Biosciences Inc., any of Solid Biosciences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Code. An Option that is not intended to be an Incentive Stock Option shall be designated a “Nonstatutory Stock Option.”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176" w:lineRule="exact"/>
        <w:rPr>
          <w:sz w:val="20"/>
          <w:szCs w:val="20"/>
          <w:color w:val="auto"/>
        </w:rPr>
      </w:pPr>
    </w:p>
    <w:p>
      <w:pPr>
        <w:ind w:firstLine="517"/>
        <w:spacing w:after="0" w:line="258" w:lineRule="auto"/>
        <w:tabs>
          <w:tab w:leader="none" w:pos="7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provided that if the Board approves the grant of an Option with an exercise price to be determined on a future date, the exercise price shall be not less than 100% of the Grant Date Fair Market Value on such future date. “Grant Date Fair Market Value” of a share of Common Stock for purposes of the Plan will be determined as follows:</w:t>
      </w:r>
    </w:p>
    <w:p>
      <w:pPr>
        <w:spacing w:after="0" w:line="75" w:lineRule="exact"/>
        <w:rPr>
          <w:rFonts w:ascii="Times New Roman" w:cs="Times New Roman" w:eastAsia="Times New Roman" w:hAnsi="Times New Roman"/>
          <w:sz w:val="18"/>
          <w:szCs w:val="18"/>
          <w:color w:val="auto"/>
        </w:rPr>
      </w:pPr>
    </w:p>
    <w:p>
      <w:pPr>
        <w:ind w:left="1400" w:hanging="246"/>
        <w:spacing w:after="0"/>
        <w:tabs>
          <w:tab w:leader="none" w:pos="14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trades on a national securities exchange, the closing sale price (for the primary trading session) on the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or</w:t>
      </w:r>
    </w:p>
    <w:p>
      <w:pPr>
        <w:spacing w:after="0" w:line="206" w:lineRule="exact"/>
        <w:rPr>
          <w:rFonts w:ascii="Times New Roman" w:cs="Times New Roman" w:eastAsia="Times New Roman" w:hAnsi="Times New Roman"/>
          <w:sz w:val="18"/>
          <w:szCs w:val="18"/>
          <w:color w:val="auto"/>
        </w:rPr>
      </w:pPr>
    </w:p>
    <w:p>
      <w:pPr>
        <w:ind w:right="320" w:firstLine="1154"/>
        <w:spacing w:after="0" w:line="282" w:lineRule="auto"/>
        <w:tabs>
          <w:tab w:leader="none" w:pos="14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does not trade on any such exchange, the average of the closing bid and asked prices on the applicable date as reported by an over-the-counter marketplace designated by the Board; or</w:t>
      </w:r>
    </w:p>
    <w:p>
      <w:pPr>
        <w:spacing w:after="0" w:line="161" w:lineRule="exact"/>
        <w:rPr>
          <w:rFonts w:ascii="Times New Roman" w:cs="Times New Roman" w:eastAsia="Times New Roman" w:hAnsi="Times New Roman"/>
          <w:sz w:val="18"/>
          <w:szCs w:val="18"/>
          <w:color w:val="auto"/>
        </w:rPr>
      </w:pPr>
    </w:p>
    <w:p>
      <w:pPr>
        <w:ind w:right="20" w:firstLine="1154"/>
        <w:spacing w:after="0" w:line="266" w:lineRule="auto"/>
        <w:tabs>
          <w:tab w:leader="none" w:pos="14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62" w:lineRule="exact"/>
        <w:rPr>
          <w:sz w:val="20"/>
          <w:szCs w:val="20"/>
          <w:color w:val="auto"/>
        </w:rPr>
      </w:pPr>
    </w:p>
    <w:p>
      <w:pPr>
        <w:ind w:right="280" w:firstLine="517"/>
        <w:spacing w:after="0" w:line="282" w:lineRule="auto"/>
        <w:tabs>
          <w:tab w:leader="none" w:pos="7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Each Option shall be exercisable at such times and subject to such terms and conditions as the Board may specify in the applicable Option agreement; provided, however, that no Option will be granted with a term in excess of 10 years.</w:t>
      </w:r>
    </w:p>
    <w:p>
      <w:pPr>
        <w:spacing w:after="0" w:line="161"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7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75"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the Plan shall be paid for as follows:</w:t>
      </w:r>
    </w:p>
    <w:p>
      <w:pPr>
        <w:spacing w:after="0" w:line="117" w:lineRule="exact"/>
        <w:rPr>
          <w:rFonts w:ascii="Times New Roman" w:cs="Times New Roman" w:eastAsia="Times New Roman" w:hAnsi="Times New Roman"/>
          <w:sz w:val="18"/>
          <w:szCs w:val="18"/>
          <w:color w:val="auto"/>
        </w:rPr>
      </w:pPr>
    </w:p>
    <w:p>
      <w:pPr>
        <w:ind w:left="1400" w:hanging="246"/>
        <w:spacing w:after="0"/>
        <w:tabs>
          <w:tab w:leader="none" w:pos="1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auto"/>
        </w:rPr>
      </w:pPr>
    </w:p>
    <w:p>
      <w:pPr>
        <w:ind w:firstLine="1154"/>
        <w:spacing w:after="0" w:line="261" w:lineRule="auto"/>
        <w:tabs>
          <w:tab w:leader="none" w:pos="14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94" w:lineRule="exact"/>
        <w:rPr>
          <w:sz w:val="20"/>
          <w:szCs w:val="20"/>
          <w:color w:val="auto"/>
        </w:rPr>
      </w:pPr>
    </w:p>
    <w:p>
      <w:pPr>
        <w:ind w:left="-8" w:right="120" w:firstLine="1154"/>
        <w:spacing w:after="0" w:line="258" w:lineRule="auto"/>
        <w:tabs>
          <w:tab w:leader="none" w:pos="139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83" w:lineRule="exact"/>
        <w:rPr>
          <w:rFonts w:ascii="Times New Roman" w:cs="Times New Roman" w:eastAsia="Times New Roman" w:hAnsi="Times New Roman"/>
          <w:sz w:val="18"/>
          <w:szCs w:val="18"/>
          <w:color w:val="auto"/>
        </w:rPr>
      </w:pPr>
    </w:p>
    <w:p>
      <w:pPr>
        <w:ind w:left="-8" w:firstLine="1154"/>
        <w:spacing w:after="0" w:line="261" w:lineRule="auto"/>
        <w:tabs>
          <w:tab w:leader="none" w:pos="139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79" w:lineRule="exact"/>
        <w:rPr>
          <w:rFonts w:ascii="Times New Roman" w:cs="Times New Roman" w:eastAsia="Times New Roman" w:hAnsi="Times New Roman"/>
          <w:sz w:val="18"/>
          <w:szCs w:val="18"/>
          <w:color w:val="auto"/>
        </w:rPr>
      </w:pPr>
    </w:p>
    <w:p>
      <w:pPr>
        <w:ind w:left="-8" w:right="20" w:firstLine="1154"/>
        <w:spacing w:after="0" w:line="266" w:lineRule="auto"/>
        <w:tabs>
          <w:tab w:leader="none" w:pos="139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spacing w:after="0" w:line="175" w:lineRule="exact"/>
        <w:rPr>
          <w:rFonts w:ascii="Times New Roman" w:cs="Times New Roman" w:eastAsia="Times New Roman" w:hAnsi="Times New Roman"/>
          <w:sz w:val="18"/>
          <w:szCs w:val="18"/>
          <w:color w:val="auto"/>
        </w:rPr>
      </w:pPr>
    </w:p>
    <w:p>
      <w:pPr>
        <w:ind w:left="1392" w:hanging="246"/>
        <w:spacing w:after="0"/>
        <w:tabs>
          <w:tab w:leader="none" w:pos="139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25" w:lineRule="exact"/>
        <w:rPr>
          <w:rFonts w:ascii="Times New Roman" w:cs="Times New Roman" w:eastAsia="Times New Roman" w:hAnsi="Times New Roman"/>
          <w:sz w:val="18"/>
          <w:szCs w:val="18"/>
          <w:color w:val="auto"/>
        </w:rPr>
      </w:pPr>
    </w:p>
    <w:p>
      <w:pPr>
        <w:ind w:left="-8" w:firstLine="517"/>
        <w:spacing w:after="0" w:line="254" w:lineRule="auto"/>
        <w:tabs>
          <w:tab w:leader="none" w:pos="7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124" w:lineRule="exact"/>
        <w:rPr>
          <w:rFonts w:ascii="Times New Roman" w:cs="Times New Roman" w:eastAsia="Times New Roman" w:hAnsi="Times New Roman"/>
          <w:sz w:val="18"/>
          <w:szCs w:val="18"/>
          <w:color w:val="auto"/>
        </w:rPr>
      </w:pPr>
    </w:p>
    <w:p>
      <w:pPr>
        <w:ind w:left="-8" w:right="220" w:firstLine="517"/>
        <w:spacing w:after="0" w:line="282" w:lineRule="auto"/>
        <w:tabs>
          <w:tab w:leader="none" w:pos="7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Options</w:t>
      </w:r>
      <w:r>
        <w:rPr>
          <w:rFonts w:ascii="Times New Roman" w:cs="Times New Roman" w:eastAsia="Times New Roman" w:hAnsi="Times New Roman"/>
          <w:sz w:val="18"/>
          <w:szCs w:val="18"/>
          <w:color w:val="auto"/>
        </w:rPr>
        <w:t>. No Option granted under the Plan shall contain any provision entitling the Participant to the automatic grant of additional Options in connection with any exercise of the original Option.</w:t>
      </w:r>
    </w:p>
    <w:p>
      <w:pPr>
        <w:spacing w:after="0" w:line="161" w:lineRule="exact"/>
        <w:rPr>
          <w:rFonts w:ascii="Times New Roman" w:cs="Times New Roman" w:eastAsia="Times New Roman" w:hAnsi="Times New Roman"/>
          <w:sz w:val="18"/>
          <w:szCs w:val="18"/>
          <w:color w:val="auto"/>
        </w:rPr>
      </w:pPr>
    </w:p>
    <w:p>
      <w:pPr>
        <w:ind w:left="732" w:hanging="223"/>
        <w:spacing w:after="0"/>
        <w:tabs>
          <w:tab w:leader="none" w:pos="7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the payment or accrual of dividend equivalents.</w:t>
      </w:r>
    </w:p>
    <w:p>
      <w:pPr>
        <w:spacing w:after="0" w:line="33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p>
    <w:p>
      <w:pPr>
        <w:spacing w:after="0" w:line="117" w:lineRule="exact"/>
        <w:rPr>
          <w:rFonts w:ascii="Times New Roman" w:cs="Times New Roman" w:eastAsia="Times New Roman" w:hAnsi="Times New Roman"/>
          <w:sz w:val="18"/>
          <w:szCs w:val="18"/>
          <w:color w:val="auto"/>
        </w:rPr>
      </w:pPr>
    </w:p>
    <w:p>
      <w:pPr>
        <w:jc w:val="both"/>
        <w:ind w:left="-8" w:right="20" w:firstLine="517"/>
        <w:spacing w:after="0" w:line="261" w:lineRule="auto"/>
        <w:tabs>
          <w:tab w:leader="none" w:pos="7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stock appreciation rights (“SARs”)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179" w:lineRule="exact"/>
        <w:rPr>
          <w:rFonts w:ascii="Times New Roman" w:cs="Times New Roman" w:eastAsia="Times New Roman" w:hAnsi="Times New Roman"/>
          <w:sz w:val="18"/>
          <w:szCs w:val="18"/>
          <w:color w:val="auto"/>
        </w:rPr>
      </w:pPr>
    </w:p>
    <w:p>
      <w:pPr>
        <w:ind w:left="-8" w:right="60" w:firstLine="517"/>
        <w:spacing w:after="0" w:line="261" w:lineRule="auto"/>
        <w:tabs>
          <w:tab w:leader="none" w:pos="7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The Board shall establish the measurement price of each SAR and specify it in the applicable SAR agreement. The measurement price shall not be less than 100% of the Grant Date Fair Market Value of the Common Stock on the date the SAR is granted; provided that if the Board approves the grant of an SAR effective as of a future date, the measurement price shall be not less than 100% of the Grant Date Fair Market Value on such future date.</w:t>
      </w:r>
    </w:p>
    <w:p>
      <w:pPr>
        <w:spacing w:after="0" w:line="179" w:lineRule="exact"/>
        <w:rPr>
          <w:rFonts w:ascii="Times New Roman" w:cs="Times New Roman" w:eastAsia="Times New Roman" w:hAnsi="Times New Roman"/>
          <w:sz w:val="18"/>
          <w:szCs w:val="18"/>
          <w:color w:val="auto"/>
        </w:rPr>
      </w:pPr>
    </w:p>
    <w:p>
      <w:pPr>
        <w:ind w:left="-8" w:right="580" w:firstLine="517"/>
        <w:spacing w:after="0" w:line="282" w:lineRule="auto"/>
        <w:tabs>
          <w:tab w:leader="none" w:pos="7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Each SAR shall be exercisable at such times and subject to such terms and conditions as the Board may specify in the applicable SAR agreement; provided, however, that no SAR will be granted with a term in excess of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855980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23" w:name="page24"/>
    <w:bookmarkEnd w:id="23"/>
    <w:p>
      <w:pPr>
        <w:spacing w:after="0" w:line="194" w:lineRule="exact"/>
        <w:rPr>
          <w:sz w:val="20"/>
          <w:szCs w:val="20"/>
          <w:color w:val="auto"/>
        </w:rPr>
      </w:pPr>
    </w:p>
    <w:p>
      <w:pPr>
        <w:ind w:left="-8" w:right="120" w:firstLine="517"/>
        <w:spacing w:after="0" w:line="282" w:lineRule="auto"/>
        <w:tabs>
          <w:tab w:leader="none" w:pos="75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SARs may be exercised by delivery to the Company of a notice of exercise in a form (which may be electronic) approved by the Company, together with any other documents required by the Board.</w:t>
      </w:r>
    </w:p>
    <w:p>
      <w:pPr>
        <w:spacing w:after="0" w:line="161" w:lineRule="exact"/>
        <w:rPr>
          <w:rFonts w:ascii="Times New Roman" w:cs="Times New Roman" w:eastAsia="Times New Roman" w:hAnsi="Times New Roman"/>
          <w:sz w:val="18"/>
          <w:szCs w:val="18"/>
          <w:color w:val="auto"/>
        </w:rPr>
      </w:pPr>
    </w:p>
    <w:p>
      <w:pPr>
        <w:ind w:left="-8" w:right="100" w:firstLine="517"/>
        <w:spacing w:after="0" w:line="254" w:lineRule="auto"/>
        <w:tabs>
          <w:tab w:leader="none" w:pos="7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191" w:lineRule="exact"/>
        <w:rPr>
          <w:rFonts w:ascii="Times New Roman" w:cs="Times New Roman" w:eastAsia="Times New Roman" w:hAnsi="Times New Roman"/>
          <w:sz w:val="18"/>
          <w:szCs w:val="18"/>
          <w:color w:val="auto"/>
        </w:rPr>
      </w:pPr>
    </w:p>
    <w:p>
      <w:pPr>
        <w:ind w:left="-8" w:right="120" w:firstLine="517"/>
        <w:spacing w:after="0" w:line="282" w:lineRule="auto"/>
        <w:tabs>
          <w:tab w:leader="none" w:pos="7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SARs</w:t>
      </w:r>
      <w:r>
        <w:rPr>
          <w:rFonts w:ascii="Times New Roman" w:cs="Times New Roman" w:eastAsia="Times New Roman" w:hAnsi="Times New Roman"/>
          <w:sz w:val="18"/>
          <w:szCs w:val="18"/>
          <w:color w:val="auto"/>
        </w:rPr>
        <w:t>. No SAR granted under the Plan shall contain any provision entitling the Participant to the automatic grant of additional SARs in connection with any exercise of the original SAR.</w:t>
      </w:r>
    </w:p>
    <w:p>
      <w:pPr>
        <w:spacing w:after="0" w:line="161" w:lineRule="exact"/>
        <w:rPr>
          <w:rFonts w:ascii="Times New Roman" w:cs="Times New Roman" w:eastAsia="Times New Roman" w:hAnsi="Times New Roman"/>
          <w:sz w:val="18"/>
          <w:szCs w:val="18"/>
          <w:color w:val="auto"/>
        </w:rPr>
      </w:pPr>
    </w:p>
    <w:p>
      <w:pPr>
        <w:ind w:left="772" w:hanging="263"/>
        <w:spacing w:after="0"/>
        <w:tabs>
          <w:tab w:leader="none" w:pos="77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the payment or accrual of dividend equivalents.</w:t>
      </w:r>
    </w:p>
    <w:p>
      <w:pPr>
        <w:spacing w:after="0" w:line="33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RSUs</w:t>
      </w:r>
    </w:p>
    <w:p>
      <w:pPr>
        <w:spacing w:after="0" w:line="117" w:lineRule="exact"/>
        <w:rPr>
          <w:rFonts w:ascii="Times New Roman" w:cs="Times New Roman" w:eastAsia="Times New Roman" w:hAnsi="Times New Roman"/>
          <w:sz w:val="18"/>
          <w:szCs w:val="18"/>
          <w:color w:val="auto"/>
        </w:rPr>
      </w:pPr>
    </w:p>
    <w:p>
      <w:pPr>
        <w:ind w:left="-8" w:right="240" w:firstLine="517"/>
        <w:spacing w:after="0" w:line="258" w:lineRule="auto"/>
        <w:tabs>
          <w:tab w:leader="none" w:pos="7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(“RSUs”).</w:t>
      </w:r>
    </w:p>
    <w:p>
      <w:pPr>
        <w:spacing w:after="0" w:line="115" w:lineRule="exact"/>
        <w:rPr>
          <w:rFonts w:ascii="Times New Roman" w:cs="Times New Roman" w:eastAsia="Times New Roman" w:hAnsi="Times New Roman"/>
          <w:sz w:val="18"/>
          <w:szCs w:val="18"/>
          <w:color w:val="auto"/>
        </w:rPr>
      </w:pPr>
    </w:p>
    <w:p>
      <w:pPr>
        <w:ind w:left="-8" w:right="560" w:firstLine="517"/>
        <w:spacing w:after="0" w:line="282" w:lineRule="auto"/>
        <w:tabs>
          <w:tab w:leader="none" w:pos="7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Restricted Stock and RSUs</w:t>
      </w:r>
      <w:r>
        <w:rPr>
          <w:rFonts w:ascii="Times New Roman" w:cs="Times New Roman" w:eastAsia="Times New Roman" w:hAnsi="Times New Roman"/>
          <w:sz w:val="18"/>
          <w:szCs w:val="18"/>
          <w:color w:val="auto"/>
        </w:rPr>
        <w:t>. The Board shall determine the terms and conditions of Restricted Stock and RSUs,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752" w:hanging="243"/>
        <w:spacing w:after="0"/>
        <w:tabs>
          <w:tab w:leader="none" w:pos="75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1154"/>
        <w:spacing w:after="0" w:line="258" w:lineRule="auto"/>
        <w:tabs>
          <w:tab w:leader="none" w:pos="139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Any dividends (whether paid in cash, stock or property) declared and paid by the Company with respect to shares of Restricted Stock (“Unvested Dividends”)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83" w:lineRule="exact"/>
        <w:rPr>
          <w:rFonts w:ascii="Times New Roman" w:cs="Times New Roman" w:eastAsia="Times New Roman" w:hAnsi="Times New Roman"/>
          <w:sz w:val="18"/>
          <w:szCs w:val="18"/>
          <w:color w:val="auto"/>
        </w:rPr>
      </w:pPr>
    </w:p>
    <w:p>
      <w:pPr>
        <w:ind w:left="-8" w:firstLine="1154"/>
        <w:spacing w:after="0" w:line="256" w:lineRule="auto"/>
        <w:tabs>
          <w:tab w:leader="none" w:pos="139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Certificates.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“Designated Beneficiary”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87" w:lineRule="exact"/>
        <w:rPr>
          <w:rFonts w:ascii="Times New Roman" w:cs="Times New Roman" w:eastAsia="Times New Roman" w:hAnsi="Times New Roman"/>
          <w:sz w:val="18"/>
          <w:szCs w:val="18"/>
          <w:color w:val="auto"/>
        </w:rPr>
      </w:pPr>
    </w:p>
    <w:p>
      <w:pPr>
        <w:ind w:left="772" w:hanging="263"/>
        <w:spacing w:after="0"/>
        <w:tabs>
          <w:tab w:leader="none" w:pos="7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RSUs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120" w:firstLine="1154"/>
        <w:spacing w:after="0" w:line="266" w:lineRule="auto"/>
        <w:tabs>
          <w:tab w:leader="none" w:pos="139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864870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4" w:name="page25"/>
    <w:bookmarkEnd w:id="24"/>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(“Section 409A”).</w:t>
      </w:r>
    </w:p>
    <w:p>
      <w:pPr>
        <w:spacing w:after="0" w:line="180" w:lineRule="exact"/>
        <w:rPr>
          <w:sz w:val="20"/>
          <w:szCs w:val="20"/>
          <w:color w:val="auto"/>
        </w:rPr>
      </w:pPr>
    </w:p>
    <w:p>
      <w:pPr>
        <w:ind w:left="1400" w:hanging="246"/>
        <w:spacing w:after="0"/>
        <w:tabs>
          <w:tab w:leader="none" w:pos="14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RSUs.</w:t>
      </w:r>
    </w:p>
    <w:p>
      <w:pPr>
        <w:spacing w:after="0" w:line="225" w:lineRule="exact"/>
        <w:rPr>
          <w:rFonts w:ascii="Times New Roman" w:cs="Times New Roman" w:eastAsia="Times New Roman" w:hAnsi="Times New Roman"/>
          <w:sz w:val="18"/>
          <w:szCs w:val="18"/>
          <w:color w:val="auto"/>
        </w:rPr>
      </w:pPr>
    </w:p>
    <w:p>
      <w:pPr>
        <w:ind w:right="220" w:firstLine="1154"/>
        <w:spacing w:after="0" w:line="258" w:lineRule="auto"/>
        <w:tabs>
          <w:tab w:leader="none" w:pos="14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RSUs may provide Participants with the right to receive an amount equal to any dividends or other distributions declared and paid on an equal number of outstanding shares of Common Stock (“Dividend Equivalents”). Dividend Equivalents will be credited to an account for the Participant, may be settled in cash and/or shares of Common Stock as set forth in the Award agreement and shall be subject to the same restrictions on transfer and forfeitability as the RSUs with respect to which paid. No interest will be paid on Dividend Equivalents.</w:t>
      </w:r>
    </w:p>
    <w:p>
      <w:pPr>
        <w:spacing w:after="0" w:line="2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and Cash-Based Awards</w:t>
      </w:r>
    </w:p>
    <w:p>
      <w:pPr>
        <w:spacing w:after="0" w:line="117" w:lineRule="exact"/>
        <w:rPr>
          <w:rFonts w:ascii="Times New Roman" w:cs="Times New Roman" w:eastAsia="Times New Roman" w:hAnsi="Times New Roman"/>
          <w:sz w:val="18"/>
          <w:szCs w:val="18"/>
          <w:color w:val="auto"/>
        </w:rPr>
      </w:pPr>
    </w:p>
    <w:p>
      <w:pPr>
        <w:ind w:firstLine="517"/>
        <w:spacing w:after="0" w:line="258" w:lineRule="auto"/>
        <w:tabs>
          <w:tab w:leader="none" w:pos="75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other Awards of shares of Common Stock, and other Awards that are valued in whole or in part by reference to, or are otherwise based on, shares of Common Stock or other property (“Other Stock-Based Awards”).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(“Cash-Based Awards”).</w:t>
      </w:r>
    </w:p>
    <w:p>
      <w:pPr>
        <w:spacing w:after="0" w:line="115" w:lineRule="exact"/>
        <w:rPr>
          <w:rFonts w:ascii="Times New Roman" w:cs="Times New Roman" w:eastAsia="Times New Roman" w:hAnsi="Times New Roman"/>
          <w:sz w:val="18"/>
          <w:szCs w:val="18"/>
          <w:color w:val="auto"/>
        </w:rPr>
      </w:pPr>
    </w:p>
    <w:p>
      <w:pPr>
        <w:ind w:right="440" w:firstLine="517"/>
        <w:spacing w:after="0" w:line="282" w:lineRule="auto"/>
        <w:tabs>
          <w:tab w:leader="none" w:pos="7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the Plan, the Board shall determine the terms and conditions of each Other Stock-Based Award or Cash-Based Award, including any purchase price applicable thereto.</w:t>
      </w:r>
    </w:p>
    <w:p>
      <w:pPr>
        <w:spacing w:after="0" w:line="161" w:lineRule="exact"/>
        <w:rPr>
          <w:rFonts w:ascii="Times New Roman" w:cs="Times New Roman" w:eastAsia="Times New Roman" w:hAnsi="Times New Roman"/>
          <w:sz w:val="18"/>
          <w:szCs w:val="18"/>
          <w:color w:val="auto"/>
        </w:rPr>
      </w:pPr>
    </w:p>
    <w:p>
      <w:pPr>
        <w:ind w:right="40" w:firstLine="517"/>
        <w:spacing w:after="0" w:line="261" w:lineRule="auto"/>
        <w:tabs>
          <w:tab w:leader="none" w:pos="75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an Other Stock-Based Award may provide Participants with the right to receive Dividend Equivalents. Dividend Equivalents will be credited to an account for the Participant, may be settled in cash and/or shares of Common Stock as set forth in the Award agreement and shall be subject to the same restrictions on transfer and forfeitability as the Other Stock-Based Award with respect to which paid. No interest will be paid on Dividend Equivalents.</w:t>
      </w:r>
    </w:p>
    <w:p>
      <w:pPr>
        <w:spacing w:after="0" w:line="2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Awards under the Plan may be made subject to the achievement of performance goals pursuant to this Section 9 (“Performance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w:t>
      </w:r>
    </w:p>
    <w:p>
      <w:pPr>
        <w:spacing w:after="0" w:line="206" w:lineRule="exact"/>
        <w:rPr>
          <w:rFonts w:ascii="Times New Roman" w:cs="Times New Roman" w:eastAsia="Times New Roman" w:hAnsi="Times New Roman"/>
          <w:sz w:val="18"/>
          <w:szCs w:val="18"/>
          <w:color w:val="auto"/>
        </w:rPr>
      </w:pPr>
    </w:p>
    <w:p>
      <w:pPr>
        <w:ind w:right="40" w:firstLine="517"/>
        <w:spacing w:after="0" w:line="269" w:lineRule="auto"/>
        <w:tabs>
          <w:tab w:leader="none" w:pos="76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Measures</w:t>
      </w:r>
      <w:r>
        <w:rPr>
          <w:rFonts w:ascii="Times New Roman" w:cs="Times New Roman" w:eastAsia="Times New Roman" w:hAnsi="Times New Roman"/>
          <w:sz w:val="17"/>
          <w:szCs w:val="17"/>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(“GAAP”) or on a non-GAAP basis, as determined by the Board: (1) enterprise value or value creation targets; (2) income or net income; operating income; net operating income or net operating income after tax; operating profit or net operating profit; (3) cash flow, including but not limited to, from operations or free cash flow; (4) specified objectives with regard to limiting the level of increase in all or a portion of bank debt or other long-term or short-term public or private debt or other similar financial obligations, or other capital structure improvements, which may be calculated net of cash balances or other offsets and adjustments as may be established by the Board; (5) net sales, revenues, net income, or earnings before income tax or other exclusions; (6) operating margin, return on operating revenue, or return on operating profit; (7) return measures (after tax or pre-tax), including return on capital employed, return on invested capital, return on equity, return on assets, return on net assets; (8) market capitalization, earnings per share, fair market value of the shares of the Company, franchise value (net of debt), economic value added; (9) total stockholder return or growth in total stockholder return (with or without dividend reinvestment); (10) financing and other capital raising transactions; (11) proprietary investment results; (12) estimated market share; (13) expansion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sales in additional geographies or markets; (14) expense management/control or reduction (including, without limitation, compensation and benefits expense; (15) customer satisfaction; (16) technological improvements/implementation, new product innovation; (17) collections and recoveries; (18) property or asset purchases; (19) litigation and regulatory resolution/implementation goals; (20) leases, contracts, or financings (including renewals, overhead, savings, G&amp;A, and other expense control goals); (21) risk management/implementation; (22) development and implementation of strategic plans or organizational restructuring goals; (23) development and implementation of risk and crisis management programs; compliance requirements and compliance relief; productivity goals; workforce management and succession planning goals; (24) employee satisfaction or staff development; (25) formations of joint ventures or partnerships or the completion of other similar transactions intended to enhance revenue or profitability or to enhance its customer base; (26) licensing or partnership arrangements; (27) progress of partnered programs and partner satisfaction; (28) progress of internal research or development programs; (29) submission of a new drug application (“NDA”) or the approval of the NDA by the U.S. Food and Drug Administration (“FDA”); (30) submission of an investigational new drug application (“IND”) or the approval of the IND by the FDA; (31) submission of a therapeutic biologics license application (“BLA”) or the approval of the BLA by the FDA; (32) submission to, or approval by, a foreign regulatory body of an applicable filing or a product; (33) strategic partnerships or transactions (including in-licensing and out-licensing of intellectual property; (34) achievement of a launch of a new drug; (35) initiation or completion of a clinical trial phase; (36) implementation or completion of critical projects; (37) achievement of specified milestones in the discovery and development of one or more of the Company’s products; (38) achievement of specified milestones in the commercialization of one or more of the Company’s products; (39) achievement of specified milestones in the manufacturing of one or more of the Company’s products; (40) achievement of specified regulatory milestones relating to one or more of the Company’s products; (41) completion of a merger, acquisition, or any transaction that results in the sale of all or substantially all of the stock or assets; or (42)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(A) special, unusual, non-recurring or extraordinary items, events or circumstances, (B) gains or losses on the dispositions of discontinued businesses or operations, (C) the cumulative effects of changes in accounting principles, (D) the writedown of any asset, (E) fluctuation in foreign currency exchange rates, (F) charges for restructuring and rationalization programs, (G) non-cash, mark-to-market adjustments on derivative instruments, (H) amortization of purchased intangibles, (I) the net impact of tax rate changes, (J) non-cash asset impairment charges, (K) gains on extinguishment of the tax receivable agreement and</w:t>
      </w:r>
    </w:p>
    <w:p>
      <w:pPr>
        <w:spacing w:after="0" w:line="7" w:lineRule="exact"/>
        <w:rPr>
          <w:sz w:val="20"/>
          <w:szCs w:val="20"/>
          <w:color w:val="auto"/>
        </w:rPr>
      </w:pPr>
    </w:p>
    <w:p>
      <w:pPr>
        <w:ind w:firstLine="8"/>
        <w:spacing w:after="0" w:line="252" w:lineRule="auto"/>
        <w:tabs>
          <w:tab w:leader="none" w:pos="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Any dividends or Dividend Equivalents awarded with respect to Performance Awards shall be subject to the same limitations on transfer and forfeitability as the Award with respect to which granted.</w:t>
      </w:r>
    </w:p>
    <w:p>
      <w:pPr>
        <w:spacing w:after="0" w:line="188" w:lineRule="exact"/>
        <w:rPr>
          <w:rFonts w:ascii="Times New Roman" w:cs="Times New Roman" w:eastAsia="Times New Roman" w:hAnsi="Times New Roman"/>
          <w:sz w:val="18"/>
          <w:szCs w:val="18"/>
          <w:color w:val="auto"/>
        </w:rPr>
      </w:pPr>
    </w:p>
    <w:p>
      <w:pPr>
        <w:ind w:right="60" w:firstLine="517"/>
        <w:spacing w:after="0" w:line="266" w:lineRule="auto"/>
        <w:tabs>
          <w:tab w:leader="none" w:pos="75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Board may adjust the cash or number of shares payable pursuant to such Performance Award, and the Board may, at any time, waive the achievement of the applicable performance measures, including in the case of the death or disability of the Participant or a change in control of the Company.</w:t>
      </w:r>
    </w:p>
    <w:p>
      <w:pPr>
        <w:spacing w:after="0" w:line="284"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and Certain Other Events</w:t>
      </w:r>
    </w:p>
    <w:p>
      <w:pPr>
        <w:spacing w:after="0" w:line="117" w:lineRule="exact"/>
        <w:rPr>
          <w:rFonts w:ascii="Times New Roman" w:cs="Times New Roman" w:eastAsia="Times New Roman" w:hAnsi="Times New Roman"/>
          <w:sz w:val="18"/>
          <w:szCs w:val="18"/>
          <w:color w:val="auto"/>
        </w:rPr>
      </w:pPr>
    </w:p>
    <w:p>
      <w:pPr>
        <w:ind w:right="20" w:firstLine="517"/>
        <w:spacing w:after="0" w:line="256" w:lineRule="auto"/>
        <w:tabs>
          <w:tab w:leader="none" w:pos="75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9" w:lineRule="exact"/>
        <w:rPr>
          <w:sz w:val="20"/>
          <w:szCs w:val="20"/>
          <w:color w:val="auto"/>
        </w:rPr>
      </w:pPr>
    </w:p>
    <w:p>
      <w:pPr>
        <w:ind w:left="780" w:hanging="263"/>
        <w:spacing w:after="0"/>
        <w:tabs>
          <w:tab w:leader="none" w:pos="7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154"/>
        <w:spacing w:after="0" w:line="261" w:lineRule="auto"/>
        <w:tabs>
          <w:tab w:leader="none" w:pos="14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canceled,</w:t>
      </w:r>
    </w:p>
    <w:p>
      <w:pPr>
        <w:ind w:right="460" w:firstLine="8"/>
        <w:spacing w:after="0" w:line="260"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or disposition of all of the Common Stock of the Company for cash, securities or other property pursuant to a share exchange or other transaction or (c) any liquidation or dissolution of the Company.</w:t>
      </w:r>
    </w:p>
    <w:p>
      <w:pPr>
        <w:spacing w:after="0" w:line="181" w:lineRule="exact"/>
        <w:rPr>
          <w:rFonts w:ascii="Times New Roman" w:cs="Times New Roman" w:eastAsia="Times New Roman" w:hAnsi="Times New Roman"/>
          <w:sz w:val="18"/>
          <w:szCs w:val="18"/>
          <w:color w:val="auto"/>
        </w:rPr>
      </w:pPr>
    </w:p>
    <w:p>
      <w:pPr>
        <w:ind w:left="1400" w:hanging="246"/>
        <w:spacing w:after="0"/>
        <w:tabs>
          <w:tab w:leader="none" w:pos="14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of a Reorganization Event on Awards Other than Restricted Stock.</w:t>
      </w:r>
    </w:p>
    <w:p>
      <w:pPr>
        <w:spacing w:after="0" w:line="225" w:lineRule="exact"/>
        <w:rPr>
          <w:rFonts w:ascii="Times New Roman" w:cs="Times New Roman" w:eastAsia="Times New Roman" w:hAnsi="Times New Roman"/>
          <w:sz w:val="18"/>
          <w:szCs w:val="18"/>
          <w:color w:val="auto"/>
        </w:rPr>
      </w:pPr>
    </w:p>
    <w:p>
      <w:pPr>
        <w:ind w:right="60" w:firstLine="1663"/>
        <w:spacing w:after="0" w:line="252" w:lineRule="auto"/>
        <w:tabs>
          <w:tab w:leader="none" w:pos="1950"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 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10(b)(2)(A), the Board shall not be obligated by the Plan to treat all Awards, all Awards held by a Participant, or all Awards of the same type, identically.</w:t>
      </w:r>
    </w:p>
    <w:p>
      <w:pPr>
        <w:spacing w:after="0" w:line="193" w:lineRule="exact"/>
        <w:rPr>
          <w:rFonts w:ascii="Times New Roman" w:cs="Times New Roman" w:eastAsia="Times New Roman" w:hAnsi="Times New Roman"/>
          <w:sz w:val="18"/>
          <w:szCs w:val="18"/>
          <w:color w:val="auto"/>
        </w:rPr>
      </w:pPr>
    </w:p>
    <w:p>
      <w:pPr>
        <w:ind w:right="120" w:firstLine="1663"/>
        <w:spacing w:after="0" w:line="276" w:lineRule="auto"/>
        <w:tabs>
          <w:tab w:leader="none" w:pos="1940" w:val="left"/>
        </w:tabs>
        <w:numPr>
          <w:ilvl w:val="3"/>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terms of Section 10(b)(2)(A)(i), in the case of outstanding RSUs that are subject to Section 409A: (i) if the applicable RSU agreement provides that the RSUs shall be settled upon a “change in control event” within the meaning of Treasury Regulation Section</w:t>
      </w:r>
    </w:p>
    <w:p>
      <w:pPr>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ind w:left="-8" w:firstLine="1663"/>
        <w:spacing w:after="0" w:line="253" w:lineRule="auto"/>
        <w:tabs>
          <w:tab w:leader="none" w:pos="193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191" w:lineRule="exact"/>
        <w:rPr>
          <w:rFonts w:ascii="Times New Roman" w:cs="Times New Roman" w:eastAsia="Times New Roman" w:hAnsi="Times New Roman"/>
          <w:sz w:val="18"/>
          <w:szCs w:val="18"/>
          <w:color w:val="auto"/>
        </w:rPr>
      </w:pPr>
    </w:p>
    <w:p>
      <w:pPr>
        <w:ind w:left="-8" w:right="20" w:firstLine="517"/>
        <w:spacing w:after="0" w:line="254" w:lineRule="auto"/>
        <w:tabs>
          <w:tab w:leader="none" w:pos="75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Restricted Stock</w:t>
      </w:r>
      <w:r>
        <w:rPr>
          <w:rFonts w:ascii="Times New Roman" w:cs="Times New Roman" w:eastAsia="Times New Roman" w:hAnsi="Times New Roman"/>
          <w:sz w:val="18"/>
          <w:szCs w:val="18"/>
          <w:color w:val="auto"/>
        </w:rPr>
        <w:t>.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provided, however,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296"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117" w:lineRule="exact"/>
        <w:rPr>
          <w:sz w:val="20"/>
          <w:szCs w:val="20"/>
          <w:color w:val="auto"/>
        </w:rPr>
      </w:pPr>
    </w:p>
    <w:p>
      <w:pPr>
        <w:ind w:left="-8" w:right="60" w:firstLine="517"/>
        <w:spacing w:after="0" w:line="253" w:lineRule="auto"/>
        <w:tabs>
          <w:tab w:leader="none" w:pos="7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provided further,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91" w:lineRule="exact"/>
        <w:rPr>
          <w:rFonts w:ascii="Times New Roman" w:cs="Times New Roman" w:eastAsia="Times New Roman" w:hAnsi="Times New Roman"/>
          <w:sz w:val="18"/>
          <w:szCs w:val="18"/>
          <w:color w:val="auto"/>
        </w:rPr>
      </w:pPr>
    </w:p>
    <w:p>
      <w:pPr>
        <w:ind w:left="-8" w:right="180" w:firstLine="517"/>
        <w:spacing w:after="0" w:line="282" w:lineRule="auto"/>
        <w:tabs>
          <w:tab w:leader="none" w:pos="7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those set forth in the Plan.</w:t>
      </w:r>
    </w:p>
    <w:p>
      <w:pPr>
        <w:spacing w:after="0" w:line="161" w:lineRule="exact"/>
        <w:rPr>
          <w:rFonts w:ascii="Times New Roman" w:cs="Times New Roman" w:eastAsia="Times New Roman" w:hAnsi="Times New Roman"/>
          <w:sz w:val="18"/>
          <w:szCs w:val="18"/>
          <w:color w:val="auto"/>
        </w:rPr>
      </w:pPr>
    </w:p>
    <w:p>
      <w:pPr>
        <w:ind w:left="-8" w:right="20" w:firstLine="517"/>
        <w:spacing w:after="0" w:line="261" w:lineRule="auto"/>
        <w:tabs>
          <w:tab w:leader="none" w:pos="7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867410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8" w:name="page29"/>
    <w:bookmarkEnd w:id="28"/>
    <w:p>
      <w:pPr>
        <w:spacing w:after="0" w:line="194" w:lineRule="exact"/>
        <w:rPr>
          <w:sz w:val="20"/>
          <w:szCs w:val="20"/>
          <w:color w:val="auto"/>
        </w:rPr>
      </w:pPr>
    </w:p>
    <w:p>
      <w:pPr>
        <w:ind w:left="-8" w:firstLine="517"/>
        <w:spacing w:after="0" w:line="252" w:lineRule="auto"/>
        <w:tabs>
          <w:tab w:leader="none" w:pos="7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93" w:lineRule="exact"/>
        <w:rPr>
          <w:rFonts w:ascii="Times New Roman" w:cs="Times New Roman" w:eastAsia="Times New Roman" w:hAnsi="Times New Roman"/>
          <w:sz w:val="18"/>
          <w:szCs w:val="18"/>
          <w:color w:val="auto"/>
        </w:rPr>
      </w:pPr>
    </w:p>
    <w:p>
      <w:pPr>
        <w:ind w:left="-8" w:right="120" w:firstLine="517"/>
        <w:spacing w:after="0" w:line="258" w:lineRule="auto"/>
        <w:tabs>
          <w:tab w:leader="none" w:pos="7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otherwise provided in Sections 5(g) and 6(e) related to repricings,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183" w:lineRule="exact"/>
        <w:rPr>
          <w:rFonts w:ascii="Times New Roman" w:cs="Times New Roman" w:eastAsia="Times New Roman" w:hAnsi="Times New Roman"/>
          <w:sz w:val="18"/>
          <w:szCs w:val="18"/>
          <w:color w:val="auto"/>
        </w:rPr>
      </w:pPr>
    </w:p>
    <w:p>
      <w:pPr>
        <w:ind w:left="-8" w:right="180" w:firstLine="517"/>
        <w:spacing w:after="0" w:line="256" w:lineRule="auto"/>
        <w:tabs>
          <w:tab w:leader="none" w:pos="72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auto"/>
        </w:rPr>
      </w:pPr>
    </w:p>
    <w:p>
      <w:pPr>
        <w:ind w:left="-8" w:right="200" w:firstLine="517"/>
        <w:spacing w:after="0" w:line="282" w:lineRule="auto"/>
        <w:tabs>
          <w:tab w:leader="none" w:pos="7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269"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rFonts w:ascii="Times New Roman" w:cs="Times New Roman" w:eastAsia="Times New Roman" w:hAnsi="Times New Roman"/>
          <w:sz w:val="18"/>
          <w:szCs w:val="18"/>
          <w:color w:val="auto"/>
        </w:rPr>
      </w:pPr>
    </w:p>
    <w:p>
      <w:pPr>
        <w:ind w:left="-8" w:right="100" w:firstLine="517"/>
        <w:spacing w:after="0" w:line="261" w:lineRule="auto"/>
        <w:tabs>
          <w:tab w:leader="none" w:pos="7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867410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9" w:name="page30"/>
    <w:bookmarkEnd w:id="29"/>
    <w:p>
      <w:pPr>
        <w:spacing w:after="0" w:line="194" w:lineRule="exact"/>
        <w:rPr>
          <w:sz w:val="20"/>
          <w:szCs w:val="20"/>
          <w:color w:val="auto"/>
        </w:rPr>
      </w:pPr>
    </w:p>
    <w:p>
      <w:pPr>
        <w:ind w:left="-517" w:firstLine="517"/>
        <w:spacing w:after="0" w:line="266" w:lineRule="auto"/>
        <w:tabs>
          <w:tab w:leader="none" w:pos="2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Clawback</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175" w:lineRule="exact"/>
        <w:rPr>
          <w:rFonts w:ascii="Times New Roman" w:cs="Times New Roman" w:eastAsia="Times New Roman" w:hAnsi="Times New Roman"/>
          <w:sz w:val="18"/>
          <w:szCs w:val="18"/>
          <w:color w:val="auto"/>
        </w:rPr>
      </w:pPr>
    </w:p>
    <w:p>
      <w:pPr>
        <w:ind w:left="-517" w:right="160" w:firstLine="517"/>
        <w:spacing w:after="0" w:line="261" w:lineRule="auto"/>
        <w:tabs>
          <w:tab w:leader="none" w:pos="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Original Plan became effective on June 16, 2020, with the amendment to the Original Plan becoming effective on June 16, 2021. The Plan, as amended and restated, will become effective upon approval by the Company’s stockholders of the Amended and Restated 2020 Equity Incentive Plan (the “Effective Date”). No Awards shall be granted under the Plan after the expiration of 10 years from the Effective Date, but Awards previously granted may extend beyond that date.</w:t>
      </w:r>
    </w:p>
    <w:p>
      <w:pPr>
        <w:spacing w:after="0" w:line="179" w:lineRule="exact"/>
        <w:rPr>
          <w:rFonts w:ascii="Times New Roman" w:cs="Times New Roman" w:eastAsia="Times New Roman" w:hAnsi="Times New Roman"/>
          <w:sz w:val="18"/>
          <w:szCs w:val="18"/>
          <w:color w:val="auto"/>
        </w:rPr>
      </w:pPr>
    </w:p>
    <w:p>
      <w:pPr>
        <w:ind w:left="-517" w:firstLine="517"/>
        <w:spacing w:after="0" w:line="252" w:lineRule="auto"/>
        <w:tabs>
          <w:tab w:leader="none" w:pos="2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provided that (i) neither Section 5(g) nor 6(e) requiring stockholder approval of any option or SAR repricing may be amended without stockholder approval; (ii) 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94" w:lineRule="exact"/>
        <w:rPr>
          <w:rFonts w:ascii="Times New Roman" w:cs="Times New Roman" w:eastAsia="Times New Roman" w:hAnsi="Times New Roman"/>
          <w:sz w:val="18"/>
          <w:szCs w:val="18"/>
          <w:color w:val="auto"/>
        </w:rPr>
      </w:pPr>
    </w:p>
    <w:p>
      <w:pPr>
        <w:ind w:left="-517" w:right="140" w:firstLine="517"/>
        <w:spacing w:after="0" w:line="256" w:lineRule="auto"/>
        <w:tabs>
          <w:tab w:leader="none" w:pos="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Grants to non-U.S. Employees)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7" w:lineRule="exact"/>
        <w:rPr>
          <w:rFonts w:ascii="Times New Roman" w:cs="Times New Roman" w:eastAsia="Times New Roman" w:hAnsi="Times New Roman"/>
          <w:sz w:val="18"/>
          <w:szCs w:val="18"/>
          <w:color w:val="auto"/>
        </w:rPr>
      </w:pPr>
    </w:p>
    <w:p>
      <w:pPr>
        <w:ind w:left="-517" w:firstLine="517"/>
        <w:spacing w:after="0" w:line="254" w:lineRule="auto"/>
        <w:tabs>
          <w:tab w:leader="none" w:pos="2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“New Payment Date”),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875030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30" w:name="page31"/>
    <w:bookmarkEnd w:id="30"/>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76" w:lineRule="exact"/>
        <w:rPr>
          <w:sz w:val="20"/>
          <w:szCs w:val="20"/>
          <w:color w:val="auto"/>
        </w:rPr>
      </w:pPr>
    </w:p>
    <w:p>
      <w:pPr>
        <w:ind w:right="40" w:firstLine="517"/>
        <w:spacing w:after="0" w:line="255" w:lineRule="auto"/>
        <w:tabs>
          <w:tab w:leader="none" w:pos="7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8" w:lineRule="exact"/>
        <w:rPr>
          <w:rFonts w:ascii="Times New Roman" w:cs="Times New Roman" w:eastAsia="Times New Roman" w:hAnsi="Times New Roman"/>
          <w:sz w:val="18"/>
          <w:szCs w:val="18"/>
          <w:color w:val="auto"/>
        </w:rPr>
      </w:pPr>
    </w:p>
    <w:p>
      <w:pPr>
        <w:jc w:val="both"/>
        <w:ind w:firstLine="517"/>
        <w:spacing w:after="0" w:line="266" w:lineRule="auto"/>
        <w:tabs>
          <w:tab w:leader="none" w:pos="7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31" w:name="page32"/>
    <w:bookmarkEnd w:id="31"/>
    <w:p>
      <w:pPr>
        <w:jc w:val="center"/>
        <w:ind w:right="-103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2020 EQUITY INCENTIVE PLAN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Amended and Restated 2020 Equity Incentive Plan (the “Plan”) of Solid Biosciences Inc. is hereby amended as follows:</w:t>
      </w:r>
    </w:p>
    <w:p>
      <w:pPr>
        <w:spacing w:after="0" w:line="117" w:lineRule="exact"/>
        <w:rPr>
          <w:sz w:val="20"/>
          <w:szCs w:val="20"/>
          <w:color w:val="auto"/>
        </w:rPr>
      </w:pPr>
    </w:p>
    <w:p>
      <w:pPr>
        <w:ind w:left="1160" w:hanging="643"/>
        <w:spacing w:after="0" w:line="445" w:lineRule="auto"/>
        <w:tabs>
          <w:tab w:leader="none" w:pos="70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4(a)(1)(A) of the Plan is hereby deleted and a new Section 4(a)(1)(A) is inserted in lieu thereof which shall read as follows: “(A) 3,533,333 shares of Common Stock, before giving effect to the annual increase pursuant to Section 4(a)(1)(C); plus”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above, the remainder of the Plan remains in full force and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on March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Stockholders on June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1413" w:right="1419" w:bottom="1440" w:gutter="0" w:footer="0" w:header="0"/>
        </w:sectPr>
      </w:pPr>
    </w:p>
    <w:bookmarkStart w:id="32" w:name="page33"/>
    <w:bookmarkEnd w:id="32"/>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2020 EQUITY INCENTIVE PLAN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Amended and Restated 2020 Equity Incentive Plan (the “Plan”) of Solid Biosciences Inc. is hereby amended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Section 4(a)(1) of the Plan is hereby deleted and a new Section 4(a)(1) is inserted in lieu thereof which shall read as follows:</w:t>
      </w:r>
    </w:p>
    <w:p>
      <w:pPr>
        <w:spacing w:after="0" w:line="117" w:lineRule="exact"/>
        <w:rPr>
          <w:sz w:val="20"/>
          <w:szCs w:val="20"/>
          <w:color w:val="auto"/>
        </w:rPr>
      </w:pPr>
    </w:p>
    <w:p>
      <w:pPr>
        <w:ind w:right="360" w:firstLine="1146"/>
        <w:spacing w:after="0" w:line="282" w:lineRule="auto"/>
        <w:rPr>
          <w:sz w:val="20"/>
          <w:szCs w:val="20"/>
          <w:color w:val="auto"/>
        </w:rPr>
      </w:pPr>
      <w:r>
        <w:rPr>
          <w:rFonts w:ascii="Times New Roman" w:cs="Times New Roman" w:eastAsia="Times New Roman" w:hAnsi="Times New Roman"/>
          <w:sz w:val="18"/>
          <w:szCs w:val="18"/>
          <w:color w:val="auto"/>
        </w:rPr>
        <w:t>“(1) Authorized Number of Shares. Subject to adjustment under Section 10, Awards may be made under the Plan for up to a number of shares of common stock, $0.001 par value per share, of the Company (the “Common Stock”), as is equal to the sum of:</w:t>
      </w:r>
    </w:p>
    <w:p>
      <w:pPr>
        <w:spacing w:after="0" w:line="54" w:lineRule="exact"/>
        <w:rPr>
          <w:sz w:val="20"/>
          <w:szCs w:val="20"/>
          <w:color w:val="auto"/>
        </w:rPr>
      </w:pPr>
    </w:p>
    <w:p>
      <w:pPr>
        <w:ind w:left="2020" w:hanging="357"/>
        <w:spacing w:after="0"/>
        <w:tabs>
          <w:tab w:leader="none" w:pos="2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12,533,333 shares of Common Stock, before giving effect to the annual increase pursuant to Section 4(a)(1)(C); plus</w:t>
      </w:r>
    </w:p>
    <w:p>
      <w:pPr>
        <w:spacing w:after="0" w:line="225" w:lineRule="exact"/>
        <w:rPr>
          <w:rFonts w:ascii="Times New Roman" w:cs="Times New Roman" w:eastAsia="Times New Roman" w:hAnsi="Times New Roman"/>
          <w:sz w:val="18"/>
          <w:szCs w:val="18"/>
          <w:color w:val="auto"/>
        </w:rPr>
      </w:pPr>
    </w:p>
    <w:p>
      <w:pPr>
        <w:ind w:firstLine="1663"/>
        <w:spacing w:after="0" w:line="256" w:lineRule="auto"/>
        <w:tabs>
          <w:tab w:leader="none" w:pos="20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number of shares of Common Stock (up to 325,268 shares) as is equal to the sum of (i) the number of shares of Common Stock reserved for issuance under the Company’s 2018 Omnibus Incentive Plan (the “Existing Plan”) that remained available for grant under the Existing Plan as of immediately prior to the date the Original Plan was approved by the Company’s stockholders and (ii) the number of shares of Common Stock subject to awards granted under the Existing Plan which awards expire, terminate or are otherwise surrendered, cancelled, forfeited or repurchased by the Company at their original issuance price pursuant to a contractual repurchase right (subject, however, in the case of Incentive Stock Options to any limitations under the Code); plus</w:t>
      </w:r>
    </w:p>
    <w:p>
      <w:pPr>
        <w:spacing w:after="0" w:line="187" w:lineRule="exact"/>
        <w:rPr>
          <w:rFonts w:ascii="Times New Roman" w:cs="Times New Roman" w:eastAsia="Times New Roman" w:hAnsi="Times New Roman"/>
          <w:sz w:val="18"/>
          <w:szCs w:val="18"/>
          <w:color w:val="auto"/>
        </w:rPr>
      </w:pPr>
    </w:p>
    <w:p>
      <w:pPr>
        <w:ind w:right="40" w:firstLine="1663"/>
        <w:spacing w:after="0" w:line="256" w:lineRule="auto"/>
        <w:tabs>
          <w:tab w:leader="none" w:pos="20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annual increase to be added on the first day of each fiscal year, beginning with the fiscal year ending December 31, 2023 and continuing for each fiscal year until, and including, the fiscal year ending December 31, 2025, equal to the lesser of (I) 5% of the outstanding shares on such date and (II) an amount determined by the Board and (ii) an annual increase to be added on the first day of each fiscal year, beginning with the fiscal year ending December 31, 2026 and continuing for each fiscal year until, and including, the fiscal year ending December 31, 2032, equal to the lesser of (I) 6% of the sum of (a) the number of outstanding shares on such date and (b) the number of shares of our Common Stock subject to pre-funded warrants on such date and (II) an amount determined by the Board.</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Subject to adjustment under Section 10, up to 1,858,601 of the shares of Common Stock available for issuance may be granted as Incentive Stock Options (as defined in Section 5(b)) under the Plan. Shares of Common Stock issued under the Plan may consist in whole or in part of authorized but unissued shares or treasury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above, the remainder of the Plan remains in full force and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on April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Stockholders on June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1—Newly Registered Securities</w:t>
      </w:r>
    </w:p>
    <w:p>
      <w:pPr>
        <w:spacing w:after="0" w:line="157" w:lineRule="exact"/>
        <w:rPr>
          <w:sz w:val="20"/>
          <w:szCs w:val="20"/>
          <w:color w:val="auto"/>
        </w:rPr>
      </w:pPr>
    </w:p>
    <w:tbl>
      <w:tblPr>
        <w:tblLayout w:type="fixed"/>
        <w:tblInd w:w="1150" w:type="dxa"/>
        <w:tblCellMar>
          <w:top w:w="0" w:type="dxa"/>
          <w:left w:w="0" w:type="dxa"/>
          <w:bottom w:w="0" w:type="dxa"/>
          <w:right w:w="0" w:type="dxa"/>
        </w:tblCellMar>
      </w:tblPr>
      <w:tr>
        <w:trPr>
          <w:trHeight w:val="143"/>
        </w:trPr>
        <w:tc>
          <w:tcPr>
            <w:tcW w:w="1400" w:type="dxa"/>
            <w:vAlign w:val="bottom"/>
            <w:tcBorders>
              <w:top w:val="single" w:sz="8" w:color="auto"/>
              <w:left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Proposed</w:t>
            </w:r>
          </w:p>
        </w:tc>
        <w:tc>
          <w:tcPr>
            <w:tcW w:w="12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Fee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8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2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1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vMerge w:val="restart"/>
          </w:tcPr>
          <w:p>
            <w:pPr>
              <w:jc w:val="center"/>
              <w:ind w:left="76"/>
              <w:spacing w:after="0"/>
              <w:rPr>
                <w:sz w:val="20"/>
                <w:szCs w:val="20"/>
                <w:color w:val="auto"/>
              </w:rPr>
            </w:pPr>
            <w:r>
              <w:rPr>
                <w:rFonts w:ascii="Times New Roman" w:cs="Times New Roman" w:eastAsia="Times New Roman" w:hAnsi="Times New Roman"/>
                <w:sz w:val="14"/>
                <w:szCs w:val="14"/>
                <w:color w:val="auto"/>
              </w:rPr>
              <w:t>Security Type</w:t>
            </w:r>
          </w:p>
        </w:tc>
        <w:tc>
          <w:tcPr>
            <w:tcW w:w="13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Registered</w:t>
            </w: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2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88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0" w:type="dxa"/>
            <w:vAlign w:val="bottom"/>
          </w:tcPr>
          <w:p>
            <w:pPr>
              <w:spacing w:after="0"/>
              <w:rPr>
                <w:sz w:val="1"/>
                <w:szCs w:val="1"/>
                <w:color w:val="auto"/>
              </w:rPr>
            </w:pPr>
          </w:p>
        </w:tc>
      </w:tr>
      <w:tr>
        <w:trPr>
          <w:trHeight w:val="201"/>
        </w:trPr>
        <w:tc>
          <w:tcPr>
            <w:tcW w:w="14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Title</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Rule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tcPr>
          <w:p>
            <w:pPr>
              <w:jc w:val="center"/>
              <w:ind w:left="76"/>
              <w:spacing w:after="0" w:line="103" w:lineRule="exact"/>
              <w:rPr>
                <w:sz w:val="20"/>
                <w:szCs w:val="20"/>
                <w:color w:val="auto"/>
              </w:rPr>
            </w:pPr>
            <w:r>
              <w:rPr>
                <w:rFonts w:ascii="Times New Roman" w:cs="Times New Roman" w:eastAsia="Times New Roman" w:hAnsi="Times New Roman"/>
                <w:sz w:val="11"/>
                <w:szCs w:val="11"/>
                <w:color w:val="auto"/>
              </w:rPr>
              <w:t>Equity</w:t>
            </w:r>
          </w:p>
        </w:tc>
        <w:tc>
          <w:tcPr>
            <w:tcW w:w="1380" w:type="dxa"/>
            <w:vAlign w:val="bottom"/>
            <w:tcBorders>
              <w:right w:val="single" w:sz="8" w:color="auto"/>
            </w:tcBorders>
          </w:tcPr>
          <w:p>
            <w:pPr>
              <w:jc w:val="center"/>
              <w:ind w:right="10"/>
              <w:spacing w:after="0" w:line="103" w:lineRule="exact"/>
              <w:rPr>
                <w:sz w:val="20"/>
                <w:szCs w:val="20"/>
                <w:color w:val="auto"/>
              </w:rPr>
            </w:pPr>
            <w:r>
              <w:rPr>
                <w:rFonts w:ascii="Times New Roman" w:cs="Times New Roman" w:eastAsia="Times New Roman" w:hAnsi="Times New Roman"/>
                <w:sz w:val="11"/>
                <w:szCs w:val="11"/>
                <w:color w:val="auto"/>
              </w:rPr>
              <w:t>Common Stock,</w:t>
            </w:r>
          </w:p>
        </w:tc>
        <w:tc>
          <w:tcPr>
            <w:tcW w:w="8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9,000,000 shares</w:t>
            </w:r>
          </w:p>
        </w:tc>
        <w:tc>
          <w:tcPr>
            <w:tcW w:w="1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jc w:val="right"/>
              <w:ind w:right="151"/>
              <w:spacing w:after="0" w:line="103" w:lineRule="exact"/>
              <w:rPr>
                <w:sz w:val="20"/>
                <w:szCs w:val="20"/>
                <w:color w:val="auto"/>
              </w:rPr>
            </w:pPr>
            <w:r>
              <w:rPr>
                <w:rFonts w:ascii="Times New Roman" w:cs="Times New Roman" w:eastAsia="Times New Roman" w:hAnsi="Times New Roman"/>
                <w:sz w:val="11"/>
                <w:szCs w:val="11"/>
                <w:color w:val="auto"/>
              </w:rPr>
              <w:t>$153.10</w:t>
            </w:r>
          </w:p>
        </w:tc>
        <w:tc>
          <w:tcPr>
            <w:tcW w:w="1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$0.001 par value per</w:t>
            </w:r>
          </w:p>
        </w:tc>
        <w:tc>
          <w:tcPr>
            <w:tcW w:w="80" w:type="dxa"/>
            <w:vAlign w:val="bottom"/>
          </w:tcPr>
          <w:p>
            <w:pPr>
              <w:spacing w:after="0"/>
              <w:rPr>
                <w:sz w:val="12"/>
                <w:szCs w:val="12"/>
                <w:color w:val="auto"/>
              </w:rPr>
            </w:pPr>
          </w:p>
        </w:tc>
        <w:tc>
          <w:tcPr>
            <w:tcW w:w="90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$4.58 (3)</w:t>
            </w:r>
          </w:p>
        </w:tc>
        <w:tc>
          <w:tcPr>
            <w:tcW w:w="12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$41,220,000.00 (3)</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$6,310.79</w:t>
            </w:r>
          </w:p>
        </w:tc>
        <w:tc>
          <w:tcPr>
            <w:tcW w:w="0" w:type="dxa"/>
            <w:vAlign w:val="bottom"/>
          </w:tcPr>
          <w:p>
            <w:pPr>
              <w:spacing w:after="0"/>
              <w:rPr>
                <w:sz w:val="1"/>
                <w:szCs w:val="1"/>
                <w:color w:val="auto"/>
              </w:rPr>
            </w:pPr>
          </w:p>
        </w:tc>
      </w:tr>
      <w:tr>
        <w:trPr>
          <w:trHeight w:val="185"/>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100" w:type="dxa"/>
            <w:vAlign w:val="bottom"/>
            <w:tcBorders>
              <w:bottom w:val="single" w:sz="8" w:color="auto"/>
              <w:right w:val="single" w:sz="8" w:color="auto"/>
            </w:tcBorders>
            <w:vMerge w:val="continue"/>
          </w:tcPr>
          <w:p>
            <w:pPr>
              <w:spacing w:after="0"/>
              <w:rPr>
                <w:sz w:val="16"/>
                <w:szCs w:val="16"/>
                <w:color w:val="auto"/>
              </w:rPr>
            </w:pPr>
          </w:p>
        </w:tc>
        <w:tc>
          <w:tcPr>
            <w:tcW w:w="1220" w:type="dxa"/>
            <w:vAlign w:val="bottom"/>
            <w:tcBorders>
              <w:bottom w:val="single" w:sz="8" w:color="auto"/>
              <w:right w:val="single" w:sz="8" w:color="auto"/>
            </w:tcBorders>
            <w:vMerge w:val="continue"/>
          </w:tcPr>
          <w:p>
            <w:pPr>
              <w:spacing w:after="0"/>
              <w:rPr>
                <w:sz w:val="16"/>
                <w:szCs w:val="16"/>
                <w:color w:val="auto"/>
              </w:rPr>
            </w:pPr>
          </w:p>
        </w:tc>
        <w:tc>
          <w:tcPr>
            <w:tcW w:w="8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$1,000,000</w:t>
            </w: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center"/>
              <w:ind w:right="208"/>
              <w:spacing w:after="0" w:line="155" w:lineRule="exact"/>
              <w:rPr>
                <w:sz w:val="20"/>
                <w:szCs w:val="20"/>
                <w:color w:val="auto"/>
              </w:rPr>
            </w:pPr>
            <w:r>
              <w:rPr>
                <w:rFonts w:ascii="Times New Roman" w:cs="Times New Roman" w:eastAsia="Times New Roman" w:hAnsi="Times New Roman"/>
                <w:sz w:val="14"/>
                <w:szCs w:val="14"/>
                <w:color w:val="auto"/>
              </w:rPr>
              <w:t>Total Offering Amounts</w:t>
            </w:r>
          </w:p>
        </w:tc>
        <w:tc>
          <w:tcPr>
            <w:tcW w:w="98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$41,220,000.00</w:t>
            </w:r>
          </w:p>
        </w:tc>
        <w:tc>
          <w:tcPr>
            <w:tcW w:w="8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$6,310.79</w:t>
            </w: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center"/>
              <w:ind w:right="208"/>
              <w:spacing w:after="0" w:line="155" w:lineRule="exact"/>
              <w:rPr>
                <w:sz w:val="20"/>
                <w:szCs w:val="20"/>
                <w:color w:val="auto"/>
              </w:rPr>
            </w:pPr>
            <w:r>
              <w:rPr>
                <w:rFonts w:ascii="Times New Roman" w:cs="Times New Roman" w:eastAsia="Times New Roman" w:hAnsi="Times New Roman"/>
                <w:sz w:val="14"/>
                <w:szCs w:val="14"/>
                <w:color w:val="auto"/>
              </w:rPr>
              <w:t>Total Fee Offsets</w:t>
            </w:r>
          </w:p>
        </w:tc>
        <w:tc>
          <w:tcPr>
            <w:tcW w:w="98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left="550"/>
              <w:spacing w:after="0" w:line="155" w:lineRule="exact"/>
              <w:rPr>
                <w:sz w:val="20"/>
                <w:szCs w:val="20"/>
                <w:color w:val="auto"/>
              </w:rPr>
            </w:pPr>
            <w:r>
              <w:rPr>
                <w:rFonts w:ascii="Times New Roman" w:cs="Times New Roman" w:eastAsia="Times New Roman" w:hAnsi="Times New Roman"/>
                <w:sz w:val="14"/>
                <w:szCs w:val="14"/>
                <w:color w:val="auto"/>
              </w:rPr>
              <w:t>Net Fee Due</w:t>
            </w:r>
          </w:p>
        </w:tc>
        <w:tc>
          <w:tcPr>
            <w:tcW w:w="9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$6,310.79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60" w:hanging="372"/>
        <w:spacing w:after="0" w:line="257"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9,000,000 shares added to the Amended and Restated 2020 Equity Incentive Plan, as amended.</w:t>
      </w:r>
    </w:p>
    <w:p>
      <w:pPr>
        <w:spacing w:after="0" w:line="9" w:lineRule="exact"/>
        <w:rPr>
          <w:rFonts w:ascii="Times New Roman" w:cs="Times New Roman" w:eastAsia="Times New Roman" w:hAnsi="Times New Roman"/>
          <w:sz w:val="18"/>
          <w:szCs w:val="18"/>
          <w:color w:val="auto"/>
        </w:rPr>
      </w:pPr>
    </w:p>
    <w:p>
      <w:pPr>
        <w:ind w:left="380" w:right="460" w:hanging="372"/>
        <w:spacing w:after="0" w:line="26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June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lowerLetter"/>
      <w:start w:val="1"/>
    </w:lvl>
  </w:abstractNum>
  <w:abstractNum w:abstractNumId="2">
    <w:nsid w:val="721DA317"/>
    <w:multiLevelType w:val="hybridMultilevel"/>
    <w:lvl w:ilvl="0">
      <w:lvlJc w:val="left"/>
      <w:lvlText w:val="(%1)"/>
      <w:numFmt w:val="lowerLetter"/>
      <w:start w:val="2"/>
    </w:lvl>
  </w:abstractNum>
  <w:abstractNum w:abstractNumId="3">
    <w:nsid w:val="2443A858"/>
    <w:multiLevelType w:val="hybridMultilevel"/>
    <w:lvl w:ilvl="0">
      <w:lvlJc w:val="left"/>
      <w:lvlText w:val="(%1)"/>
      <w:numFmt w:val="lowerRoman"/>
      <w:start w:val="1"/>
    </w:lvl>
  </w:abstractNum>
  <w:abstractNum w:abstractNumId="4">
    <w:nsid w:val="2D1D5AE9"/>
    <w:multiLevelType w:val="hybridMultilevel"/>
    <w:lvl w:ilvl="0">
      <w:lvlJc w:val="left"/>
      <w:lvlText w:val="(%1)"/>
      <w:numFmt w:val="lowerRoman"/>
      <w:start w:val="10"/>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1."/>
      <w:numFmt w:val="decimal"/>
      <w:start w:val="3"/>
    </w:lvl>
    <w:lvl w:ilvl="1">
      <w:lvlJc w:val="left"/>
      <w:lvlText w:val="(%2)"/>
      <w:numFmt w:val="lowerLetter"/>
      <w:start w:val="1"/>
    </w:lvl>
  </w:abstractNum>
  <w:abstractNum w:abstractNumId="11">
    <w:nsid w:val="189A769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12">
    <w:nsid w:val="54E49EB4"/>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3">
    <w:nsid w:val="71F32454"/>
    <w:multiLevelType w:val="hybridMultilevel"/>
    <w:lvl w:ilvl="0">
      <w:lvlJc w:val="left"/>
      <w:lvlText w:val="(%1)"/>
      <w:numFmt w:val="decimal"/>
      <w:start w:val="2"/>
    </w:lvl>
    <w:lvl w:ilvl="1">
      <w:lvlJc w:val="left"/>
      <w:lvlText w:val="(%2)"/>
      <w:numFmt w:val="upperLetter"/>
      <w:start w:val="1"/>
    </w:lvl>
  </w:abstractNum>
  <w:abstractNum w:abstractNumId="14">
    <w:nsid w:val="2CA8861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15">
    <w:nsid w:val="836C40E"/>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16">
    <w:nsid w:val="2901D82"/>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7">
    <w:nsid w:val="3A95F874"/>
    <w:multiLevelType w:val="hybridMultilevel"/>
    <w:lvl w:ilvl="0">
      <w:lvlJc w:val="left"/>
      <w:lvlText w:val="(%1)"/>
      <w:numFmt w:val="lowerLetter"/>
      <w:start w:val="3"/>
    </w:lvl>
    <w:lvl w:ilvl="1">
      <w:lvlJc w:val="left"/>
      <w:lvlText w:val="(%2)"/>
      <w:numFmt w:val="decimal"/>
      <w:start w:val="1"/>
    </w:lvl>
  </w:abstractNum>
  <w:abstractNum w:abstractNumId="18">
    <w:nsid w:val="8138641"/>
    <w:multiLevelType w:val="hybridMultilevel"/>
    <w:lvl w:ilvl="0">
      <w:lvlJc w:val="left"/>
      <w:lvlText w:val="(%1)"/>
      <w:numFmt w:val="lowerLetter"/>
      <w:start w:val="4"/>
    </w:lvl>
    <w:lvl w:ilvl="1">
      <w:lvlJc w:val="left"/>
      <w:lvlText w:val="(%2)"/>
      <w:numFmt w:val="decimal"/>
      <w:start w:val="1"/>
    </w:lvl>
  </w:abstractNum>
  <w:abstractNum w:abstractNumId="19">
    <w:nsid w:val="1E7FF52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0">
    <w:nsid w:val="7C3DBD3D"/>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21">
    <w:nsid w:val="737B8DD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2">
    <w:nsid w:val="6CEAF087"/>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3">
    <w:nsid w:val="22221A70"/>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4">
    <w:nsid w:val="4516DD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5">
    <w:nsid w:val="3006C83E"/>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6">
    <w:nsid w:val="614FD4A1"/>
    <w:multiLevelType w:val="hybridMultilevel"/>
    <w:lvl w:ilvl="0">
      <w:lvlJc w:val="left"/>
      <w:lvlText w:val="(%1)"/>
      <w:numFmt w:val="upperLetter"/>
      <w:start w:val="12"/>
    </w:lvl>
    <w:lvl w:ilvl="1">
      <w:lvlJc w:val="left"/>
      <w:lvlText w:val="(%2)"/>
      <w:numFmt w:val="lowerLetter"/>
      <w:start w:val="3"/>
    </w:lvl>
  </w:abstractNum>
  <w:abstractNum w:abstractNumId="27">
    <w:nsid w:val="419AC241"/>
    <w:multiLevelType w:val="hybridMultilevel"/>
    <w:lvl w:ilvl="0">
      <w:lvlJc w:val="left"/>
      <w:lvlText w:val="%1."/>
      <w:numFmt w:val="decimal"/>
      <w:start w:val="10"/>
    </w:lvl>
    <w:lvl w:ilvl="1">
      <w:lvlJc w:val="left"/>
      <w:lvlText w:val="(%2)"/>
      <w:numFmt w:val="lowerLetter"/>
      <w:start w:val="1"/>
    </w:lvl>
  </w:abstractNum>
  <w:abstractNum w:abstractNumId="28">
    <w:nsid w:val="5577F8E1"/>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29">
    <w:nsid w:val="440BADFC"/>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30">
    <w:nsid w:val="5072367"/>
    <w:multiLevelType w:val="hybridMultilevel"/>
    <w:lvl w:ilvl="0">
      <w:lvlJc w:val="left"/>
      <w:lvlText w:val="%1"/>
      <w:numFmt w:val="decimal"/>
      <w:start w:val="1"/>
    </w:lvl>
    <w:lvl w:ilvl="1">
      <w:lvlJc w:val="left"/>
      <w:lvlText w:val="%2"/>
      <w:numFmt w:val="decimal"/>
      <w:start w:val="1"/>
    </w:lvl>
    <w:lvl w:ilvl="2">
      <w:lvlJc w:val="left"/>
      <w:lvlText w:val="(%3)"/>
      <w:numFmt w:val="upperLetter"/>
      <w:start w:val="3"/>
    </w:lvl>
  </w:abstractNum>
  <w:abstractNum w:abstractNumId="31">
    <w:nsid w:val="3804823E"/>
    <w:multiLevelType w:val="hybridMultilevel"/>
    <w:lvl w:ilvl="0">
      <w:lvlJc w:val="left"/>
      <w:lvlText w:val="%1"/>
      <w:numFmt w:val="decimal"/>
      <w:start w:val="1"/>
    </w:lvl>
    <w:lvl w:ilvl="1">
      <w:lvlJc w:val="left"/>
      <w:lvlText w:val="(%2)"/>
      <w:numFmt w:val="decimal"/>
      <w:start w:val="3"/>
    </w:lvl>
    <w:lvl w:ilvl="2">
      <w:lvlJc w:val="left"/>
      <w:lvlText w:val="%3"/>
      <w:numFmt w:val="upperLetter"/>
      <w:start w:val="1"/>
    </w:lvl>
  </w:abstractNum>
  <w:abstractNum w:abstractNumId="32">
    <w:nsid w:val="77465F01"/>
    <w:multiLevelType w:val="hybridMultilevel"/>
    <w:lvl w:ilvl="0">
      <w:lvlJc w:val="left"/>
      <w:lvlText w:val="%1."/>
      <w:numFmt w:val="decimal"/>
      <w:start w:val="11"/>
    </w:lvl>
    <w:lvl w:ilvl="1">
      <w:lvlJc w:val="left"/>
      <w:lvlText w:val="%2"/>
      <w:numFmt w:val="decimal"/>
      <w:start w:val="1"/>
    </w:lvl>
    <w:lvl w:ilvl="2">
      <w:lvlJc w:val="left"/>
      <w:lvlText w:val="%3"/>
      <w:numFmt w:val="upp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1"/>
    </w:lvl>
    <w:lvl w:ilvl="1">
      <w:lvlJc w:val="left"/>
      <w:lvlText w:val="(%2)"/>
      <w:numFmt w:val="lowerLetter"/>
      <w:start w:val="4"/>
    </w:lvl>
  </w:abstractNum>
  <w:abstractNum w:abstractNumId="35">
    <w:nsid w:val="2463B9EA"/>
    <w:multiLevelType w:val="hybridMultilevel"/>
    <w:lvl w:ilvl="0">
      <w:lvlJc w:val="left"/>
      <w:lvlText w:val="%1."/>
      <w:numFmt w:val="decimal"/>
      <w:start w:val="12"/>
    </w:lvl>
    <w:lvl w:ilvl="1">
      <w:lvlJc w:val="left"/>
      <w:lvlText w:val="(%2)"/>
      <w:numFmt w:val="lowerLetter"/>
      <w:start w:val="1"/>
    </w:lvl>
  </w:abstractNum>
  <w:abstractNum w:abstractNumId="36">
    <w:nsid w:val="5E884ADC"/>
    <w:multiLevelType w:val="hybridMultilevel"/>
    <w:lvl w:ilvl="0">
      <w:lvlJc w:val="left"/>
      <w:lvlText w:val="(%1)"/>
      <w:numFmt w:val="lowerLetter"/>
      <w:start w:val="2"/>
    </w:lvl>
  </w:abstractNum>
  <w:abstractNum w:abstractNumId="37">
    <w:nsid w:val="51EAD36B"/>
    <w:multiLevelType w:val="hybridMultilevel"/>
    <w:lvl w:ilvl="0">
      <w:lvlJc w:val="left"/>
      <w:lvlText w:val="(%1)"/>
      <w:numFmt w:val="lowerLetter"/>
      <w:start w:val="7"/>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upp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jpeg"/><Relationship Id="rId51" Type="http://schemas.openxmlformats.org/officeDocument/2006/relationships/image" Target="media/image36.png"/><Relationship Id="rId52" Type="http://schemas.openxmlformats.org/officeDocument/2006/relationships/image" Target="media/image37.jpe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jpe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16" Type="http://schemas.openxmlformats.org/officeDocument/2006/relationships/hyperlink" Target="https://www.sec.gov/Archives/edgar/data/1707502/000119312520211250/d64659ds8.htm" TargetMode="External"/><Relationship Id="rId17" Type="http://schemas.openxmlformats.org/officeDocument/2006/relationships/hyperlink" Target="https://www.sec.gov/Archives/edgar/data/1707502/000119312521247860/d192268ds8.htm" TargetMode="External"/><Relationship Id="rId18" Type="http://schemas.openxmlformats.org/officeDocument/2006/relationships/hyperlink" Target="https://www.sec.gov/Archives/edgar/data/1707502/000119312522297087/d316377ds8.htm" TargetMode="External"/><Relationship Id="rId19" Type="http://schemas.openxmlformats.org/officeDocument/2006/relationships/hyperlink" Target="https://www.sec.gov/Archives/edgar/data/1707502/000119312523077308/d480217ds8.htm" TargetMode="External"/><Relationship Id="rId20" Type="http://schemas.openxmlformats.org/officeDocument/2006/relationships/hyperlink" Target="https://www.sec.gov/Archives/edgar/data/1707502/000119312524066438/d771208ds8.htm" TargetMode="External"/><Relationship Id="rId21" Type="http://schemas.openxmlformats.org/officeDocument/2006/relationships/hyperlink" Target="https://www.sec.gov/Archives/edgar/data/1707502/000119312524159100/d847943ds8.htm" TargetMode="External"/><Relationship Id="rId22" Type="http://schemas.openxmlformats.org/officeDocument/2006/relationships/hyperlink" Target="https://www.sec.gov/Archives/edgar/data/1707502/000119312525048452/d916576ds8.htm" TargetMode="External"/><Relationship Id="rId24" Type="http://schemas.openxmlformats.org/officeDocument/2006/relationships/hyperlink" Target="https://www.sec.gov/Archives/edgar/data/1707502/000119312518023680/d53863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2025-06-13T15:12:42Z</dcterms:created>
  <dcterms:modified xsi:type="dcterms:W3CDTF">2025-06-13T15:12:42Z</dcterms:modified>
</cp:coreProperties>
</file>