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sldb-20260630.htm"/>
      <w:bookmarkStart w:id="1" w:name="kssldb2026063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 to _________</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Commission File Number: 001-38360</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84772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847725"/>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48"/>
        </w:rPr>
        <w:t>Solid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3" w:type="dxa"/>
        <w:jc w:val="left"/>
        <w:tblInd w:w="0" w:type="dxa"/>
        <w:tblLayout w:type="fixed"/>
        <w:tblCellMar>
          <w:top w:w="28" w:type="dxa"/>
          <w:left w:w="28" w:type="dxa"/>
          <w:bottom w:w="28" w:type="dxa"/>
          <w:right w:w="28" w:type="dxa"/>
        </w:tblCellMar>
      </w:tblPr>
      <w:tblGrid>
        <w:gridCol w:w="3211"/>
        <w:gridCol w:w="146"/>
        <w:gridCol w:w="148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90-0943402</w:t>
            </w:r>
          </w:p>
        </w:tc>
      </w:tr>
      <w:tr>
        <w:trPr/>
        <w:tc>
          <w:tcPr>
            <w:tcW w:w="32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500 Rutherford Avenue, Third Floor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Charlestown, MA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02129</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(617) 337-4680</w:t>
      </w:r>
      <w:r>
        <w:rPr>
          <w:rFonts w:ascii="Times New Roman" w:hAnsi="Times New Roman"/>
          <w:color w:val="000000"/>
          <w:sz w:val="20"/>
        </w:rPr>
        <w:t xml:space="preserve"> </w:t>
      </w:r>
    </w:p>
    <w:p>
      <w:pPr>
        <w:pStyle w:val="TextBody"/>
        <w:bidi w:val="0"/>
        <w:jc w:val="center"/>
        <w:rPr/>
      </w:pPr>
      <w:r>
        <w:rPr/>
        <w:t> </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93" w:type="dxa"/>
        <w:jc w:val="left"/>
        <w:tblInd w:w="0" w:type="dxa"/>
        <w:tblLayout w:type="fixed"/>
        <w:tblCellMar>
          <w:top w:w="28" w:type="dxa"/>
          <w:left w:w="28" w:type="dxa"/>
          <w:bottom w:w="28" w:type="dxa"/>
          <w:right w:w="28" w:type="dxa"/>
        </w:tblCellMar>
      </w:tblPr>
      <w:tblGrid>
        <w:gridCol w:w="3601"/>
        <w:gridCol w:w="1501"/>
        <w:gridCol w:w="3391"/>
      </w:tblGrid>
      <w:tr>
        <w:trPr/>
        <w:tc>
          <w:tcPr>
            <w:tcW w:w="36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8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283"/>
              <w:jc w:val="center"/>
              <w:rPr>
                <w:rFonts w:ascii="Times New Roman" w:hAnsi="Times New Roman"/>
                <w:b/>
                <w:color w:val="000000"/>
                <w:sz w:val="20"/>
              </w:rPr>
            </w:pPr>
            <w:r>
              <w:rPr>
                <w:rFonts w:ascii="Times New Roman" w:hAnsi="Times New Roman"/>
                <w:b/>
                <w:color w:val="000000"/>
                <w:sz w:val="20"/>
              </w:rPr>
              <w:t>Trading Symbol</w:t>
            </w:r>
          </w:p>
        </w:tc>
        <w:tc>
          <w:tcPr>
            <w:tcW w:w="339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283"/>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501" w:type="dxa"/>
            <w:tcBorders>
              <w:bottom w:val="single" w:sz="4" w:space="0" w:color="000000"/>
              <w:right w:val="single" w:sz="4" w:space="0" w:color="000000"/>
            </w:tcBorders>
            <w:tcMar>
              <w:top w:w="0" w:type="dxa"/>
              <w:left w:w="0" w:type="dxa"/>
            </w:tcMar>
            <w:vAlign w:val="center"/>
          </w:tcPr>
          <w:p>
            <w:pPr>
              <w:pStyle w:val="TableContents"/>
              <w:bidi w:val="0"/>
              <w:spacing w:before="80" w:after="283"/>
              <w:jc w:val="center"/>
              <w:rPr>
                <w:rFonts w:ascii="Times New Roman" w:hAnsi="Times New Roman"/>
                <w:color w:val="000000"/>
                <w:sz w:val="20"/>
              </w:rPr>
            </w:pPr>
            <w:r>
              <w:rPr>
                <w:rFonts w:ascii="Times New Roman" w:hAnsi="Times New Roman"/>
                <w:color w:val="000000"/>
                <w:sz w:val="20"/>
              </w:rPr>
              <w:t>SLDB</w:t>
            </w:r>
          </w:p>
        </w:tc>
        <w:tc>
          <w:tcPr>
            <w:tcW w:w="3391" w:type="dxa"/>
            <w:tcBorders>
              <w:bottom w:val="single" w:sz="4" w:space="0" w:color="000000"/>
              <w:right w:val="single" w:sz="4" w:space="0" w:color="000000"/>
            </w:tcBorders>
            <w:tcMar>
              <w:top w:w="0" w:type="dxa"/>
              <w:left w:w="0" w:type="dxa"/>
            </w:tcMar>
            <w:vAlign w:val="center"/>
          </w:tcPr>
          <w:p>
            <w:pPr>
              <w:pStyle w:val="TableContents"/>
              <w:bidi w:val="0"/>
              <w:spacing w:before="8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center"/>
        <w:rPr/>
      </w:pPr>
      <w:r>
        <w:rPr/>
        <w:t> </w:t>
      </w:r>
    </w:p>
    <w:p>
      <w:pPr>
        <w:pStyle w:val="TextBody"/>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pPr>
      <w:r>
        <w:rPr/>
        <w:t> </w:t>
      </w:r>
    </w:p>
    <w:p>
      <w:pPr>
        <w:pStyle w:val="TextBody"/>
        <w:bidi w:val="0"/>
        <w:spacing w:before="80" w:after="283"/>
        <w:jc w:val="left"/>
        <w:rPr/>
      </w:pPr>
      <w:r>
        <w:rPr/>
        <w:t> </w:t>
      </w:r>
    </w:p>
    <w:p>
      <w:pPr>
        <w:pStyle w:val="TextBody"/>
        <w:bidi w:val="0"/>
        <w:spacing w:before="0" w:after="535"/>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August 4, 2026, the registrant had 107,225,238</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bidi w:val="0"/>
        <w:spacing w:before="0" w:after="535"/>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SOLID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39"/>
        <w:gridCol w:w="8189"/>
        <w:gridCol w:w="977"/>
      </w:tblGrid>
      <w:tr>
        <w:trPr/>
        <w:tc>
          <w:tcPr>
            <w:tcW w:w="1039" w:type="dxa"/>
            <w:tcBorders/>
            <w:vAlign w:val="center"/>
          </w:tcPr>
          <w:p>
            <w:pPr>
              <w:pStyle w:val="TableContents"/>
              <w:bidi w:val="0"/>
              <w:spacing w:before="0" w:after="283"/>
              <w:jc w:val="left"/>
              <w:rPr>
                <w:sz w:val="4"/>
                <w:szCs w:val="4"/>
              </w:rPr>
            </w:pPr>
            <w:r>
              <w:rPr>
                <w:sz w:val="4"/>
                <w:szCs w:val="4"/>
              </w:rPr>
            </w:r>
          </w:p>
        </w:tc>
        <w:tc>
          <w:tcPr>
            <w:tcW w:w="81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0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228" w:type="dxa"/>
            <w:gridSpan w:val="2"/>
            <w:tcBorders/>
            <w:tcMar>
              <w:top w:w="0" w:type="dxa"/>
              <w:left w:w="0" w:type="dxa"/>
              <w:bottom w:w="0" w:type="dxa"/>
              <w:right w:w="0" w:type="dxa"/>
            </w:tcMar>
            <w:vAlign w:val="center"/>
          </w:tcPr>
          <w:p>
            <w:pPr>
              <w:pStyle w:val="TableContents"/>
              <w:bidi w:val="0"/>
              <w:spacing w:before="0" w:after="283"/>
              <w:jc w:val="left"/>
              <w:rPr/>
            </w:pPr>
            <w:hyperlink w:anchor="cautionary">
              <w:r>
                <w:rPr>
                  <w:rStyle w:val="InternetLink"/>
                  <w:rFonts w:ascii="Times New Roman" w:hAnsi="Times New Roman"/>
                  <w:b/>
                  <w:color w:val="0000FF"/>
                  <w:sz w:val="20"/>
                  <w:u w:val="single"/>
                </w:rPr>
                <w:t>CAUTIONARY NOTE REGARDING FORWARD-LOOKING STATEMENTS AND INDUSTRY DATA</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1</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18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color w:val="0000FF"/>
                  <w:sz w:val="20"/>
                  <w:u w:val="single"/>
                </w:rPr>
                <w:t>FINANCIAL INFORMATION</w:t>
              </w:r>
            </w:hyperlink>
            <w:r>
              <w:rPr>
                <w:rFonts w:ascii="Times New Roman" w:hAnsi="Times New Roman"/>
                <w:color w:val="000000"/>
                <w:sz w:val="20"/>
              </w:rPr>
              <w:t xml:space="preserve"> </w:t>
            </w:r>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cial_">
              <w:r>
                <w:rPr>
                  <w:rStyle w:val="InternetLink"/>
                  <w:rFonts w:ascii="Times New Roman" w:hAnsi="Times New Roman"/>
                  <w:color w:val="0000FF"/>
                  <w:sz w:val="20"/>
                  <w:u w:val="single"/>
                </w:rPr>
                <w:t>Financial Statements (Unaudited)</w:t>
              </w:r>
            </w:hyperlink>
            <w:r>
              <w:rPr>
                <w:rFonts w:ascii="Times New Roman" w:hAnsi="Times New Roman"/>
                <w:color w:val="000000"/>
                <w:sz w:val="20"/>
              </w:rPr>
              <w:t xml:space="preserve">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18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balance_sheets">
              <w:r>
                <w:rPr>
                  <w:rStyle w:val="InternetLink"/>
                  <w:rFonts w:ascii="Times New Roman" w:hAnsi="Times New Roman"/>
                  <w:color w:val="0000FF"/>
                  <w:sz w:val="20"/>
                  <w:u w:val="single"/>
                </w:rPr>
                <w:t>Condensed Consolidated Balance Sheets at June 30, 2026 and December 31, 2025</w:t>
              </w:r>
            </w:hyperlink>
            <w:r>
              <w:rPr>
                <w:rFonts w:ascii="Times New Roman" w:hAnsi="Times New Roman"/>
                <w:color w:val="000000"/>
                <w:sz w:val="20"/>
              </w:rPr>
              <w:t xml:space="preserve">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18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2026 and 2025</w:t>
              </w:r>
            </w:hyperlink>
            <w:r>
              <w:rPr>
                <w:rFonts w:ascii="Times New Roman" w:hAnsi="Times New Roman"/>
                <w:color w:val="000000"/>
                <w:sz w:val="20"/>
              </w:rPr>
              <w:t xml:space="preserve"> </w:t>
            </w:r>
          </w:p>
        </w:tc>
        <w:tc>
          <w:tcPr>
            <w:tcW w:w="977"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4</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18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ompre">
              <w:r>
                <w:rPr>
                  <w:rStyle w:val="InternetLink"/>
                  <w:rFonts w:ascii="Times New Roman" w:hAnsi="Times New Roman"/>
                  <w:color w:val="0000FF"/>
                  <w:sz w:val="20"/>
                  <w:u w:val="single"/>
                </w:rPr>
                <w:t>Condensed Consolidated Statements of Comprehensive Loss for the three and six months ended June 30, 2026 and 2025</w:t>
              </w:r>
            </w:hyperlink>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18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and six months ended June 30, 2026 and 2025</w:t>
              </w:r>
            </w:hyperlink>
            <w:r>
              <w:rPr>
                <w:rFonts w:ascii="Times New Roman" w:hAnsi="Times New Roman"/>
                <w:color w:val="000000"/>
                <w:sz w:val="20"/>
              </w:rPr>
              <w:t xml:space="preserve">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18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w:t>
              </w:r>
            </w:hyperlink>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189"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tes_to_condensed_consolidated_financia">
              <w:r>
                <w:rPr>
                  <w:rStyle w:val="InternetLink"/>
                  <w:rFonts w:ascii="Times New Roman" w:hAnsi="Times New Roman"/>
                  <w:color w:val="0000FF"/>
                  <w:sz w:val="20"/>
                  <w:u w:val="single"/>
                </w:rPr>
                <w:t>Notes to the Condensed Consolidated Financial Statements</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10</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20</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31</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31</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189"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b/>
                  <w:color w:val="0000FF"/>
                  <w:sz w:val="20"/>
                  <w:u w:val="single"/>
                </w:rPr>
                <w:t>OTHER INFORMATION</w:t>
              </w:r>
            </w:hyperlink>
            <w:r>
              <w:rPr>
                <w:rFonts w:ascii="Times New Roman" w:hAnsi="Times New Roman"/>
                <w:color w:val="000000"/>
                <w:sz w:val="20"/>
              </w:rPr>
              <w:t xml:space="preserve"> </w:t>
            </w:r>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33</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r>
              <w:rPr>
                <w:rFonts w:ascii="Times New Roman" w:hAnsi="Times New Roman"/>
                <w:color w:val="000000"/>
                <w:sz w:val="20"/>
              </w:rPr>
              <w:t xml:space="preserve"> </w:t>
            </w:r>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33</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33</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87</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87</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189"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97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88</w:t>
            </w:r>
          </w:p>
        </w:tc>
      </w:tr>
      <w:tr>
        <w:trPr/>
        <w:tc>
          <w:tcPr>
            <w:tcW w:w="103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189"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28"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cautionary"/>
      <w:bookmarkEnd w:id="2"/>
      <w:r>
        <w:rPr>
          <w:rFonts w:ascii="Times New Roman" w:hAnsi="Times New Roman"/>
          <w:b/>
          <w:color w:val="000000"/>
          <w:sz w:val="20"/>
        </w:rPr>
        <w:t>CAUTIONARY NOTE REGARDING FORWARD-LOOKING STATEMENTS AND INDUSTRY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includes forward-looking statements, which involve risks and uncertainties. These forward-looking statements can be identified by the use of forward-looking terminology, including the terms “believe,” “estimate,” “project,” “anticipate,” “expect,” “seek,” “predict,” “aim,” “continue,” “possible,” “intend,” “may,” “might,” “will,” “could,” “would” or “should” or, in each case, their negative, or other variations or comparable terminology. These forward-looking statements include all matters that are not historical facts. They appear in a number of places throughout this Quarterly Report on Form 10-Q.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Quarterly Report on Form 10-Q include, among other things,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progress, design and results of ongoing and planned preclinical studies and clinical trials for our neuromuscular (e.g., SGT-003, SGT-212), cardiac (e.g., SGT-501, SGT-601) or other future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collaborations or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U.S. and foreign regulatory approval of our neuromuscular (e.g., SGT-003, SGT-212), cardiac (e.g., SGT-501, SGT-601) or other future candidates, and the timing and scope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outcomes of regulatory interactions;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populations and potential market opportunity for our neuromuscular (e.g., SGT-003, SGT-212), cardiac (e.g., SGT-501, SGT-601) or other future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capabilities and strategy, including capacity constraints and the scalability and commercial viability of our manufacturing methods and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and commercialize our neuromuscular (e.g., SGT-003, SGT-212), cardiac (e.g., SGT-501, SGT-601) or other future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and reimbursement of our neuromuscular (e.g., SGT-003, SGT-212), cardiac (e.g., SGT-501, SGT-601) or other future candidates we may develop,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establishment of sales, marketing and distribution capabilities and entry into agreements with third parties to market and sell our neuromuscular (e.g., SGT-003, SGT-212), cardiac (e.g., SGT-501, SGT-601) or other future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and clinical utility of our neuromuscular (e.g., SGT-003, SGT-212), cardiac (e.g., SGT-501, SGT-601) or other future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our platform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related to our use of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regarding expenses, ongoing losses, future revenue, capital requirements, and need for and ability to obtain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intellectual property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competitive and market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continue as a going concern;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laws, regulations, and global political and economic developments, including the imposition of tariffs or other trade restrictions, on our business, operations, strategy and goals.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 from those made in or suggested by the forward-looking statements contained in this Quarterly Report on Form 10-Q. In addition, even if our results of operations, financial condition, business and prospects are consistent with the forward-looking statements contained in this Quarterly Report on Form 10-Q, those results may not be indicative of results to be expected in subsequent periods.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have filed as exhibits to this Quarterly Report on Form 10-Q completely and with the understanding that our actual future results may be materially different from what we expect. We qualify all of our forward-looking statements by these cautionary statements.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includes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Quarterly Report on Form 10-Q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Quarterly Report on Form 10-Q, the terms “Solid,” “the Company,” “we,” “us” and “our” refer to Solid Biosciences Inc., and its consolidated subsidiaries, unless the context indicates otherwise. Solid Biosciences Inc. was organized in March 2013 under the name SOLID Ventures Management, LLC and operated as a Delaware limited liability company until immediately prior to the effectiveness of its registration statement on Form S-1 on January 25, 2018, at which time it completed a statutory corporate conversion into a Delaware corporation and changed its name to Solid Biosciences Inc.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ifinancial_information"/>
      <w:bookmarkEnd w:id="3"/>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bookmarkStart w:id="4" w:name="item_1_condensed_consolidated_financial_"/>
      <w:bookmarkEnd w:id="4"/>
      <w:r>
        <w:rPr>
          <w:rFonts w:ascii="Times New Roman" w:hAnsi="Times New Roman"/>
          <w:b/>
          <w:color w:val="000000"/>
          <w:sz w:val="20"/>
        </w:rPr>
        <w:t>Item 1. Financial Statements (unaudited)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SOLID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28"/>
        <w:gridCol w:w="146"/>
        <w:gridCol w:w="196"/>
        <w:gridCol w:w="886"/>
        <w:gridCol w:w="166"/>
        <w:gridCol w:w="146"/>
        <w:gridCol w:w="200"/>
        <w:gridCol w:w="845"/>
        <w:gridCol w:w="792"/>
      </w:tblGrid>
      <w:tr>
        <w:trPr/>
        <w:tc>
          <w:tcPr>
            <w:tcW w:w="6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59,900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127,950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16,384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205,456</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27,084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232,540</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19,058</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19,058</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at June 30, 2026 and December 31, 2025; no</w:t>
            </w:r>
            <w:r>
              <w:rPr>
                <w:rFonts w:ascii="Times New Roman" w:hAnsi="Times New Roman"/>
                <w:color w:val="000000"/>
                <w:sz w:val="20"/>
              </w:rPr>
              <w:t> </w:t>
            </w:r>
            <w:r>
              <w:rPr>
                <w:rFonts w:ascii="Times New Roman" w:hAnsi="Times New Roman"/>
                <w:color w:val="000000"/>
                <w:sz w:val="18"/>
              </w:rPr>
              <w:t>shares issued or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480,000,000</w:t>
            </w:r>
            <w:r>
              <w:rPr>
                <w:rFonts w:ascii="Times New Roman" w:hAnsi="Times New Roman"/>
                <w:color w:val="000000"/>
                <w:sz w:val="20"/>
              </w:rPr>
              <w:t> </w:t>
            </w:r>
            <w:r>
              <w:rPr>
                <w:rFonts w:ascii="Times New Roman" w:hAnsi="Times New Roman"/>
                <w:color w:val="000000"/>
                <w:sz w:val="18"/>
              </w:rPr>
              <w:t>and 240,000,000</w:t>
            </w:r>
            <w:r>
              <w:rPr>
                <w:rFonts w:ascii="Times New Roman" w:hAnsi="Times New Roman"/>
                <w:color w:val="000000"/>
                <w:sz w:val="20"/>
              </w:rPr>
              <w:t> </w:t>
            </w:r>
            <w:r>
              <w:rPr>
                <w:rFonts w:ascii="Times New Roman" w:hAnsi="Times New Roman"/>
                <w:color w:val="000000"/>
                <w:sz w:val="18"/>
              </w:rPr>
              <w:t>shares authorized at June 30, 2026 and December 31, 2025; 105,125,366</w:t>
            </w:r>
            <w:r>
              <w:rPr>
                <w:rFonts w:ascii="Times New Roman" w:hAnsi="Times New Roman"/>
                <w:color w:val="000000"/>
                <w:sz w:val="20"/>
              </w:rPr>
              <w:t> </w:t>
            </w:r>
            <w:r>
              <w:rPr>
                <w:rFonts w:ascii="Times New Roman" w:hAnsi="Times New Roman"/>
                <w:color w:val="000000"/>
                <w:sz w:val="18"/>
              </w:rPr>
              <w:t>and 78,967,888</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1,137,654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(957,775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180,010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232,540</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SOLID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9652" w:type="dxa"/>
        <w:jc w:val="left"/>
        <w:tblInd w:w="0" w:type="dxa"/>
        <w:tblLayout w:type="fixed"/>
        <w:tblCellMar>
          <w:top w:w="28" w:type="dxa"/>
          <w:left w:w="28" w:type="dxa"/>
          <w:bottom w:w="28" w:type="dxa"/>
          <w:right w:w="28" w:type="dxa"/>
        </w:tblCellMar>
      </w:tblPr>
      <w:tblGrid>
        <w:gridCol w:w="3351"/>
        <w:gridCol w:w="146"/>
        <w:gridCol w:w="196"/>
        <w:gridCol w:w="1006"/>
        <w:gridCol w:w="166"/>
        <w:gridCol w:w="146"/>
        <w:gridCol w:w="196"/>
        <w:gridCol w:w="916"/>
        <w:gridCol w:w="166"/>
        <w:gridCol w:w="146"/>
        <w:gridCol w:w="196"/>
        <w:gridCol w:w="1006"/>
        <w:gridCol w:w="166"/>
        <w:gridCol w:w="146"/>
        <w:gridCol w:w="196"/>
        <w:gridCol w:w="916"/>
        <w:gridCol w:w="591"/>
      </w:tblGrid>
      <w:tr>
        <w:trPr/>
        <w:tc>
          <w:tcPr>
            <w:tcW w:w="3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 average shares of common stock </w:t>
              <w:br/>
              <w:t xml:space="preserve">     outstanding, used to compute basic and </w:t>
              <w:br/>
              <w:t>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143,688,701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94,140,286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126,843,665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80,317,588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SOLID BIOSCIENCES INC.</w:t>
      </w:r>
    </w:p>
    <w:p>
      <w:pPr>
        <w:pStyle w:val="TextBody"/>
        <w:bidi w:val="0"/>
        <w:jc w:val="center"/>
        <w:rPr>
          <w:rFonts w:ascii="Times New Roman" w:hAnsi="Times New Roman"/>
          <w:sz w:val="20"/>
        </w:rPr>
      </w:pPr>
      <w:bookmarkStart w:id="7" w:name="condensed_consolidated_statements_compre"/>
      <w:bookmarkEnd w:id="7"/>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597" w:type="dxa"/>
        <w:jc w:val="left"/>
        <w:tblInd w:w="0" w:type="dxa"/>
        <w:tblLayout w:type="fixed"/>
        <w:tblCellMar>
          <w:top w:w="28" w:type="dxa"/>
          <w:left w:w="28" w:type="dxa"/>
          <w:bottom w:w="28" w:type="dxa"/>
          <w:right w:w="28" w:type="dxa"/>
        </w:tblCellMar>
      </w:tblPr>
      <w:tblGrid>
        <w:gridCol w:w="3606"/>
        <w:gridCol w:w="146"/>
        <w:gridCol w:w="196"/>
        <w:gridCol w:w="661"/>
        <w:gridCol w:w="166"/>
        <w:gridCol w:w="146"/>
        <w:gridCol w:w="196"/>
        <w:gridCol w:w="661"/>
        <w:gridCol w:w="166"/>
        <w:gridCol w:w="146"/>
        <w:gridCol w:w="196"/>
        <w:gridCol w:w="751"/>
        <w:gridCol w:w="166"/>
        <w:gridCol w:w="146"/>
        <w:gridCol w:w="196"/>
        <w:gridCol w:w="661"/>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SOLID BIOSCIENCES INC.</w:t>
      </w:r>
    </w:p>
    <w:p>
      <w:pPr>
        <w:pStyle w:val="TextBody"/>
        <w:bidi w:val="0"/>
        <w:jc w:val="center"/>
        <w:rPr>
          <w:rFonts w:ascii="Times New Roman" w:hAnsi="Times New Roman"/>
          <w:sz w:val="20"/>
        </w:rPr>
      </w:pPr>
      <w:bookmarkStart w:id="8" w:name="condensed_consolidated_statements_change"/>
      <w:bookmarkEnd w:id="8"/>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6"/>
        <w:gridCol w:w="146"/>
        <w:gridCol w:w="146"/>
        <w:gridCol w:w="1006"/>
        <w:gridCol w:w="146"/>
        <w:gridCol w:w="146"/>
        <w:gridCol w:w="236"/>
        <w:gridCol w:w="455"/>
        <w:gridCol w:w="146"/>
        <w:gridCol w:w="146"/>
        <w:gridCol w:w="196"/>
        <w:gridCol w:w="826"/>
        <w:gridCol w:w="166"/>
        <w:gridCol w:w="146"/>
        <w:gridCol w:w="377"/>
        <w:gridCol w:w="839"/>
        <w:gridCol w:w="166"/>
        <w:gridCol w:w="146"/>
        <w:gridCol w:w="196"/>
        <w:gridCol w:w="886"/>
        <w:gridCol w:w="166"/>
        <w:gridCol w:w="146"/>
        <w:gridCol w:w="228"/>
        <w:gridCol w:w="810"/>
        <w:gridCol w:w="412"/>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2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21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8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38"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78,967,888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180,010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private placement, net of issuance costs of $4,776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14,973,257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79,224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pre-funded warrants in private placement, net of issuance costs of $8,868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147,104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private placement for payment of developmental milestone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at-the-market public offering, net of sales commissions of $275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98,394,720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374,132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at-the-market public offering, net of sales commissions of $1,125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6,578,364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48,874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105,125,366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374,075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SOLID BIOSCIENCES INC.</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6"/>
        <w:gridCol w:w="146"/>
        <w:gridCol w:w="146"/>
        <w:gridCol w:w="916"/>
        <w:gridCol w:w="146"/>
        <w:gridCol w:w="146"/>
        <w:gridCol w:w="249"/>
        <w:gridCol w:w="442"/>
        <w:gridCol w:w="146"/>
        <w:gridCol w:w="146"/>
        <w:gridCol w:w="196"/>
        <w:gridCol w:w="826"/>
        <w:gridCol w:w="146"/>
        <w:gridCol w:w="146"/>
        <w:gridCol w:w="439"/>
        <w:gridCol w:w="777"/>
        <w:gridCol w:w="166"/>
        <w:gridCol w:w="146"/>
        <w:gridCol w:w="217"/>
        <w:gridCol w:w="834"/>
        <w:gridCol w:w="166"/>
        <w:gridCol w:w="146"/>
        <w:gridCol w:w="228"/>
        <w:gridCol w:w="811"/>
        <w:gridCol w:w="412"/>
      </w:tblGrid>
      <w:tr>
        <w:trPr/>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40,468,141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137,246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public offering, net of issuance costs of $8,665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35,739,810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135,367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pre-funded warrants in public offering, net of issuance costs of $3,366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52,590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private placement for payment of developmental milestone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at-the-market public offering, net of sales commissions of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77,492,959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294,463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77,602,741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258,291</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SOLID BIOSCIENCES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42"/>
        <w:gridCol w:w="146"/>
        <w:gridCol w:w="196"/>
        <w:gridCol w:w="751"/>
        <w:gridCol w:w="166"/>
        <w:gridCol w:w="146"/>
        <w:gridCol w:w="196"/>
        <w:gridCol w:w="751"/>
        <w:gridCol w:w="711"/>
      </w:tblGrid>
      <w:tr>
        <w:trPr/>
        <w:tc>
          <w:tcPr>
            <w:tcW w:w="7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(78,762</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discount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(69,262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69,000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(128,777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(60,195</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and pre-funded warrants in public offering, net of underwriting discounts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189,637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common stock and pre-funded warrants issuance costs in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and pre-funded warrants in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common stock and pre-funded warrants issuance costs in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in at-the-market public offering, net of sales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exercises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principal portion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188,127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82,187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140,857</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54" w:type="dxa"/>
        <w:jc w:val="left"/>
        <w:tblInd w:w="0" w:type="dxa"/>
        <w:tblLayout w:type="fixed"/>
        <w:tblCellMar>
          <w:top w:w="28" w:type="dxa"/>
          <w:left w:w="28" w:type="dxa"/>
          <w:bottom w:w="28" w:type="dxa"/>
          <w:right w:w="28" w:type="dxa"/>
        </w:tblCellMar>
      </w:tblPr>
      <w:tblGrid>
        <w:gridCol w:w="6411"/>
        <w:gridCol w:w="146"/>
        <w:gridCol w:w="196"/>
        <w:gridCol w:w="511"/>
        <w:gridCol w:w="146"/>
        <w:gridCol w:w="146"/>
        <w:gridCol w:w="196"/>
        <w:gridCol w:w="511"/>
        <w:gridCol w:w="391"/>
      </w:tblGrid>
      <w:tr>
        <w:trPr/>
        <w:tc>
          <w:tcPr>
            <w:tcW w:w="6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financing and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issued as payment for developmental milestone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purchases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SOLID BIOSCIENCES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condensed consolidated balance sheets to the amounts reported in the condensed consolidated statements of cash flows:</w:t>
      </w:r>
    </w:p>
    <w:p>
      <w:pPr>
        <w:pStyle w:val="TextBody"/>
        <w:bidi w:val="0"/>
        <w:jc w:val="center"/>
        <w:rPr/>
      </w:pPr>
      <w:r>
        <w:rPr/>
        <w:t> </w:t>
      </w:r>
    </w:p>
    <w:tbl>
      <w:tblPr>
        <w:tblW w:w="7334" w:type="dxa"/>
        <w:jc w:val="left"/>
        <w:tblInd w:w="0" w:type="dxa"/>
        <w:tblLayout w:type="fixed"/>
        <w:tblCellMar>
          <w:top w:w="28" w:type="dxa"/>
          <w:left w:w="28" w:type="dxa"/>
          <w:bottom w:w="28" w:type="dxa"/>
          <w:right w:w="28" w:type="dxa"/>
        </w:tblCellMar>
      </w:tblPr>
      <w:tblGrid>
        <w:gridCol w:w="4731"/>
        <w:gridCol w:w="146"/>
        <w:gridCol w:w="196"/>
        <w:gridCol w:w="691"/>
        <w:gridCol w:w="146"/>
        <w:gridCol w:w="146"/>
        <w:gridCol w:w="196"/>
        <w:gridCol w:w="691"/>
        <w:gridCol w:w="391"/>
      </w:tblGrid>
      <w:tr>
        <w:trPr/>
        <w:tc>
          <w:tcPr>
            <w:tcW w:w="4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cash, cash equivalents, and restricted cash, as reported in</w:t>
              <w:br/>
              <w:t>   the condensed consolidated statements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SOLID BIOSCIENCES INC.</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 and where otherwise noted)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Solid Biosciences Inc. (the “Company”) is a life sciences company focused on advancing a portfolio of current and future gene therapy candidates (collectively “Candidates”), including SGT-003 for the treatment of Duchenne muscular dystrophy (“Duchenne”), SGT-212 for the treatment of Friedreich’s ataxia (“FA”), SGT-501 for the treatment of catecholaminergic polymorphic ventricular tachycardia, SGT-601 for the treatment of TNNT2-mediated dilated cardiomyopathy, and additional assets for the treatment of genetic cardiac and neuromuscular diseases, at different stages of development with varying levels of investment. The Company is advancing its diverse pipeline across rare neuromuscular and cardiac diseases, bringing together experts in science, technology, disease management and care. Patient-focused and founded by those directly impacted by Duchenne, the Company’s mission is to improve the daily lives of patients living with these devastating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and uncertainties common to early-stage companies in the biotechnology industry, including, but not limited to, development by competitors of new technological innovations, dependence on licenses, protection of proprietary technology, dependence on key personnel, compliance with government regulations, and the need to obtain additional financing to fund operations.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among others, other pharmaceutical and biotechnology companies. In addition, the Company is dependent upon the services of its employees, partners, and consultants.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its current operating plan, the Company expects that its cash, cash equivalents and available-for-sale securities of $377.7 million, excluding restricted cash of $1.3 million, as of June 30, 2026, will be sufficient to fund its operating expenses and capital expenditure requirements for at least twelve months from the date of issuance of these condensed consolidated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June 30, 2026, the Company has funded its operations primarily with the proceeds from the sale of redeemable preferred units and member units prior to its initial public offering, as well as the sale of common stock and pre-funded warrants to purchase shares of its common stock in private placements (including the March 2026 Private Placement (as defined below)), the sale of common stock in its initial public offering, follow-on public offerings in March 2021 and February 2025 and under its “at-the-market offering” sales agreement, between the Company and Jefferies LLC (the “ATM Sales Agreement”). In July 2026, the Company sold 2,012,500 shares of its common stock, pursuant to its ATM Sales Agreement for net proceeds of $15.7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continue to generate operating losses for the foreseeable future and to finance its future cash needs through a combination of equity offerings, debt financings, collaborations, strategic partnerships and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condensed consolidated financial statements have been prepared in accordance with accounting principles generally accepted in the United States of America (“GAAP”) along with the rules and regulations of the Securities and Exchange Commission for interim financial information and include the accounts of the Company and its wholly owned subsidiaries. All intercompany balances and transactions have been eliminated in consolidation. The year-end condensed consolidated balance sheet data presented for comparative purposes was derived from the Company’s audited financial statements but does not include all disclosures required by GAAP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constitute a complete set of financial statements. These condensed consolidated financial statements have been prepared on the same basis as the Company’s annual consolidated financial statements and, in the opinion of management, reflect all adjustments, which include only normal recurring adjustments necessary for a fair statement of the Company’s financial position at June 30, 2026 and its results of operations, changes in stockholders’ equity, and cash flows for the interim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unaudited condensed consolidated interim financial statements should be read in conjunction with the Company’s audited consolidated financial statements and notes thereto included in the Company’s Annual Report on Form 10-K for the year ended December 31, 2025. The results of operations for the three and six months ended June 30, 2026 are not necessarily indicative of the operating results to be expected for the year ending December 31, 2026, for any other interim period, or for any other future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GAAP requires management to make estimates, judgments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estimates related to the recognition of research and development expenses, equity-based compensation, and derivative liabilities. Estimates are periodically reviewed in light of changes in circumstances, facts and experience. Changes in estimates are recorded in the period in which they become known. Actual results could differ materially from the Company’s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to the significant accounting policies disclosed in the Company's most recent Annual Report on Form 10</w:t>
        <w:noBreakHyphen/>
        <w:t>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the Financial Accounting Standards Board (the “FASB”) issued Accounting Standards Update (“ASU”) No. 2024</w:t>
        <w:noBreakHyphen/>
        <w:t>03, “Income Statement - Reporting Comprehensive Income - Expense Disaggregation Disclosures (Sub</w:t>
        <w:noBreakHyphen/>
        <w:t>Topic 220</w:t>
        <w:noBreakHyphen/>
        <w:t>40)</w:t>
      </w:r>
      <w:r>
        <w:rPr>
          <w:rFonts w:ascii="Times New Roman" w:hAnsi="Times New Roman"/>
          <w:i/>
          <w:color w:val="000000"/>
          <w:sz w:val="20"/>
        </w:rPr>
        <w:t xml:space="preserve">: </w:t>
      </w:r>
      <w:r>
        <w:rPr>
          <w:rFonts w:ascii="Times New Roman" w:hAnsi="Times New Roman"/>
          <w:color w:val="000000"/>
          <w:sz w:val="20"/>
        </w:rPr>
        <w:t>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of adopting this ASU on its consolidated financial statements and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In December 2025, the FASB issued ASU No.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in this ASU are effective for interim reporting periods within annual reporting periods beginning after December 15, 2027, with early adoption permitted. The Company is currently evaluating the effect of adopting this ASU on its consolidated financial statements and disclosures</w:t>
      </w:r>
      <w:r>
        <w:rPr>
          <w:rFonts w:ascii="Times New Roman" w:hAnsi="Times New Roman"/>
          <w:color w:val="00172E"/>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FA212 Asset Acquisition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September 19, 2024, the Company entered into an asset purchase agreement with FA212 LLC (“FA212”) for the purchase of certain intellectual property, including patents and assigned licenses related to a preclinical drug candidate, which the Company now refers to as SGT-212, assigned manufacturing contracts as well as research and development materials such as manufactured materials and samples.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paid FA212 an upfront payment of $1.0 million in the third quarter of 2024. Additionally, the Company agreed to pay FA212 development milestone payments of up to $34.0 million, cumulative sales milestone payments of up to $21.0 million, and tiered royalties on net sales in the low-single-digits. The Company also assumed from FA212 contingent development milestone payments of up to $4.2 million, regulatory milestone payments of up to $13.0 million, cumulative sales milestone payments of up to $27.5 million, and tiered royalties on worldwide net sales in the mid-single digits payable to the University of Pennsylvania.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development milestone payments to FA212 are payable in either cash, equity, or a combination of both, at the Company's discretion. Such contingent payments were determined to be derivative liabilities and were initially recorded at their fair value of $3.4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FA212 agreement represented an asset acquisition of in-process research and development assets with no alternative future use and recognized the aggregate acquisition cost of $5.1 million as research and development expense in the third quarter of 2024, which included the upfront payment, initial recognition of the derivative liability, and $0.7 million in transaction costs.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submitted an investigational new drug application (“IND”) for SGT-212 for the treatment of FA to the U.S. Food and Drug Administration (“FDA”), which was cleared in December 2024. Upon clearance of the IND, the first development milestone of $5.0 million became payable to FA212. On February 28, 2025, the Company made the first development milestone payment in the form of 975,496 shares of its common stock. Following the dosing of the first participant in the Phase 1b FALCON clinical trial of SGT-212 in January 2026, a $7.5 million development milestone became payable to FA212 LLC. On January 15, 2026, the Company made the second milestone payment in the form of 1,316,899 shares of its common stock. The derivative liability for the final contingent payment was recorded at a fair value of $4.2 million as of June 30, 2026. The derivative liabilities for contingent payments as of December 31, 2025 were recorded at an aggregate fair value of $9.2 million. See Note 4 - </w:t>
      </w:r>
      <w:r>
        <w:rPr>
          <w:rFonts w:ascii="Times New Roman" w:hAnsi="Times New Roman"/>
          <w:i/>
          <w:color w:val="000000"/>
          <w:sz w:val="20"/>
        </w:rPr>
        <w:t>Fair Value Measurements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Out-License Agreements</w:t>
      </w:r>
    </w:p>
    <w:p>
      <w:pPr>
        <w:pStyle w:val="TextBody"/>
        <w:bidi w:val="0"/>
        <w:spacing w:before="120" w:after="283"/>
        <w:jc w:val="left"/>
        <w:rPr>
          <w:rFonts w:ascii="Times New Roman" w:hAnsi="Times New Roman"/>
          <w:sz w:val="20"/>
        </w:rPr>
      </w:pPr>
      <w:r>
        <w:rPr>
          <w:rFonts w:ascii="Times New Roman" w:hAnsi="Times New Roman"/>
          <w:color w:val="000000"/>
          <w:sz w:val="20"/>
        </w:rPr>
        <w:t>From time to time, the Company enters into non-exclusive license and collaboration agreements for the out-licensing of POLARIS</w:t>
        <w:noBreakHyphen/>
        <w:t>101</w:t>
      </w:r>
      <w:r>
        <w:rPr>
          <w:rFonts w:ascii="Times New Roman" w:hAnsi="Times New Roman"/>
          <w:color w:val="000000"/>
          <w:sz w:val="13"/>
        </w:rPr>
        <w:t>TM</w:t>
      </w:r>
      <w:r>
        <w:rPr>
          <w:rFonts w:ascii="Times New Roman" w:hAnsi="Times New Roman"/>
          <w:color w:val="000000"/>
          <w:sz w:val="20"/>
        </w:rPr>
        <w:t>, its proprietary, rationally designed capsid technology used in SGT-003, to both companies and academic institutions pursuing treatments for rare diseases. These arrangements may entitle the Company to receive non-refundable upfront payments, contingent obligations for potential developmental, regulatory, and commercial performance milestone payments, cost reimbursement arrangements, product supply and royalty payments as a percentage of worldwide license product sales. At June 30, 2026, potential future milestone payments to which the Company may be entitled to under these agreements totaled an aggregate of $97.1 million. None of these milestones were assessed to be probable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that are measured at fair value on a recurring basis:</w:t>
      </w:r>
    </w:p>
    <w:p>
      <w:pPr>
        <w:pStyle w:val="TextBody"/>
        <w:bidi w:val="0"/>
        <w:jc w:val="left"/>
        <w:rPr/>
      </w:pPr>
      <w:r>
        <w:rPr/>
        <w:t> </w:t>
      </w:r>
    </w:p>
    <w:tbl>
      <w:tblPr>
        <w:tblW w:w="7615" w:type="dxa"/>
        <w:jc w:val="left"/>
        <w:tblInd w:w="0" w:type="dxa"/>
        <w:tblLayout w:type="fixed"/>
        <w:tblCellMar>
          <w:top w:w="28" w:type="dxa"/>
          <w:left w:w="28" w:type="dxa"/>
          <w:bottom w:w="28" w:type="dxa"/>
          <w:right w:w="28" w:type="dxa"/>
        </w:tblCellMar>
      </w:tblPr>
      <w:tblGrid>
        <w:gridCol w:w="2891"/>
        <w:gridCol w:w="146"/>
        <w:gridCol w:w="228"/>
        <w:gridCol w:w="402"/>
        <w:gridCol w:w="146"/>
        <w:gridCol w:w="146"/>
        <w:gridCol w:w="196"/>
        <w:gridCol w:w="691"/>
        <w:gridCol w:w="146"/>
        <w:gridCol w:w="146"/>
        <w:gridCol w:w="196"/>
        <w:gridCol w:w="511"/>
        <w:gridCol w:w="146"/>
        <w:gridCol w:w="146"/>
        <w:gridCol w:w="196"/>
        <w:gridCol w:w="691"/>
        <w:gridCol w:w="591"/>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Available-for-sale securities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368,516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Derivative liabilities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15" w:type="dxa"/>
        <w:jc w:val="left"/>
        <w:tblInd w:w="0" w:type="dxa"/>
        <w:tblLayout w:type="fixed"/>
        <w:tblCellMar>
          <w:top w:w="28" w:type="dxa"/>
          <w:left w:w="28" w:type="dxa"/>
          <w:bottom w:w="28" w:type="dxa"/>
          <w:right w:w="28" w:type="dxa"/>
        </w:tblCellMar>
      </w:tblPr>
      <w:tblGrid>
        <w:gridCol w:w="2891"/>
        <w:gridCol w:w="146"/>
        <w:gridCol w:w="228"/>
        <w:gridCol w:w="402"/>
        <w:gridCol w:w="146"/>
        <w:gridCol w:w="146"/>
        <w:gridCol w:w="196"/>
        <w:gridCol w:w="691"/>
        <w:gridCol w:w="146"/>
        <w:gridCol w:w="146"/>
        <w:gridCol w:w="196"/>
        <w:gridCol w:w="511"/>
        <w:gridCol w:w="146"/>
        <w:gridCol w:w="146"/>
        <w:gridCol w:w="196"/>
        <w:gridCol w:w="691"/>
        <w:gridCol w:w="591"/>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Available-for-sale securities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179,283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Derivative liabilities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fair values of the Company’s cash equivalents and available-for-sale securities were determined using Level 2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fair value of the derivative liabilities by using a Monte Carlo simulation forecasting the timing and likelihood of certain development milestone events being achieved and discounting the probability of adjusted payments using an appropriate discount rate based on market interest rates. The main assumptions when determining the fair value of the derivative liabilities are the timing and probability of achieving certain milestones, the estimated volatility of the Company’s common stock, and the discount rate. The estimated fair value presented is not necessarily indicative of an amount that could be realized in a current market exchange. The use of alternative inputs and estimation methodologies could have a material effect on these estimates of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unobservable inputs used in valuing the developmental milestone derivative liabilities at each measurement date are as follows:</w:t>
      </w:r>
    </w:p>
    <w:p>
      <w:pPr>
        <w:pStyle w:val="TextBody"/>
        <w:bidi w:val="0"/>
        <w:jc w:val="left"/>
        <w:rPr/>
      </w:pPr>
      <w:r>
        <w:rPr/>
        <w:t> </w:t>
      </w:r>
    </w:p>
    <w:tbl>
      <w:tblPr>
        <w:tblW w:w="7702" w:type="dxa"/>
        <w:jc w:val="left"/>
        <w:tblInd w:w="0" w:type="dxa"/>
        <w:tblLayout w:type="fixed"/>
        <w:tblCellMar>
          <w:top w:w="28" w:type="dxa"/>
          <w:left w:w="28" w:type="dxa"/>
          <w:bottom w:w="28" w:type="dxa"/>
          <w:right w:w="28" w:type="dxa"/>
        </w:tblCellMar>
      </w:tblPr>
      <w:tblGrid>
        <w:gridCol w:w="4066"/>
        <w:gridCol w:w="146"/>
        <w:gridCol w:w="1126"/>
        <w:gridCol w:w="146"/>
        <w:gridCol w:w="1276"/>
        <w:gridCol w:w="146"/>
        <w:gridCol w:w="796"/>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 of achieving certain development 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40.0% - 100.0%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70.0%</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98.0%</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 - 3.7%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Timing of achieving certain development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2.3</w:t>
            </w:r>
            <w:r>
              <w:rPr>
                <w:rFonts w:ascii="Times New Roman" w:hAnsi="Times New Roman"/>
                <w:color w:val="000000"/>
                <w:sz w:val="20"/>
              </w:rPr>
              <w:t> </w:t>
            </w:r>
            <w:r>
              <w:rPr>
                <w:rFonts w:ascii="Times New Roman" w:hAnsi="Times New Roman"/>
                <w:color w:val="000000"/>
                <w:sz w:val="18"/>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0.1</w:t>
            </w:r>
            <w:r>
              <w:rPr>
                <w:rFonts w:ascii="Times New Roman" w:hAnsi="Times New Roman"/>
                <w:color w:val="000000"/>
                <w:sz w:val="20"/>
              </w:rPr>
              <w:t> </w:t>
            </w:r>
            <w:r>
              <w:rPr>
                <w:rFonts w:ascii="Times New Roman" w:hAnsi="Times New Roman"/>
                <w:color w:val="000000"/>
                <w:sz w:val="18"/>
              </w:rPr>
              <w:t>- 2.8</w:t>
            </w:r>
            <w:r>
              <w:rPr>
                <w:rFonts w:ascii="Times New Roman" w:hAnsi="Times New Roman"/>
                <w:color w:val="000000"/>
                <w:sz w:val="20"/>
              </w:rPr>
              <w:t> </w:t>
            </w:r>
            <w:r>
              <w:rPr>
                <w:rFonts w:ascii="Times New Roman" w:hAnsi="Times New Roman"/>
                <w:color w:val="000000"/>
                <w:sz w:val="18"/>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1.4</w:t>
            </w:r>
            <w:r>
              <w:rPr>
                <w:rFonts w:ascii="Times New Roman" w:hAnsi="Times New Roman"/>
                <w:color w:val="000000"/>
                <w:sz w:val="20"/>
              </w:rPr>
              <w:t> </w:t>
            </w:r>
            <w:r>
              <w:rPr>
                <w:rFonts w:ascii="Times New Roman" w:hAnsi="Times New Roman"/>
                <w:color w:val="000000"/>
                <w:sz w:val="18"/>
              </w:rPr>
              <w:t>years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presents a roll forward of activity associated with the Company’s derivative liabilities measured using Level 3 inputs:</w:t>
      </w:r>
    </w:p>
    <w:p>
      <w:pPr>
        <w:pStyle w:val="TextBody"/>
        <w:bidi w:val="0"/>
        <w:jc w:val="left"/>
        <w:rPr/>
      </w:pPr>
      <w:r>
        <w:rPr/>
        <w:t> </w:t>
      </w:r>
    </w:p>
    <w:tbl>
      <w:tblPr>
        <w:tblW w:w="9983" w:type="dxa"/>
        <w:jc w:val="left"/>
        <w:tblInd w:w="0" w:type="dxa"/>
        <w:tblLayout w:type="fixed"/>
        <w:tblCellMar>
          <w:top w:w="28" w:type="dxa"/>
          <w:left w:w="28" w:type="dxa"/>
          <w:bottom w:w="28" w:type="dxa"/>
          <w:right w:w="28" w:type="dxa"/>
        </w:tblCellMar>
      </w:tblPr>
      <w:tblGrid>
        <w:gridCol w:w="5766"/>
        <w:gridCol w:w="346"/>
        <w:gridCol w:w="889"/>
        <w:gridCol w:w="2591"/>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Developmental Milestone Derivative Liabilities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derivative liabilities as of January 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issued as payment for developmental milestone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derivative liabilities as of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recognized losses of $0.9 million for the change in fair value of derivative liabilities during the three months ended June 30, 2026 and 2025. During the six months ended June 30, 2026 and 2025, the Company recognized losses of $2.5 million and $2.6 million, respectively, for the change in fair value of derivative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the Company’s policy to recognize transfers between levels of the fair value hierarchy, if any, at the end of the reporting period. During the six months ended June 30, 2026, and the year ended December 31, 2025, there were no transfers between Level 1, Level 2, and Level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Company’s accounts payable, accrued expenses, and other current liabilities approximated their estimated fair values due to the short-term nature of these financial instruments.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Available-for-Sale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available-for-sale securities is presented below:</w:t>
      </w:r>
    </w:p>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3496"/>
        <w:gridCol w:w="146"/>
        <w:gridCol w:w="196"/>
        <w:gridCol w:w="691"/>
        <w:gridCol w:w="146"/>
        <w:gridCol w:w="146"/>
        <w:gridCol w:w="320"/>
        <w:gridCol w:w="566"/>
        <w:gridCol w:w="146"/>
        <w:gridCol w:w="146"/>
        <w:gridCol w:w="529"/>
        <w:gridCol w:w="1181"/>
        <w:gridCol w:w="166"/>
        <w:gridCol w:w="146"/>
        <w:gridCol w:w="196"/>
        <w:gridCol w:w="691"/>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bills 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Government bonds maturing in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55" w:type="dxa"/>
        <w:jc w:val="left"/>
        <w:tblInd w:w="0" w:type="dxa"/>
        <w:tblLayout w:type="fixed"/>
        <w:tblCellMar>
          <w:top w:w="28" w:type="dxa"/>
          <w:left w:w="28" w:type="dxa"/>
          <w:bottom w:w="28" w:type="dxa"/>
          <w:right w:w="28" w:type="dxa"/>
        </w:tblCellMar>
      </w:tblPr>
      <w:tblGrid>
        <w:gridCol w:w="3496"/>
        <w:gridCol w:w="146"/>
        <w:gridCol w:w="196"/>
        <w:gridCol w:w="691"/>
        <w:gridCol w:w="146"/>
        <w:gridCol w:w="146"/>
        <w:gridCol w:w="360"/>
        <w:gridCol w:w="526"/>
        <w:gridCol w:w="146"/>
        <w:gridCol w:w="146"/>
        <w:gridCol w:w="320"/>
        <w:gridCol w:w="566"/>
        <w:gridCol w:w="146"/>
        <w:gridCol w:w="146"/>
        <w:gridCol w:w="196"/>
        <w:gridCol w:w="691"/>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bills 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Government bonds maturing in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contractual maturity of the Company’s available-for-sale securities was approximately 0.5 years and 0.6 years as of June 30, 2026, and December 31,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p>
      <w:pPr>
        <w:pStyle w:val="TextBody"/>
        <w:bidi w:val="0"/>
        <w:jc w:val="left"/>
        <w:rPr/>
      </w:pPr>
      <w:r>
        <w:rPr/>
        <w:t> </w:t>
      </w:r>
    </w:p>
    <w:tbl>
      <w:tblPr>
        <w:tblW w:w="5947" w:type="dxa"/>
        <w:jc w:val="left"/>
        <w:tblInd w:w="0" w:type="dxa"/>
        <w:tblLayout w:type="fixed"/>
        <w:tblCellMar>
          <w:top w:w="28" w:type="dxa"/>
          <w:left w:w="28" w:type="dxa"/>
          <w:bottom w:w="28" w:type="dxa"/>
          <w:right w:w="28" w:type="dxa"/>
        </w:tblCellMar>
      </w:tblPr>
      <w:tblGrid>
        <w:gridCol w:w="3226"/>
        <w:gridCol w:w="146"/>
        <w:gridCol w:w="196"/>
        <w:gridCol w:w="601"/>
        <w:gridCol w:w="146"/>
        <w:gridCol w:w="146"/>
        <w:gridCol w:w="269"/>
        <w:gridCol w:w="826"/>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other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 of the following:</w:t>
      </w:r>
    </w:p>
    <w:p>
      <w:pPr>
        <w:pStyle w:val="TextBody"/>
        <w:bidi w:val="0"/>
        <w:jc w:val="left"/>
        <w:rPr/>
      </w:pPr>
      <w:r>
        <w:rPr/>
        <w:t> </w:t>
      </w:r>
    </w:p>
    <w:tbl>
      <w:tblPr>
        <w:tblW w:w="6007" w:type="dxa"/>
        <w:jc w:val="left"/>
        <w:tblInd w:w="0" w:type="dxa"/>
        <w:tblLayout w:type="fixed"/>
        <w:tblCellMar>
          <w:top w:w="28" w:type="dxa"/>
          <w:left w:w="28" w:type="dxa"/>
          <w:bottom w:w="28" w:type="dxa"/>
          <w:right w:w="28" w:type="dxa"/>
        </w:tblCellMar>
      </w:tblPr>
      <w:tblGrid>
        <w:gridCol w:w="3286"/>
        <w:gridCol w:w="146"/>
        <w:gridCol w:w="196"/>
        <w:gridCol w:w="601"/>
        <w:gridCol w:w="146"/>
        <w:gridCol w:w="146"/>
        <w:gridCol w:w="269"/>
        <w:gridCol w:w="826"/>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other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Stockholders</w:t>
      </w:r>
      <w:r>
        <w:rPr>
          <w:rFonts w:ascii="Times New Roman" w:hAnsi="Times New Roman"/>
          <w:color w:val="000000"/>
          <w:sz w:val="20"/>
        </w:rPr>
        <w:t xml:space="preserve">’ </w:t>
      </w:r>
      <w:r>
        <w:rPr>
          <w:rFonts w:ascii="Times New Roman" w:hAnsi="Times New Roman"/>
          <w:b/>
          <w:color w:val="000000"/>
          <w:sz w:val="20"/>
        </w:rPr>
        <w:t>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Authorized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2026, at the Company’s 2026 Annual Meeting of Stockholders, the Company’s stockholders approved an amendment to the Company’s Amended and Restated Certificate of Incorporation, as amended, to increase the number of authorized shares of common stock from 240,000,000 shares to 480,000,000 shares (the “Share Increase Amendment”). The Company filed a Certificate of Amendment to its Certificate of Incorporation with the Secretary of State of the State of Delaware on June 10, 2026 to effect the Share Increase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Share Increase Amendment, as of June 30, 2026, the Company is authorized to issue 480,000,000 shares of common stock, $0.001 par value per share. The Share Increase Amendment did not otherwise affect the par value, rights, preferences or privileges of the Company’s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19, 2025, the Company issued and sold 35,739,810 shares of its common stock at a price per share of $4.03 and, to certain investors in lieu of shares of common stock, pre-funded warrants to purchase 13,888,340 shares of common stock at a price of $4.029 per pre-funded warrant (the “February 2025 Offering”). The Company received approximately $188.0 million of net proceeds from the February 2025 Offering after deducting underwriting discounts and commissions and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the Company issued and sold 14,973,257 shares of its common stock at a price of $5.61 per share, and, to certain investors in lieu of shares of common stock, pre-funded warrants to purchase 27,807,482 shares of its common stock at a price of $5.609 per pre-funded warrant (the “March 2026 Private Placement”). The Company received approximately $226.3 million of aggregate net proceeds from the March 2026 Private Placement after deducting offering costs.</w:t>
        <w:br/>
        <w:br/>
        <w:t>The Company determined the pre-funded warrants met the criteria for equity classification. No warrants were exercised during the six months ended June 30, 2026.</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Equity-Based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classified equity-based compensation expense in its condensed consolidated statements of operations as follows:</w:t>
      </w:r>
    </w:p>
    <w:p>
      <w:pPr>
        <w:pStyle w:val="TextBody"/>
        <w:bidi w:val="0"/>
        <w:jc w:val="left"/>
        <w:rPr/>
      </w:pPr>
      <w:r>
        <w:rPr/>
        <w:t> </w:t>
      </w:r>
    </w:p>
    <w:tbl>
      <w:tblPr>
        <w:tblW w:w="6342" w:type="dxa"/>
        <w:jc w:val="left"/>
        <w:tblInd w:w="0" w:type="dxa"/>
        <w:tblLayout w:type="fixed"/>
        <w:tblCellMar>
          <w:top w:w="28" w:type="dxa"/>
          <w:left w:w="28" w:type="dxa"/>
          <w:bottom w:w="28" w:type="dxa"/>
          <w:right w:w="28" w:type="dxa"/>
        </w:tblCellMar>
      </w:tblPr>
      <w:tblGrid>
        <w:gridCol w:w="2011"/>
        <w:gridCol w:w="146"/>
        <w:gridCol w:w="196"/>
        <w:gridCol w:w="511"/>
        <w:gridCol w:w="146"/>
        <w:gridCol w:w="146"/>
        <w:gridCol w:w="196"/>
        <w:gridCol w:w="511"/>
        <w:gridCol w:w="146"/>
        <w:gridCol w:w="146"/>
        <w:gridCol w:w="196"/>
        <w:gridCol w:w="601"/>
        <w:gridCol w:w="146"/>
        <w:gridCol w:w="146"/>
        <w:gridCol w:w="196"/>
        <w:gridCol w:w="51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Company’s approved equity incentive plans include: the 2018 Omnibus Incentive Plan (the “2018 Plan”); Amended and Restated 2020 Equity Incentive Plan, as amended (the “2020 Plan”); the Amended and Restated 2021 Employee Stock Purchase Plan; and the 2024 Inducement Stock Incentive Plan (the “2024 Plan”). These plans are administered by the Board of Directors (the “Board”) and permit the granting of stock options, stock appreciation rights, restricted stock, restricted stock units (the “RSUs”), performance awards, and other stock-based or cash-based awards. Upon the adoption of the 2020 Plan, the Company no longer grants new equity awards under its 2018 Plan. Service based awards to employees generally vest over a four-year period with 25% of such awards vesting following twelve months of continued employment or service. The remaining awards vest in either monthly or yearly installments over the following three years. Stock options granted under the Company’s equity incentive plans expire ten years from the date of grant.</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Amended and Restated 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12, 2025 and June 11, 2024, the Company's stockholders approved amendments to the 2020 Plan to increase the number of shares of common stock reserved for issuance under the plan by 9,000,000 shares and 2,000,000 shares, respectively. As of June 30, 2026, there were 5,876,554 stock options outstanding, 4,754,784 RSUs outstanding, 1,689,025 performance stock units outstanding, and 8,338,130 shares remained available for future issuance under the 2020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Inducement Stock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Board approved the 2024 Plan, which provides for the reservation of 1,000,000 shares of common stock for equity granted as an inducement material to the individual’s entering into employment with the Company and in accordance with the requirements of Nasdaq Stock Market Rule 5635(c)(4). As of June 30, 2026, there were 100,000 stock options outstanding, 748,925 RSUs outstanding, and 6,570 shares remained available for future issuance under the 2024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activity with respect to stock options for the six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1"/>
        <w:gridCol w:w="146"/>
        <w:gridCol w:w="146"/>
        <w:gridCol w:w="826"/>
        <w:gridCol w:w="166"/>
        <w:gridCol w:w="146"/>
        <w:gridCol w:w="220"/>
        <w:gridCol w:w="576"/>
        <w:gridCol w:w="146"/>
        <w:gridCol w:w="146"/>
        <w:gridCol w:w="632"/>
        <w:gridCol w:w="1826"/>
        <w:gridCol w:w="146"/>
        <w:gridCol w:w="146"/>
        <w:gridCol w:w="425"/>
        <w:gridCol w:w="1307"/>
        <w:gridCol w:w="394"/>
      </w:tblGrid>
      <w:tr>
        <w:trPr/>
        <w:tc>
          <w:tcPr>
            <w:tcW w:w="2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Contractual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4,378,145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6,724,162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6,724,162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assumptions used in the Black-Scholes option-pricing model for all stock options granted during each period presented are as follows:</w:t>
      </w:r>
    </w:p>
    <w:p>
      <w:pPr>
        <w:pStyle w:val="TextBody"/>
        <w:bidi w:val="0"/>
        <w:spacing w:before="120" w:after="283"/>
        <w:jc w:val="left"/>
        <w:rPr/>
      </w:pPr>
      <w:r>
        <w:rPr/>
        <w:t> </w:t>
      </w:r>
    </w:p>
    <w:tbl>
      <w:tblPr>
        <w:tblW w:w="6486" w:type="dxa"/>
        <w:jc w:val="left"/>
        <w:tblInd w:w="0" w:type="dxa"/>
        <w:tblLayout w:type="fixed"/>
        <w:tblCellMar>
          <w:top w:w="28" w:type="dxa"/>
          <w:left w:w="28" w:type="dxa"/>
          <w:bottom w:w="28" w:type="dxa"/>
          <w:right w:w="28" w:type="dxa"/>
        </w:tblCellMar>
      </w:tblPr>
      <w:tblGrid>
        <w:gridCol w:w="1846"/>
        <w:gridCol w:w="146"/>
        <w:gridCol w:w="665"/>
        <w:gridCol w:w="170"/>
        <w:gridCol w:w="770"/>
        <w:gridCol w:w="146"/>
        <w:gridCol w:w="1186"/>
        <w:gridCol w:w="146"/>
        <w:gridCol w:w="14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$5.45</w:t>
            </w:r>
            <w:r>
              <w:rPr>
                <w:rFonts w:ascii="Times New Roman" w:hAnsi="Times New Roman"/>
                <w:color w:val="000000"/>
                <w:sz w:val="20"/>
              </w:rPr>
              <w:t> </w:t>
            </w:r>
            <w:r>
              <w:rPr>
                <w:rFonts w:ascii="Times New Roman" w:hAnsi="Times New Roman"/>
                <w:color w:val="000000"/>
                <w:sz w:val="18"/>
              </w:rPr>
              <w:t>- $6.61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$4.10</w:t>
            </w:r>
            <w:r>
              <w:rPr>
                <w:rFonts w:ascii="Times New Roman" w:hAnsi="Times New Roman"/>
                <w:color w:val="000000"/>
                <w:sz w:val="20"/>
              </w:rPr>
              <w:t> </w:t>
            </w:r>
            <w:r>
              <w:rPr>
                <w:rFonts w:ascii="Times New Roman" w:hAnsi="Times New Roman"/>
                <w:color w:val="000000"/>
                <w:sz w:val="18"/>
              </w:rPr>
              <w:t>- $4.58</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94.5% - 97.4%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112.1% - 114.2%</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5.3 - 6.1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5.3 - 5.5</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 - 4.4%</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grant date fair values of stock options granted during the three months ended June 30, 2026 and 2025 were $5.04 and $3.84, respectively, and the weighted average grant date fair values of stock options granted during the six months ended June 30, 2026 and 2025 were $5.17 and $3.83, respectively.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$2.3 million and $1.2 million of equity-based compensation expense in connection with stock options during the three months ended June 30, 2026 and 2025, respectively. During the six months ended June 30, 2026 and 2025, the Company recognized equity-based compensation expense in connection with stock options of $4.3 million and $2.6 million, respectively. As of June 30, 2026, there was $18.8 million of total unrecognized equity-based compensation expense related to unvested stock options, which is expected to be recognized over a weighted average period of 2.8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activity with respect to RSUs during the six months ended June 30, 2026:</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2716"/>
        <w:gridCol w:w="146"/>
        <w:gridCol w:w="146"/>
        <w:gridCol w:w="826"/>
        <w:gridCol w:w="166"/>
        <w:gridCol w:w="146"/>
        <w:gridCol w:w="299"/>
        <w:gridCol w:w="646"/>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RSUs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RSUs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5,590,513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$2.3 million and $1.1 million of equity-based compensation expense in connection with RSUs during the three months ended June 30, 2026 and 2025, respectively. During the six months ended June 30, 2026 and 2025, the Company recognized equity-based compensation expense in connection with RSUs of $4.3 million and $2.1 million, respectively. As of June 30, 2026, there was $27.8 million of total unrecognized equity-based compensation expense related to nonvested RSUs, which is expected to be recognized over a weighted average period of 3.0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2024, the Board approved a grant of performance-based restricted stock unit awards (“PSUs” or “Performance Awards”) to the Company’s executive team. Each PSU represents the contingent right to receive one share of the Company’s common stock. These Performance Awards provide for the vesting of 25% of the target number of underlying RSUs granted upon the achievement of each of four independent performance milestones predetermined by the Board (each, a "Performance Milestone" and together, the “Performance Milestones”), subject to the grantee’s continued service with the Company (the “Approval Conditions”).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Performance Milestones are tied to the achievement of certain business objectives and are non-market and non-financial in nature.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2026, the Board determined that the first Performance Milestone was achieved and 25% of the target number of shares vested for each executive officer upon such determination. In the first quarter of 2026, the Board also determined that a second Performance Milestone was achieved and that 25% of the target number of shares for the executive officers will vest on the 2027 Evaluation Date, which will occur in the first quarter of 2027, subject to such executive officer’s continued service to the company on such date. The Board will determine whether the remaining two performance conditions have been satisfied and the remaining number of units that may vest on the 2027 Evaluation Date. The percentage of the RSUs allocable to any Performance Milestone that has not been achieved on or prior to the 2027 Evaluation Date shall be cancelled.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2026, the Board approved a grant of PSUs to an additional member of the Company’s executive team which provide for the vesting of 33% of the target number of underlying RSUs, upon the achievement of each of the three then-remaining Performance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activity with respect to PSUs during the six months ended June 30, 2026:</w:t>
      </w:r>
    </w:p>
    <w:p>
      <w:pPr>
        <w:pStyle w:val="TextBody"/>
        <w:bidi w:val="0"/>
        <w:spacing w:before="120" w:after="283"/>
        <w:jc w:val="left"/>
        <w:rPr/>
      </w:pPr>
      <w:r>
        <w:rPr/>
        <w:t> </w:t>
      </w:r>
    </w:p>
    <w:tbl>
      <w:tblPr>
        <w:tblW w:w="5467" w:type="dxa"/>
        <w:jc w:val="left"/>
        <w:tblInd w:w="0" w:type="dxa"/>
        <w:tblLayout w:type="fixed"/>
        <w:tblCellMar>
          <w:top w:w="28" w:type="dxa"/>
          <w:left w:w="28" w:type="dxa"/>
          <w:bottom w:w="28" w:type="dxa"/>
          <w:right w:w="28" w:type="dxa"/>
        </w:tblCellMar>
      </w:tblPr>
      <w:tblGrid>
        <w:gridCol w:w="2701"/>
        <w:gridCol w:w="146"/>
        <w:gridCol w:w="146"/>
        <w:gridCol w:w="826"/>
        <w:gridCol w:w="166"/>
        <w:gridCol w:w="146"/>
        <w:gridCol w:w="299"/>
        <w:gridCol w:w="646"/>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PSUs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PSUs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$0.9 million and $0.8 million of equity-based compensation expense in connection with PSUs during the three months ended June 30, 2026 and 2025, respectively. During the six months ended June 30, 2026 and 2025, the Company recognized equity-based compensation expense in connection with PSUs of $1.9 million and $1.8 million, respectively. As of June 30, 2026, there was $2.3 million of unrecognized equity-based compensation expense related to nonvested PSUs based on the achievement of all Performance Milestones, which is expected to be recognized over a weighted average period of 0.6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Letter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an outstanding letter of credit in the amount of $1.3 million and $2.0 million at June 30, 2026 and December 31, 2025, respectively, which is required as a condition of the Company’s office and laboratory lease.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its executive officers and members of its Board that require the Company, among other things, to indemnify them against certain liabilities that may arise by reason of their status or service as executive officers or directors of the Company. The maximum potential amount of future payments the Company could be required to make under these indemnification agreements is, in many cases, unlimited. To date, the Company has not incurred any material costs as a result of such indemnification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June 30, 2026 and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 The Company is not aware of any material legal proceedings or claims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the Company’s basic and diluted net loss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04"/>
        <w:gridCol w:w="146"/>
        <w:gridCol w:w="196"/>
        <w:gridCol w:w="1006"/>
        <w:gridCol w:w="166"/>
        <w:gridCol w:w="146"/>
        <w:gridCol w:w="196"/>
        <w:gridCol w:w="916"/>
        <w:gridCol w:w="166"/>
        <w:gridCol w:w="146"/>
        <w:gridCol w:w="196"/>
        <w:gridCol w:w="1006"/>
        <w:gridCol w:w="166"/>
        <w:gridCol w:w="146"/>
        <w:gridCol w:w="196"/>
        <w:gridCol w:w="916"/>
        <w:gridCol w:w="791"/>
      </w:tblGrid>
      <w:tr>
        <w:trPr/>
        <w:tc>
          <w:tcPr>
            <w:tcW w:w="3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(78,762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Shares used to compute net loss per share, basic and </w:t>
              <w:br/>
              <w: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Weighted average shares of common stock </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99,280,401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77,539,468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92,728,853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67,476,597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Weighted average shares of pre-funded warrants to </w:t>
              <w:br/>
              <w:t>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44,408,300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16,600,818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34,114,812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12,840,991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 xml:space="preserve">Weighted average shares of common stock </w:t>
              <w:br/>
              <w:t xml:space="preserve">   outstanding used to compute basic and diluted </w:t>
              <w:br/>
              <w:t>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143,688,701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94,140,286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126,843,665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80,317,588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within the weighted average shares of common stock outstanding for the three and six months ended June 30, 2026 and 2025 are 44,408,300 and 16,600,818 shares of common stock issuable upon the exercise of pre-funded warrants, respectively. The pre</w:t>
        <w:noBreakHyphen/>
        <w:t xml:space="preserve">funded warrants are exercisable at any time for nominal consideration, and as such, the shares are considered outstanding for the purpose of calculating basic and diluted 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potentially dilutive securities outstanding as of the dates indicated that were excluded from the computation of diluted net loss per share because the effect of including them would have been anti-dilutive due to the Company’s net loss during the periods presented:</w:t>
      </w:r>
    </w:p>
    <w:p>
      <w:pPr>
        <w:pStyle w:val="TextBody"/>
        <w:bidi w:val="0"/>
        <w:jc w:val="left"/>
        <w:rPr/>
      </w:pPr>
      <w:r>
        <w:rPr/>
        <w:t> </w:t>
      </w:r>
    </w:p>
    <w:tbl>
      <w:tblPr>
        <w:tblW w:w="6344" w:type="dxa"/>
        <w:jc w:val="left"/>
        <w:tblInd w:w="0" w:type="dxa"/>
        <w:tblLayout w:type="fixed"/>
        <w:tblCellMar>
          <w:top w:w="28" w:type="dxa"/>
          <w:left w:w="28" w:type="dxa"/>
          <w:bottom w:w="28" w:type="dxa"/>
          <w:right w:w="28" w:type="dxa"/>
        </w:tblCellMar>
      </w:tblPr>
      <w:tblGrid>
        <w:gridCol w:w="3481"/>
        <w:gridCol w:w="146"/>
        <w:gridCol w:w="146"/>
        <w:gridCol w:w="916"/>
        <w:gridCol w:w="146"/>
        <w:gridCol w:w="146"/>
        <w:gridCol w:w="146"/>
        <w:gridCol w:w="82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6,724,162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3,324,305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5,590,513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2,074,188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subject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14,240,827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8,719,982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one reportable and one operating segment and conducts its business activities on a consolidated basis primarily in North America. The Company’s singular focus is developing treatments through gene therapy and other means for patients with neuromuscular and cardiac diseases. All of the Company’s tangible assets are held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of the Company are the same as those described in the summary of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is its chief executive officer. The CODM assesses performance for the Company and decides how to allocate resources based on net loss as reported on the condensed consolidated statements of operations. The annual budgeting process is the primary mechanism used to make these decisions. The financial information also helps the CODM in making performance assessments using budgeted versus actual results.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segment expenses, other segment items, and segment net loss for the periods presented:</w:t>
      </w:r>
    </w:p>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2431"/>
        <w:gridCol w:w="146"/>
        <w:gridCol w:w="196"/>
        <w:gridCol w:w="661"/>
        <w:gridCol w:w="166"/>
        <w:gridCol w:w="146"/>
        <w:gridCol w:w="196"/>
        <w:gridCol w:w="661"/>
        <w:gridCol w:w="166"/>
        <w:gridCol w:w="146"/>
        <w:gridCol w:w="196"/>
        <w:gridCol w:w="751"/>
        <w:gridCol w:w="166"/>
        <w:gridCol w:w="146"/>
        <w:gridCol w:w="196"/>
        <w:gridCol w:w="661"/>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External R&amp;D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Internal R&amp;D expense</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External G&amp;A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Internal G&amp;A expense</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Other segment items</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Condensed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
        <w:gridCol w:w="9743"/>
      </w:tblGrid>
      <w:tr>
        <w:trPr/>
        <w:tc>
          <w:tcPr>
            <w:tcW w:w="462" w:type="dxa"/>
            <w:tcBorders/>
            <w:vAlign w:val="center"/>
          </w:tcPr>
          <w:p>
            <w:pPr>
              <w:pStyle w:val="TableContents"/>
              <w:bidi w:val="0"/>
              <w:spacing w:before="0" w:after="283"/>
              <w:jc w:val="left"/>
              <w:rPr>
                <w:sz w:val="4"/>
                <w:szCs w:val="4"/>
              </w:rPr>
            </w:pPr>
            <w:r>
              <w:rPr>
                <w:sz w:val="4"/>
                <w:szCs w:val="4"/>
              </w:rPr>
            </w:r>
          </w:p>
        </w:tc>
        <w:tc>
          <w:tcPr>
            <w:tcW w:w="9743" w:type="dxa"/>
            <w:tcBorders/>
            <w:vAlign w:val="center"/>
          </w:tcPr>
          <w:p>
            <w:pPr>
              <w:pStyle w:val="TableContents"/>
              <w:bidi w:val="0"/>
              <w:spacing w:before="0" w:after="283"/>
              <w:jc w:val="left"/>
              <w:rPr>
                <w:sz w:val="4"/>
                <w:szCs w:val="4"/>
              </w:rPr>
            </w:pPr>
            <w:r>
              <w:rPr>
                <w:sz w:val="4"/>
                <w:szCs w:val="4"/>
              </w:rPr>
            </w:r>
          </w:p>
        </w:tc>
      </w:tr>
      <w:tr>
        <w:trPr/>
        <w:tc>
          <w:tcPr>
            <w:tcW w:w="4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974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expenses consisted primarily of payroll and related costs, temporary services, and travel and entertainment.</w:t>
            </w:r>
          </w:p>
        </w:tc>
      </w:tr>
      <w:tr>
        <w:trPr/>
        <w:tc>
          <w:tcPr>
            <w:tcW w:w="462"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2"/>
              </w:rPr>
            </w:pPr>
            <w:r>
              <w:rPr>
                <w:rFonts w:ascii="Times New Roman" w:hAnsi="Times New Roman"/>
                <w:color w:val="000000"/>
                <w:sz w:val="12"/>
              </w:rPr>
              <w:t>(2)</w:t>
            </w:r>
          </w:p>
        </w:tc>
        <w:tc>
          <w:tcPr>
            <w:tcW w:w="9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primarily included other program costs, equity-based compensation expense, and depreciation and amortization expense.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measure of segment assets is reported on the balance sheet as total condensed consolidated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financial statements and related notes for the year ended December 31, 2025 included in our annual report on Form 10-K filed on March 19, 2026.</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Some of the statements contained in this discussion and analysis or set forth elsewhere in this quarterly report on Form 10-Q, including information with respect to our plans and strategy for our business, constitute forward looking statements within the meaning of Section 27A of the Securities Act of 1933, as amended (the </w:t>
      </w:r>
      <w:r>
        <w:rPr>
          <w:rFonts w:ascii="Times New Roman" w:hAnsi="Times New Roman"/>
          <w:color w:val="000000"/>
          <w:sz w:val="20"/>
        </w:rPr>
        <w:t>“</w:t>
      </w:r>
      <w:r>
        <w:rPr>
          <w:rFonts w:ascii="Times New Roman" w:hAnsi="Times New Roman"/>
          <w:i/>
          <w:color w:val="000000"/>
          <w:sz w:val="20"/>
        </w:rPr>
        <w:t>Securities Act</w:t>
      </w:r>
      <w:r>
        <w:rPr>
          <w:rFonts w:ascii="Times New Roman" w:hAnsi="Times New Roman"/>
          <w:color w:val="000000"/>
          <w:sz w:val="20"/>
        </w:rPr>
        <w:t>”</w:t>
      </w:r>
      <w:r>
        <w:rPr>
          <w:rFonts w:ascii="Times New Roman" w:hAnsi="Times New Roman"/>
          <w:i/>
          <w:color w:val="000000"/>
          <w:sz w:val="20"/>
        </w:rPr>
        <w:t xml:space="preserve">), and Section 21E of the Securities Exchange Act of 1934, as amended (the </w:t>
      </w:r>
      <w:r>
        <w:rPr>
          <w:rFonts w:ascii="Times New Roman" w:hAnsi="Times New Roman"/>
          <w:color w:val="000000"/>
          <w:sz w:val="20"/>
        </w:rPr>
        <w:t>“</w:t>
      </w:r>
      <w:r>
        <w:rPr>
          <w:rFonts w:ascii="Times New Roman" w:hAnsi="Times New Roman"/>
          <w:i/>
          <w:color w:val="000000"/>
          <w:sz w:val="20"/>
        </w:rPr>
        <w:t>Exchange Act</w:t>
      </w:r>
      <w:r>
        <w:rPr>
          <w:rFonts w:ascii="Times New Roman" w:hAnsi="Times New Roman"/>
          <w:color w:val="000000"/>
          <w:sz w:val="20"/>
        </w:rPr>
        <w:t>”</w:t>
      </w:r>
      <w:r>
        <w:rPr>
          <w:rFonts w:ascii="Times New Roman" w:hAnsi="Times New Roman"/>
          <w:i/>
          <w:color w:val="000000"/>
          <w:sz w:val="20"/>
        </w:rPr>
        <w:t xml:space="preserve">).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 Item 1A “Risk Factors” and our other filings with the Securities and Exchange Commission (the </w:t>
      </w:r>
      <w:r>
        <w:rPr>
          <w:rFonts w:ascii="Times New Roman" w:hAnsi="Times New Roman"/>
          <w:color w:val="000000"/>
          <w:sz w:val="20"/>
        </w:rPr>
        <w:t>“</w:t>
      </w:r>
      <w:r>
        <w:rPr>
          <w:rFonts w:ascii="Times New Roman" w:hAnsi="Times New Roman"/>
          <w:i/>
          <w:color w:val="000000"/>
          <w:sz w:val="20"/>
        </w:rPr>
        <w:t>SEC</w:t>
      </w:r>
      <w:r>
        <w:rPr>
          <w:rFonts w:ascii="Times New Roman" w:hAnsi="Times New Roman"/>
          <w:color w:val="000000"/>
          <w:sz w:val="20"/>
        </w:rPr>
        <w:t>”</w:t>
      </w:r>
      <w:r>
        <w:rPr>
          <w:rFonts w:ascii="Times New Roman" w:hAnsi="Times New Roman"/>
          <w:i/>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made as of the date of the filing of this Form 10-Q with the SEC and should not be relied upon as of any subsequent date. Even if our results of operations, financial condition and liquidity, and the development of the industry in which we operate are consistent with the forward</w:t>
        <w:noBreakHyphen/>
        <w:t>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caution readers not to place undue reliance on any forward-looking statements made by us, which speak only as of the date they are made.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life sciences company focused on advancing a portfolio of current and future gene therapy candidates, which we refer to collectively as our Candidates, including SGT-003 for the treatment of Duchenne muscular dystrophy (“Duchenne”), SGT-212 for the treatment of Friedreich’s ataxia (“FA”), SGT-501 for the treatment of catecholaminergic polymorphic ventricular tachycardia (“CPVT”), SGT-601 for the treatment of TNNT2-mediated dilated cardiomyopathy (“TNNT2 DCM”), and additional assets for the treatment of genetic cardiac and neuromuscular diseases, at different stages of development, with varying levels of investment. The Company is also focused on developing innovative libraries of genetic regulators and other enabling technologies with promising potential to significantly impact gene therapy delivery cross-industry.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Solid was purpose-built to advance the best science and accelerate the discovery and development of treatments that may benefit all patients with Duchenne. As we expand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platform technologies including capsids and regulatory expertise, and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and develop meaningful therapies for underserved patients with sometimes fatal neuromuscular and cardiac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innovative libraries of delivery capsids and other enabling technologies with the potential to have broad impact on the gene therapy field at large;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bring together the leading experts in neuromuscular and cardiac diseases, science, technology, disease management and care;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guided by the needs of these patients.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continuing to advance our pipeline of Candidates. The U.S. Food and Drug Administration (the “FDA”) has granted Fast Track, Orphan Drug and Rare Pediatric Disease designations for SGT-003 for Duchenne, and SGT-003 has also been awarded Orphan Drug designation from the European Commission for the treatment of Duchenne, in addition to an Innovation Passport by the new UK Innovative Licensing and Access Pathway, which aims to accelerate time to market and facilitate patient access to new medicines in the United Kingdom. The FDA has granted Fast Track, Orphan Drug and Rare Pediatric Disease designations to SGT-212 for the treatment of FA and SGT-501 for the treatment of CPVT.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pursue opportunities in both the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and components used in our manufacturing processes. We continue to monitor these developments closely.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SGT-003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Participant dosing in the Phase 1/2 INSPIRE DUCHENNE trial of SGT-003 began in the second quarter of 2024. The INSPIRE DUCHENNE trial is a Phase 1/2 first-in-human, open-label, single-dose, multicenter trial designed to evaluate the safety, tolerability and efficacy of SGT-003 in pediatric patients with Duchenne at a dose of 1E14vg/kg. SGT-003 is administered as a one-time intravenous infusion. Since initiation of the INSPIRE DUCHENNE clinical trial, we amended the clinical trial protocol to increase the anticipated participant enrollment size, expand the participant cohort age groups and extend the time points of certain secondary objective measurements. </w:t>
      </w:r>
    </w:p>
    <w:p>
      <w:pPr>
        <w:pStyle w:val="TextBody"/>
        <w:bidi w:val="0"/>
        <w:jc w:val="left"/>
        <w:rPr>
          <w:rFonts w:ascii="Times New Roman" w:hAnsi="Times New Roman"/>
          <w:color w:val="000000"/>
          <w:sz w:val="20"/>
        </w:rPr>
      </w:pPr>
      <w:r>
        <w:rPr>
          <w:rFonts w:ascii="Times New Roman" w:hAnsi="Times New Roman"/>
          <w:color w:val="000000"/>
          <w:sz w:val="20"/>
        </w:rPr>
        <w:t>On March 11, 2026, we announced positive new interim data from the Phase 1/2 INSPIRE DUCHENNE clinical trial as of a February 23, 2026 data cutoff date. For a full description of the initial results from the INSPIRE DUCHENNE trial, see Part I, Item I, “Business” in our Annual Report on Form 10-K filed on March 19,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SGT-003 has been generally well tolerated in the 53 participants dosed in the Phase 1/2 INSPIRE DUCHENNE clinical trial as of August 4, 2026. One study participant withdrew consent after the Day 60 follow-up visit. No treatment-related adverse events were seen in this participant. The safety and tolerability profile observed in the INSPIRE DUCHENNE trial continued to be promising; SGT-003 is administered using a low-burden, steroid-only prophylactic immunomodulation regimen. As of August 4, 2026, there were two previously disclosed treatment-related serious adverse events reported in the INSPIRE DUCHENNE trial.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INSPIRE DUCHENNE trial is ongoing and being conducted at clinical sites across the United States, Canada, Italy and the United Kingdom. We believe we have aligned with the FDA on SGT-003's potency assay strategy and will continue commercial-readiness CMC activities, with our process performance qualification manufacturing batches to be completed in 2026.</w:t>
      </w:r>
    </w:p>
    <w:p>
      <w:pPr>
        <w:pStyle w:val="TextBody"/>
        <w:bidi w:val="0"/>
        <w:jc w:val="left"/>
        <w:rPr>
          <w:rFonts w:ascii="Times New Roman" w:hAnsi="Times New Roman"/>
          <w:color w:val="000000"/>
          <w:sz w:val="20"/>
        </w:rPr>
      </w:pPr>
      <w:r>
        <w:rPr>
          <w:rFonts w:ascii="Times New Roman" w:hAnsi="Times New Roman"/>
          <w:color w:val="000000"/>
          <w:sz w:val="20"/>
        </w:rPr>
        <w:t>In October 2025, we activated the first clinical trial site and began screening participants for IMPACT DUCHENNE, a Phase 3 randomized, double-blind, placebo-controlled trial evaluating SGT-003. In February 2026, we announced positive feedback from a Type C meeting with the FDA where we reached alignment on the IMPACT DUCHENNE trial design, including: the patient population of ambulant participants 7 to &lt;12 years of age, the primary endpoint of change from baseline in Time to Rise (TTR) velocity from supine position evaluated at 18 months and other key secondary endpoints. Clinical trial sites for IMPACT DUCHENNE are currently active in Australia and Canada, with additional clinical site activations expected in the second half of 2026, subject to site initiation activities and regulatory clearances. Participant screening is underway and we dosed our first participant in the IMPACT DUCHENNE trial in April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meet with the FDA late in the fourth quarter of 2026 to discuss the INSPIRE DUCHENNE SGT-003 data package and to seek guidance on a potential accelerated approval pathway for SGT-003; we expect to provide an update as discussions progress.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granted Fast Track, Orphan Drug and Rare Pediatric Disease designations for SGT-003 and the European Commission has granted Orphan drug designation for SGT-003 for the treatment of Duchenne. SGT-003 has been awarded an Innovation Passport by the new UK Innovative Licensing and Access Pathway, which aims to accelerate time to market and facilitate patient access to new medicines in the United Kingdom.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Additionally, Solid has received a positive opinion from the European Medicines Agency’s Paediatric Committee on its Pediatric Investigation Plan (PIP), establishing alignment on its pediatric development framework for SGT-003 in Europe.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SGT-212</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January 2025, we announced that the FDA cleared our IND for SGT-212 for the treatment of FA. In October 2025, we activated the first clinical trial site and began screening participants for FALCON, an open-label, multi-center Phase 1b clinical trial of SGT-212, and in January 2026, we dosed the first participant in the trial. Two participants have been dosed in the FALCON clinical trial and SGT-212 has been well tolerated with no treatment related serious adverse events observed as of August 4, 2026.</w:t>
        <w:br/>
        <w:br/>
        <w:t xml:space="preserve">The trial is expected to enroll approximately 10 non-ambulatory and ambulatory adult participants (aged 18-40) living with FA in up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three cohorts and is designed to evaluate the safety and tolerability of contemporaneous IDN and systemic IV infusion of SGT-212, with initial data anticipated in the first quarter of 2027, subject to participant enrollment. The FDA has granted Fast Track, Orphan Drug and Rare Pediatric Disease designations to SGT-212 for the treatment of FA.</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SGT-501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2025, we announced that the FDA cleared our IND and that Health Canada approved our clinical trial application for SGT-501 for the treatment of CPVT. In January 2026, we announced that clinical trial sites have been activated and participant screening is underway in the ARTEMIS clinical trial, an open-label, multi-center Phase 1b clinical trial evaluating SGT-501 in adult participants with CPVT. The ARTEMIS trial is designed to evaluate the safety and tolerability of a single IV infusion of SGT-501. We anticipate dosing our first participant in the second half of 2026 with initial safety data anticipated in the first half of 2027, subject to participant enrollment.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has granted Fast Track, Orphan Drug and Rare Pediatric Disease designations to SGT-501 for the treatment of CPVT.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Cardiac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developing a preclinical product candidate, SGT-601, for the treatment of TNNT2 DCM. Efficacy studies in mice suggest that SGT-601 treatment resulted in a restoration of ejection fraction function and a stabilization in cardiac function over time.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Platform Technologies</w:t>
      </w:r>
    </w:p>
    <w:p>
      <w:pPr>
        <w:pStyle w:val="TextBody"/>
        <w:bidi w:val="0"/>
        <w:spacing w:before="120" w:after="120"/>
        <w:jc w:val="left"/>
        <w:rPr>
          <w:rFonts w:ascii="Times New Roman" w:hAnsi="Times New Roman"/>
          <w:sz w:val="20"/>
        </w:rPr>
      </w:pPr>
      <w:r>
        <w:rPr>
          <w:rFonts w:ascii="Times New Roman" w:hAnsi="Times New Roman"/>
          <w:color w:val="000000"/>
          <w:sz w:val="20"/>
        </w:rPr>
        <w:t>The Company is also focused on developing innovative enabling technologies, including next-generation capsids. In March 2026, we began using the mark POLARIS-101</w:t>
      </w:r>
      <w:r>
        <w:rPr>
          <w:rFonts w:ascii="Times New Roman" w:hAnsi="Times New Roman"/>
          <w:color w:val="000000"/>
          <w:sz w:val="13"/>
        </w:rPr>
        <w:t xml:space="preserve">TM </w:t>
      </w:r>
      <w:r>
        <w:rPr>
          <w:rFonts w:ascii="Times New Roman" w:hAnsi="Times New Roman"/>
          <w:color w:val="000000"/>
          <w:sz w:val="20"/>
        </w:rPr>
        <w:t>to represent our AAV-SLB101 capsid (“POLARIS-101</w:t>
      </w:r>
      <w:r>
        <w:rPr>
          <w:rFonts w:ascii="Times New Roman" w:hAnsi="Times New Roman"/>
          <w:color w:val="000000"/>
          <w:sz w:val="13"/>
        </w:rPr>
        <w:t>TM</w:t>
      </w:r>
      <w:r>
        <w:rPr>
          <w:rFonts w:ascii="Times New Roman" w:hAnsi="Times New Roman"/>
          <w:color w:val="000000"/>
          <w:sz w:val="20"/>
        </w:rPr>
        <w:t>”). POLARIS</w:t>
        <w:noBreakHyphen/>
        <w:t>101</w:t>
      </w:r>
      <w:r>
        <w:rPr>
          <w:rFonts w:ascii="Times New Roman" w:hAnsi="Times New Roman"/>
          <w:color w:val="000000"/>
          <w:sz w:val="13"/>
        </w:rPr>
        <w:t xml:space="preserve">TM </w:t>
      </w:r>
      <w:r>
        <w:rPr>
          <w:rFonts w:ascii="Times New Roman" w:hAnsi="Times New Roman"/>
          <w:color w:val="000000"/>
          <w:sz w:val="20"/>
        </w:rPr>
        <w:t>is our rationally designed, proprietary capsid, which is used in SGT-003 for Duchenne and has been generally well tolerated as of August 4, 2026 (N=53), in the INSPIRE DUCHENNE clinical trial, and was also well tolerated in nonclinical NHP and mouse models. We aim to license POLARIS-101</w:t>
      </w:r>
      <w:r>
        <w:rPr>
          <w:rFonts w:ascii="Times New Roman" w:hAnsi="Times New Roman"/>
          <w:color w:val="000000"/>
          <w:sz w:val="13"/>
        </w:rPr>
        <w:t xml:space="preserve">TM </w:t>
      </w:r>
      <w:r>
        <w:rPr>
          <w:rFonts w:ascii="Times New Roman" w:hAnsi="Times New Roman"/>
          <w:color w:val="000000"/>
          <w:sz w:val="20"/>
        </w:rPr>
        <w:t xml:space="preserve">broadly to corporations, institutions and academic labs pursuing neuromuscular and cardiac rare disease research, with more than 50 agreements, including licenses, executed.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building additional cardiac and neuromuscular next-generation capsid and promoter libraries with capsid selection from the first library anticipated in the second half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significant research and development expenditure, licensing and patent investment, and general and administrative costs associated with our operations, we have generated substantial operating losses in each period since our inception. Our net losses were $54.8 million and $111.5 million for the three and six months ended June 30, 2026, respectively, and $39.5 million and $78.8 million for the three and six months ended June 30, 2025, respectively. As of June 30, 2026, we had an accumulated deficit of $1.1 billion. We expect to incur significant expenses and operating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seek to develop and commercialize our Candidates, we anticipate that our expenses will increase significantly and that we will need substantial additional funding to support our continuing operations. Until we can generate significant revenue from product sales, if ever, we expect to finance our operations through a combination of public or private equity financing, debt financing or other sources, which may include licensing agreements or strategic collaborations. We may be unable to raise additional funds or enter into such agreements or arrangements when needed on favorable terms, if at all. If we fail to raise capital or enter into such agreements as and when needed, we may have to significantly delay, scale back or discontinue the development or commercialization of our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are unable to predict the timing or amount of increased expenses or determine when or if we will be able to achieve or maintain profitability. Even if we are able to generate revenue from product sales, we may not become profitable. If we fail to become profitable or are unable to sustain profitability on a continuing basis, we may be unable to continue our operations at planned levels and be forced to reduce or terminate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available-for-sale securities of $377.7 million, excluding restricted cash of $1.3 million. We believe that our cash, cash equivalents, and available-for-sale securities as of June 30, 2026 will enable us to fund our operating expenses and capital expenditure requirements into mid-2028. We have based this estimate on assumptions that may prove to be wrong, and we could use our available capital resources sooner than we currently anticipate.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commercial product revenue to date and do not expect to do so for the foreseeable future, if ever. If our development efforts for our Candidates are successful and result in marketing approval, we may generate commercial product revenue in the future.</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our operating expenses into two categories: research and development and general and administrative expenses. Personnel costs, including salaries, benefits, bonuses, and equity-based compensation expense comprise a significant component of both expense categories. We allocate expenses associated with personnel costs based on the nature of work associated with these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clinical and preclinical development activities for our Candidates and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third parties, including contract research organizations (“CROs”) that conduct research, preclinical and clinical activities on our behalf, as well as contract development and manufacturing organizations (“CDMOs”) that manufacture SGT-003, SGT-212, SGT-501, and other Candidates for use in our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salaries, benefits and other related costs, including equity-based compensation expense, for personnel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outside consultants engaged to assist in our research and development activities, including their fees, equity-based compensation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laboratory supplies and acquiring, developing and manufacturing preclinical study and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seeking regulatory approval of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our intellectual property licenses;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facility-related research and development expenses, which include direct depreciation costs and allocated expenses for rent and maintenance of facilities and other operating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are still in the early stages of development for most of our Candidates. Candidates in later stages of clinical development generally have higher development costs than those in preclinical development or in earlier stages of clinical development, primarily due to the increased size and duration of later</w:t>
        <w:noBreakHyphen/>
        <w:t>stage clinical trials. We expect that our research and development expenses will continue to increase for the foreseeable future if and as we continue to conduct our INSPIRE DUCHENNE, IMPACT DUCHENNE, FALCON and ARTEMIS trials and continue to develop our pipeline and complete ongoing and planned preclinical studies and clinical trials of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typically use our employee and infrastructure resources across our Candidates. We track outsourced development costs and milestone payments made under our licensing arrangements by Candidate, but we do not allocate personnel costs, license payments made under our licensing arrangements or other internal costs to Candidates on a program-specific basis. These costs are included in unallocated research and development expenses in the table below.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Candidate for the respective periods (in thousands): </w:t>
      </w:r>
    </w:p>
    <w:p>
      <w:pPr>
        <w:pStyle w:val="TextBody"/>
        <w:bidi w:val="0"/>
        <w:jc w:val="left"/>
        <w:rPr/>
      </w:pPr>
      <w:r>
        <w:rPr/>
        <w:t> </w:t>
      </w:r>
    </w:p>
    <w:tbl>
      <w:tblPr>
        <w:tblW w:w="8487" w:type="dxa"/>
        <w:jc w:val="left"/>
        <w:tblInd w:w="0" w:type="dxa"/>
        <w:tblLayout w:type="fixed"/>
        <w:tblCellMar>
          <w:top w:w="28" w:type="dxa"/>
          <w:left w:w="28" w:type="dxa"/>
          <w:bottom w:w="28" w:type="dxa"/>
          <w:right w:w="28" w:type="dxa"/>
        </w:tblCellMar>
      </w:tblPr>
      <w:tblGrid>
        <w:gridCol w:w="3886"/>
        <w:gridCol w:w="146"/>
        <w:gridCol w:w="196"/>
        <w:gridCol w:w="601"/>
        <w:gridCol w:w="146"/>
        <w:gridCol w:w="146"/>
        <w:gridCol w:w="196"/>
        <w:gridCol w:w="601"/>
        <w:gridCol w:w="146"/>
        <w:gridCol w:w="146"/>
        <w:gridCol w:w="196"/>
        <w:gridCol w:w="601"/>
        <w:gridCol w:w="146"/>
        <w:gridCol w:w="146"/>
        <w:gridCol w:w="196"/>
        <w:gridCol w:w="60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determine with certainty the duration, costs, and timing of ongoing and planned clinical trials of SGT-003, SGT-212, SGT</w:t>
        <w:noBreakHyphen/>
        <w:t>501 or our other Candidates, or if, when, or to what extent we will generate revenue from the commercialization and sale of any of our Candidates for which we obtain marketing approval or our other research and development expenses. We may never succeed in obtaining marketing approval for any of our Candidates. The duration, costs, and timing of clinical trials and development of our Candidates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expense, and results of any clinical trials of our Candidates and other research and development activities that we may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regulatory restrictions on clinical trials, including full and partial clinical holds and the time and activities required to lift any such holds;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clinical trial design and participant enrollment or drop out or discontinuation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studies or clinical trials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receipt of any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 of filing, prosecuting, defending and enforcing any patent claims and other intellectual property rights.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equity-based compensation, for personnel in our executive, finance,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increase in the future as we support our research and development activities and activities related to our INSPIRE DUCHENNE trial, our IMPACT DUCHENNE trial, our FALCON trial, our ARTEMIS trial and any other planned or future clinical trials for and potential commercialization of our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primarily of interest income. Interest income consists of income earned on our cash and cash equivalents, available-for-sale securities, and restricted cash.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condensed consolidated financial statements, which have been prepared in accordance with generally accepted accounting principles in the United States.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values of assets and liabilities that are not readily apparent from other sources. We evaluate our estimates and assumptions on an ongoing basis. Our actual results may differ materially from these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there were no material changes to our critical accounting policies. Our critical accounting policies are described under the heading “Management’s Discussion and Analysis of Financial Condition and Results of Operations—Critical Accounting Policies and Use of Estimates” in our Annual Report on Form 10-K for the year ended December 31, 2025 and the notes to the unaudited condensed consolidated financial statements included in Part I, Item 1, “Financial Statements (unaudited),” of this Quarterly Report on Form 10-Q. We believe that of our critical accounting policies, the following accounting policies involve the most judgment and complexity: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research and development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equity-based compensation;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 except percentages):</w:t>
      </w:r>
    </w:p>
    <w:p>
      <w:pPr>
        <w:pStyle w:val="TextBody"/>
        <w:bidi w:val="0"/>
        <w:spacing w:before="120" w:after="283"/>
        <w:jc w:val="left"/>
        <w:rPr/>
      </w:pPr>
      <w:r>
        <w:rPr/>
        <w:t> </w:t>
      </w:r>
    </w:p>
    <w:tbl>
      <w:tblPr>
        <w:tblW w:w="8576" w:type="dxa"/>
        <w:jc w:val="left"/>
        <w:tblInd w:w="0" w:type="dxa"/>
        <w:tblLayout w:type="fixed"/>
        <w:tblCellMar>
          <w:top w:w="28" w:type="dxa"/>
          <w:left w:w="28" w:type="dxa"/>
          <w:bottom w:w="28" w:type="dxa"/>
          <w:right w:w="28" w:type="dxa"/>
        </w:tblCellMar>
      </w:tblPr>
      <w:tblGrid>
        <w:gridCol w:w="3351"/>
        <w:gridCol w:w="146"/>
        <w:gridCol w:w="196"/>
        <w:gridCol w:w="661"/>
        <w:gridCol w:w="166"/>
        <w:gridCol w:w="146"/>
        <w:gridCol w:w="196"/>
        <w:gridCol w:w="661"/>
        <w:gridCol w:w="166"/>
        <w:gridCol w:w="146"/>
        <w:gridCol w:w="196"/>
        <w:gridCol w:w="661"/>
        <w:gridCol w:w="166"/>
        <w:gridCol w:w="146"/>
        <w:gridCol w:w="177"/>
        <w:gridCol w:w="694"/>
        <w:gridCol w:w="701"/>
      </w:tblGrid>
      <w:tr>
        <w:trPr/>
        <w:tc>
          <w:tcPr>
            <w:tcW w:w="3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by Candidate for the periods indicated (in thousands, except percentages):</w:t>
      </w:r>
    </w:p>
    <w:p>
      <w:pPr>
        <w:pStyle w:val="TextBody"/>
        <w:bidi w:val="0"/>
        <w:spacing w:before="120" w:after="283"/>
        <w:jc w:val="left"/>
        <w:rPr/>
      </w:pPr>
      <w:r>
        <w:rPr/>
        <w:t> </w:t>
      </w:r>
    </w:p>
    <w:tbl>
      <w:tblPr>
        <w:tblW w:w="8751" w:type="dxa"/>
        <w:jc w:val="left"/>
        <w:tblInd w:w="0" w:type="dxa"/>
        <w:tblLayout w:type="fixed"/>
        <w:tblCellMar>
          <w:top w:w="28" w:type="dxa"/>
          <w:left w:w="28" w:type="dxa"/>
          <w:bottom w:w="28" w:type="dxa"/>
          <w:right w:w="28" w:type="dxa"/>
        </w:tblCellMar>
      </w:tblPr>
      <w:tblGrid>
        <w:gridCol w:w="3886"/>
        <w:gridCol w:w="146"/>
        <w:gridCol w:w="196"/>
        <w:gridCol w:w="601"/>
        <w:gridCol w:w="146"/>
        <w:gridCol w:w="146"/>
        <w:gridCol w:w="196"/>
        <w:gridCol w:w="601"/>
        <w:gridCol w:w="146"/>
        <w:gridCol w:w="146"/>
        <w:gridCol w:w="196"/>
        <w:gridCol w:w="601"/>
        <w:gridCol w:w="166"/>
        <w:gridCol w:w="146"/>
        <w:gridCol w:w="193"/>
        <w:gridCol w:w="678"/>
        <w:gridCol w:w="56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three months ended June 30, 2026 were $44.3 million, compared to $32.4 million for the three months ended June 30, 2025. The increase of $11.9 million in research and development expenses was primarily due to a $12.2 million increase in costs for SGT-003 primarily related to manufacturing and clinical costs, a $3.2 million increase in personnel related expenses, and a $1.2 million increase in costs for SGT-212 primarily related to clinical and research costs, partially offset by a $2.2 million decrease in costs for SGT-601 related to lower manufacturing and research costs, a $1.4 million decrease in external expenses primarily related to laboratory supplies, and a $1.3 million decrease in costs for SGT-501 primarily related to lower license payments and research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$13.1 million for the three months ended June 30, 2026, compared to $9.3 million for the three months ended June 30, 2025. The increase of $3.8 million was primarily related to a $2.6 million increase in personnel related costs, a $0.5 million increase in business development costs, a $0.4 million increase in equipment costs, and a $0.3 million increase in consulting services.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jc w:val="left"/>
        <w:rPr>
          <w:rFonts w:ascii="Times New Roman" w:hAnsi="Times New Roman"/>
          <w:color w:val="000000"/>
          <w:sz w:val="20"/>
        </w:rPr>
      </w:pPr>
      <w:r>
        <w:rPr>
          <w:rFonts w:ascii="Times New Roman" w:hAnsi="Times New Roman"/>
          <w:color w:val="000000"/>
          <w:sz w:val="20"/>
        </w:rPr>
        <w:t>Other income, net was $2.6 million for the three months ended June 30, 2026 compared to $2.2 million for the three months ended June 30, 2025. The increase of $0.4 million was primarily related to higher interest income from our available-for-sale securities.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 except percentages):</w:t>
      </w:r>
    </w:p>
    <w:p>
      <w:pPr>
        <w:pStyle w:val="TextBody"/>
        <w:bidi w:val="0"/>
        <w:jc w:val="left"/>
        <w:rPr/>
      </w:pPr>
      <w:r>
        <w:rPr/>
        <w:t> </w:t>
      </w:r>
    </w:p>
    <w:tbl>
      <w:tblPr>
        <w:tblW w:w="8726" w:type="dxa"/>
        <w:jc w:val="left"/>
        <w:tblInd w:w="0" w:type="dxa"/>
        <w:tblLayout w:type="fixed"/>
        <w:tblCellMar>
          <w:top w:w="28" w:type="dxa"/>
          <w:left w:w="28" w:type="dxa"/>
          <w:bottom w:w="28" w:type="dxa"/>
          <w:right w:w="28" w:type="dxa"/>
        </w:tblCellMar>
      </w:tblPr>
      <w:tblGrid>
        <w:gridCol w:w="3351"/>
        <w:gridCol w:w="146"/>
        <w:gridCol w:w="196"/>
        <w:gridCol w:w="751"/>
        <w:gridCol w:w="166"/>
        <w:gridCol w:w="146"/>
        <w:gridCol w:w="196"/>
        <w:gridCol w:w="661"/>
        <w:gridCol w:w="166"/>
        <w:gridCol w:w="146"/>
        <w:gridCol w:w="196"/>
        <w:gridCol w:w="661"/>
        <w:gridCol w:w="166"/>
        <w:gridCol w:w="146"/>
        <w:gridCol w:w="177"/>
        <w:gridCol w:w="694"/>
        <w:gridCol w:w="761"/>
      </w:tblGrid>
      <w:tr>
        <w:trPr/>
        <w:tc>
          <w:tcPr>
            <w:tcW w:w="3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by Candidate for the periods indicated (in thousands, except percentages):</w:t>
      </w:r>
    </w:p>
    <w:p>
      <w:pPr>
        <w:pStyle w:val="TextBody"/>
        <w:bidi w:val="0"/>
        <w:jc w:val="left"/>
        <w:rPr/>
      </w:pPr>
      <w:r>
        <w:rPr/>
        <w:t> </w:t>
      </w:r>
    </w:p>
    <w:tbl>
      <w:tblPr>
        <w:tblW w:w="8751" w:type="dxa"/>
        <w:jc w:val="left"/>
        <w:tblInd w:w="0" w:type="dxa"/>
        <w:tblLayout w:type="fixed"/>
        <w:tblCellMar>
          <w:top w:w="28" w:type="dxa"/>
          <w:left w:w="28" w:type="dxa"/>
          <w:bottom w:w="28" w:type="dxa"/>
          <w:right w:w="28" w:type="dxa"/>
        </w:tblCellMar>
      </w:tblPr>
      <w:tblGrid>
        <w:gridCol w:w="3886"/>
        <w:gridCol w:w="146"/>
        <w:gridCol w:w="196"/>
        <w:gridCol w:w="601"/>
        <w:gridCol w:w="146"/>
        <w:gridCol w:w="146"/>
        <w:gridCol w:w="196"/>
        <w:gridCol w:w="601"/>
        <w:gridCol w:w="146"/>
        <w:gridCol w:w="146"/>
        <w:gridCol w:w="196"/>
        <w:gridCol w:w="601"/>
        <w:gridCol w:w="166"/>
        <w:gridCol w:w="146"/>
        <w:gridCol w:w="193"/>
        <w:gridCol w:w="678"/>
        <w:gridCol w:w="56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SGT-601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for the six months ended June 30, 2026 were $90.4 million, compared to $63.3 million for the six months ended June 30, 2025. The increase of $27.1 million in research and development expenses was primarily due to a $25.8 million increase in costs for SGT-003 primarily related to manufacturing and clinical costs, a $6.5 million increase in personnel related expenses, and a $3.7 million increase in costs for SGT-212 primarily related to clinical costs and license and milestone payments, partially offset by a $4.4 million decrease in costs for SGT-501 primarily related to lower license and milestone payments and manufacturing and research costs, a $3.9 million decrease in costs for SGT-601 related to lower manufacturing and research costs, and a $1.0 million decrease in external expenses primarily related to overhead costs.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$24.3 million for the six months ended June 30, 2026, compared to $18.4 million for the six months ended June 30, 2025. The increase of $5.9 million was primarily related to a $4.1 million increase in personnel related costs, a $0.8 million increase in informational technology equipment and related costs, a $0.8 million increase in consulting services, and a $0.4 million increase in other operating expenses, partially offset by a $0.6 million decrease in legal fees.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net was $3.2 million for the six months ended June 30, 2026 compared to $3.0 million for the six months ended June 30, 2025. The increase of $0.2 million is attributable to lower interest expense on finance leases which terminated during the fourth quarter of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financed our operations primarily through the sale of securities in private placements and follow-on offerings, the sale of common stock in our initial public offering, and sales of common stock under our “at-the-market offering” sales agreement with Jefferies LLC (“Jefferies”) (the “ATM Sales Agreement”). Through June 30, 2026, we raised an aggregate of $144.6 million of gross proceeds from our sales of preferred units prior to the completion of our initial public offering, and an aggregate of $1.2 billion of net proceeds from the sale of our common stock through public offerings, including our IPO and follow-on public offerings, private placements, the ATM Sales Agreement, and pursuant to the stock purchase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13, 2019, we entered into the ATM Sales Agreement, which was amended and restated in March 2024, under which we may offer and sell, from time to time, shares of our common stock through Jefferies as sales agent. Any such sales being made by any method that is deemed an “at-the-market offering” as defined in Rule 415 promulgated under the Securities Act. We will pay Jefferies a commission of up to 3% of the gross proceeds of any sales of common stock pursuant to the ATM Sales Agreement. During the year ended December 31, 2025, we sold 891,414 shares pursuant to the ATM Sales Agreement resulting in net proceeds of $5.1 million. During the six months ended June 30, 2026, we sold 8,515,987 shares pursuant to the ATM Sales Agreement resulting in net proceeds of $60.8 million. In July 2026, the Company sold 2,012,500 shares of its common stock, pursuant to its ATM Sales Agreement for net proceeds of $15.7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19, 2025, we issued and sold in an underwritten offering (the “February 2025 Offering”), 35,739,810 shares of our common stock at a price of $4.03 per share and, to certain investors in lieu of shares of common stock, pre-funded warrants to purchase 13,888,340 shares of common stock at a price of $4.029 per pre-funded warrant. We received approximately $188.0 million of net proceeds from the February 2025 Offering, after deducting underwriting discounts and commissions and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we issued and sold 14,973,257 shares of our common stock at a price of $5.61 per share, and, to certain investors in lieu of shares of common stock, pre-funded warrants to purchase 27,807,482 shares of its common stock at a price of $5.609 per pre-funded warrant, (the “March 2026 Private Placement”). We received approximately $226.3 million of aggregate net proceeds from the March 2026 Private Placement, after deducting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available-for-sale securities of $377.7 million, excluding restricted cash of $1.3 million, and had no outstanding debt.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 (in thousands):</w:t>
      </w:r>
    </w:p>
    <w:p>
      <w:pPr>
        <w:pStyle w:val="TextBody"/>
        <w:bidi w:val="0"/>
        <w:jc w:val="left"/>
        <w:rPr/>
      </w:pPr>
      <w:r>
        <w:rPr/>
        <w:t> </w:t>
      </w:r>
    </w:p>
    <w:tbl>
      <w:tblPr>
        <w:tblW w:w="6994" w:type="dxa"/>
        <w:jc w:val="left"/>
        <w:tblInd w:w="0" w:type="dxa"/>
        <w:tblLayout w:type="fixed"/>
        <w:tblCellMar>
          <w:top w:w="28" w:type="dxa"/>
          <w:left w:w="28" w:type="dxa"/>
          <w:bottom w:w="28" w:type="dxa"/>
          <w:right w:w="28" w:type="dxa"/>
        </w:tblCellMar>
      </w:tblPr>
      <w:tblGrid>
        <w:gridCol w:w="4371"/>
        <w:gridCol w:w="146"/>
        <w:gridCol w:w="196"/>
        <w:gridCol w:w="691"/>
        <w:gridCol w:w="166"/>
        <w:gridCol w:w="146"/>
        <w:gridCol w:w="196"/>
        <w:gridCol w:w="691"/>
        <w:gridCol w:w="39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188,127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operating activities used $99.8 million of cash, primarily resulting from our net loss of $111.5 million and changes in our operating assets and liabilities of $1.6 million, partially offset by non-cash charges of $13.4 million. Net cash used by changes in our operating assets and liabilities during the six months ended June 30, 2026 consisted of a decrease in accrued expenses and other liabilities of $1.4 million, a decrease in the operating lease liability of $1.0 million, and an increase in prepaid expenses and other assets of $0.3 million, offset by an increase in accounts payable of $1.1 million. Non-cash activities were driven by equity-based compensation of $10.8 million, a change in the fair value of derivative liabilities of $2.5 million, non-cash lease expense of $1.3 million, and depreciation and amortization expense of $0.8 million, partially offset by amortization of discount on available-for-sale securities of $2.0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operating activities used $69.3 million of cash, primarily resulting from our net loss of $78.8 million partially offset by changes in our operating assets and liabilities of $0.7 million and non-cash charges of $10.2 million. Net cash used by changes in our operating assets and liabilities during the six months ended June 30, 2025 consisted of an increase in prepaid expenses and other assets of $2.1 million, a decrease in the operating lease liability of $0.8 million, offset by an increase in accrued expenses and other liabilities of $1.7 million, and an increase in accounts payable of $0.5 million. Non-cash activities were driven by equity-based compensation of $6.5 million, a change in the fair value of derivative liabilities of $2.6 million, non-cash lease expense of $1.2 million, and depreciation and amortization expense of $0.8 million, partially offset by amortization of available-for-sale securities of $0.8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investing activities used $88.8 million of cash, resulting from purchases of available-for-sale securities of $235.4 million and the purchases of property plant and equipment of $0.3 million, partially offset by the maturities of available-for-sale securities of $146.9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investing activities used $60.2 million of cash, resulting from the purchases of available-for-sale securities of $128.8 million and the purchases of property plant and equipment of $0.5 million, partially offset by the maturity of available-for-sale securities of $69.0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financing activities provided $287.5 million of cash, primarily resulting from the net proceeds from the issuance and sale of common stock and pre-funded warrants to purchase shares of common stock in the March 2026 Private Placement of $226.3 million, the sale of common stock in the ATM of $60.8 million, and proceeds from the issuance of $0.3 million of shares of common stock under the Company’s Amended and Restated 2021 Employee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financing activities provided $188.1 million of cash, resulting from the net proceeds from the issuance and sale of common stock and pre-funded warrants to purchase shares of common stock of $188.2 million, and proceeds from the issuance of $0.2 million of shares of common stock under the Company's ESPP.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substantially in connection with our ongoing development activities related to our Candidates. In addition, we have incurred and expect to continue to incur costs associated with operating as a public company. We expect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 participants in our INSPIRE DUCHENNE, IMPACT DUCHENNE, FALCON and ARTEMIS trials and advance clinical development of SGT-003, SGT-212 and SGT-501;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our other Candidates into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research and preclinical development of our Candidates and adjacent technologies such as assays;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engage in regulatory interactions with the FDA and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regulatory filings relating to the development of our Candidates and seek marketing approvals for our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scale up our manufacturing processes and arrange manufacturing for larger quantities of our Candidates for preclinical and clinical development and potential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and retain additional clinical, quality control and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out new facilities or expand existing facilities to support our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drugs, drug candidates, technologies and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available-for-sale securities of $377.7 million, excluding restricted cash of $1.3 million. Based on our current operating plan, we believe that our cash, cash equivalents and available-for-sale securities as of June 30, 2026 will be sufficient to fund our operating expenses and capital requirements into mid-2028. As a result, in order to continue to operate our business beyond that time, we will need to raise additional funds. However, there can be no assurance that we will be able to generate funds on terms acceptable to us, on a timely basis, or at all. In addition, we have based this estimate on assumptions that may prove to be wrong, and we could use our available capital resources sooner than we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numerous risks and uncertainties associated with the development of our Candidates and because the extent to which we may enter collaborations with third parties for development of our Candidates is unknown, we are unable to estimate the timing and amounts of increased capital outlays and operating expenses associated with completing the research and development of our Candidates.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and results of the INSPIRE DUCHENNE, IMPACT DUCHENNE, FALCON and ARTEMIS trials and any future clinical trials of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discovery, laboratory testing, manufacturing, preclinical development and clinical trials for our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and use of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 of our Candidates, should any of our Candidates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defending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any lawsuits filed against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our current and any future license agreements and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additional strategic collaborations, licensing or other arrangements and the financial terms of such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payment or receipt of milestones, royalties and other collaboration-based revenues,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candidates, technologies and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as we need to adapt our business in response to public health emergencies or pandemics and collateral consequences related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supplying, and expect to continue to supply, our ongoing and future preclinical and clinical development programs with drug product produced at a current GMP compliant facility located at one of our CDMOs. We intend to establish the capability and capacity to supply Candidates at commercial scale from multiple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preclinical studies and clinical trials, is a time-consuming, expensive and uncertain process that takes years to complete, and we may never generate the necessary data or results required to obtain marketing approval for any Candidates or generate revenue from the sale of any products for which we may obtain marketing approval. In addition, our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Adequate additional funds may not be available to us on acceptable terms, or at all. We do not currently have any committed external source of funds. To the extent that we raise additional capital through the sale of equity securities, our existing stockholders’ ownership interest may be diluted. Any debt or preferred equity financing, if available, may involve agreements that include restrictive covenants that may limit our ability to take specific actions, such as incurring additional debt, making capital expenditures or declaring dividends, which could adversely impact our ability to conduct our business, and may require the issuance of warrants, which could potentially dilute existing stockholders’ ownership interests.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raise additional funds through licensing agreements and strategic collaborations with third parties, we may have to relinquish valuable rights to our technology, future revenue streams, research programs, or Candidates or grant licenses on terms that may not be favorable to us. If we are unable to raise additional funds, we may be required to delay, limit, reduce and/or terminate development of our Candidates or any future commercialization efforts or grant rights to develop and market Candidates that we would otherwise prefer to develop and market ourselves.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there were no material changes to our contractual obligations and commitments from those described in “Management’s Discussion and Analysis of Financial Condition and Results of Operations” in our Annual Report on Form 10-K for the fiscal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significant recent accounting pronouncements that we expect to adopt is included in Note 1 – Nature of the Business and Basis of Presentation to our condensed consolidated financial statements (See Part I, Item 1 – Financial Statements, of this Quarterly Report on Form 10-Q).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in the rules and regulations of the SEC.</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 related to changes in interest rates. As of June 30, 2026, our cash equivalents consisted of money market funds and treasury bills that have contractual maturities of less than 90 days from the date of acquisition. As of June 30, 2026, our investments consisted of treasury bills and government bonds that have contractual maturities of less than one year. Our primary exposure to market risk is interest income sensitivity, which is affected by changes in the general level of U.S. interest rates. However, because of the short-term nature of our portfolio, an immediate 10% change in market interest rates would not have a material impact on the fair market value of our investment portfolio or on our financial position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generally affects us by increasing our cost of labor and research, manufacturing and development costs. We do not believe that inflation had a material effect on our business, financial condition or results of operations in the last two years. However, our operations may be adversely affected by inflation in the future. </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President and Chief Executive Officer and our Chief Financial Officer (our principal executive officer and principal financial and accounting officer, respectively),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disclosure controls and procedures, no matter how well designed and operated, can provide only reasonable, not absolute, assurance that the objectives of the disclosure controls and procedures are met. Additionally, in designing disclosure controls and procedures, our management necessarily applies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 Based on the evaluation of our disclosure controls and procedures as of June 30, 2026, our President and Chief Executive Officer and our Chief Financial Officer concluded that, as of such date, our disclosure controls and procedures were designed and operating effectively.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that have occurred during the three months ended June 30, 2026 that have materially affected, or are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othe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6" w:name="item_1a_risk_factors"/>
      <w:bookmarkEnd w:id="16"/>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following risk factors, in addition to the other information contained in this Quarterly Report on Form 10-Q,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Quarterly Report on Form 10-Q occurs, our business, operating results and financial condition could be seriously harmed and the trading price of our common stock could decline.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 The risks and uncertainties described below are not the only ones we face. Additional risks not presently known to us or other factors not perceived by us to present significant risks to our business at this time also may impair our business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that if realized could materially affect our business, operating results and financial condition and the trading price of our common stock could decline. These risks are discussed more fully below. These risks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since inception and anticipate that we will continue to incur net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generated revenue from product sales and do not expect to do so for the foreseeable future, if ever.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may make it difficult for our stockholders to evaluate the success of our business to date and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global economic or geopolitical conditions could harm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pipeline of gene transfer candidates, which we refer to collectively as our Candidates, utilize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prior clinical trials had been placed on clinical hold by the FDA in the past, and we cannot guarantee that similar events will not happen in ongoing, planned and future clinical trials for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completed a clinical trial and may be unable to do so for any Candidate, including SGT-003, SGT</w:t>
        <w:noBreakHyphen/>
        <w:t>212, SGT-501 and other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Candidates may cause one or more adverse events or other undesirable side effects or have properties that could cause us or regulatory authorities to interrupt, delay or halt clinical trials and could result in a more restrictive label or the delay, denial or withdrawal of regulatory approval by the FDA or other comparable foreign regulatory authorities, limit the Candidates commercial potential or result in significant negative consequences following any potential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in preclinical studies or early clinical trials may not be indicative of results obtained in later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Preliminary or interim data that we announce or publish from time to time may change as more data becomes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substantial delays in our clinical trials or we may fail to demonstrate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it difficult to enroll participants in our clinical trials, which could delay or prevent us from proceeding with clinical trials of SGT-003, SGT-212, SGT-501 or our other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complete the necessary clinical trials, we cannot predict when, or if, we will obtain regulatory approval to commercialize our Candidates and the approval may be for a narrower indication than we seek.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regulatory and/or clinical trial strategy, baseline eligibility criteria or make other modifications to clinical trial designs.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finding strategic collaborators for continuing development of our Candidates or platform technologies, or for successfully commercializing or competing in the market for certain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gene therapy manufacturing experience and could experience production problems and delays in obtaining regulatory approval of our manufacturing processes, which could result in delays in the development or commercialization of SGT-003, SGT-212, SGT-501, or our other Candidates. In addition, changes to manufacturing sites or processes, or formulations for our Candidates may result in additional cost or delay.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utilize third parties to conduct our product manufacturing for the foreseeable future. Therefore, we are subject to the risk that these third parties may not perform satisfactorily or meet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Candidates and adversely affect our ability to conduct our business or obtain regulatory approvals for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has been, and in the future is likely to be, volatile and fluctuate substantially, which could result in substantial losses for holders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Financial Position and Need for Capital Requirements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net losses since inception and anticipate that we will continue to incur net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net losses. Our net losses were $111.5 million and $78.8 million for the six months ended June 30, 2026 and 2025, respectively. As of June 30, 2026, we had an accumulated deficit of $1.1 billion. Prior to our acquisition of AavantiBio, Inc. in December 2022 (the “Acquisition”) we devoted substantially all of our efforts to research and development, including clinical development of SGT-001, which we are no longer developing, and preclinical development of SGT</w:t>
        <w:noBreakHyphen/>
        <w:t>003, as well as to building out our management team and infrastructure. Following the Acquisition, we have devoted our efforts to the research and development of our other Candidates, including clinical development of SGT</w:t>
        <w:noBreakHyphen/>
        <w:t>003, SGT</w:t>
        <w:noBreakHyphen/>
        <w:t>212 and SGT-501, as well as building out our management team. We expect that it could be several years before we have a commercialized product, and we may never have a commercialized product. We expect to incur significant expenses and operating losses for the foreseeable future.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enroll participants in our INSPIRE DUCHENNE, IMPACT DUCHENNE, FALCON and ARTEMIS trials and advance clinical development of SGT-003, SGT-212 and SGT-501;</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other Candidates into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research and preclinical development of our Candidates and adjacent technologies such as assays;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regulatory interactions with the FDA and other regulatory authorities;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submit regulatory filings relating to the development of our Candidates and seek marketing approvals for our Candidates that successfully complete clinical trials,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scale up our manufacturing processes and arrange manufacturing for larger quantities of our Candidates for preclinical and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protect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and retain additional clinical, quality control and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out new facilities or expand existing facilities to support our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drugs, drug candidates, technologies and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achieve or maintain profitability. To become and remain profitable, we must develop and eventually commercialize one or more Candidates with significant market potential. This will require us to be successful in a range of challenging activities, and our expenses will increase substantially as we enroll participants in and conduct the INSPIRE DUCHENNE, IMPACT DUCHENNE, FALCON and ARTEMIS trials and continue to develop our pipeline and complete ongoing and planned preclinical studies and clinical trials of our Candidates, obtain marketing approval for our Candidates, develop adjacent technologies such as assays, develop and validate commercial-scale manufacturing processes, manufacture, market and sell any future Candidates for which we may obtain marketing approval and satisfy any post-marketing requirements. Moreover, the manufacturing process requires materials which may fluctuate in cost or be limited or unavailable to us, as well as relationships with contract development and manufacturing organizations (“CDMOs”) to facilitate the manufacturing process. We may never succeed in any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stockholders to lose all or part of their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conduct clinical trials of, and seek marketing approval for our Candidates. In addition, if we obtain marketing approval for our Candidates, we expect to incur significant expenses related to product sales, marketing, manufacturing and distribution. We also expect to continue to incur additional costs associated with operating as a public company. While we believe that our cash, cash equivalents and available-for-sale securities as of June 30, 2026 will be sufficient to fund our operating expenses and capital requirements into mid-2028, we have based this estimate on assumptions that may prove to be wrong, and we could use our available capital resources sooner than we currently anticipate. In order to continue to operate our business beyond that time, we will need to raise additional funds. However, there can be no assurance that we will be able to generate funds on terms acceptable to us, on a timely basis, or at all. In addition, we anticipate that we will need additional funding to complete the development of our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and results of the INSPIRE DUCHENNE, IMPACT DUCHENNE, FALCON and ARTEMIS trials and any future clinical trials of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discovery, laboratory testing, manufacturing, preclinical development and clinical trials for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and use of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 of our Candidates, should any of our future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defending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lawsuits filed against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our current and any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additional strategic collaborations, licensing or other arrangements and the financial terms of such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payment or receipt of milestones, royalties and other collaboration-based revenues,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candidates, technologies and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and as we need to adapt our business in response to public health emergencies or pandemics and collateral consequences related thereto.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potential candidates and conducting preclinical testing and clinical trials is a time-consuming, expensive and uncertain process that takes years to complete, and we may never generate the necessary data or results required to submit a Biologics License Application (“BLA”) or obtain marketing approval and achieve product sales. In addition, our Candidates, if approved, may not achieve commercial success. Our product revenue, if any, will be derived from or based on sales of our Candidates that may not be commercially available for many years, if at all. Accordingly, we will need to continue to rely on additional financing to achieve our business objectives. Adequate additional financing may not be available to us on acceptable terms, or at all, and may be impacted by the economic climate and market conditions. Our ability to raise additional funds may be adversely impacted by general economic conditions, both inside and outside the U.S., including disruptions to, and instability and volatility in, the credit and financial markets in the U.S. and worldwide, heightened inflation, interest rate and currency rate fluctuations, global trade programs, tariffs and economic slowdown or recession as well as concerns related to public health emergencies or pandemics and geopolitical events, including civil or political unrest. In addition, market instability and volatility, high levels of inflation and interest rate fluctuations may increase our cost of financing or restrict our access to potential sources of future liquidity. Alternatively, we may seek additional capital due to favorable market conditions or strategic considerations, even if we believe we have sufficient funds for our current or future operating plans.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ownership of our common stock will be diluted and the terms may include liquidation or other preferences that adversely affect the rights of our current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Candidates, or grant licenses on terms unfavorable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do not expect to do so for the foreseeable future, if ever.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product sales and achieve profitability depends on our ability, alone or with collaborative partners, to successfully complete the development of, and obtain the regulatory approvals necessary to commercialize our Candidates. We do not anticipate generating revenue from product sales for the foreseeable future, if ever. Our ability to generate future revenue from product sales depends heavily on our success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research and development of our Candidates in a timely and successful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and obtaining regulatory and marketing approvals for any of our Candidates for which we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Candidates for which we obtain regulatory and marketing approval by establishing a sales force and marketing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enhancing a commercially viable, sustainable, scalable, reproducible and transferable manufacturing process for our Candidates that is compliant with Current Good Manufacturing Practices (“cGMPs”);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in terms of cost, amount and quality, products and services to support clinical development and the commercial demand for our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if and when approved, of our Candidates as a viable treatment option by patients, the medical community and third-party payors;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coverage and adequate reimbursement by government and third-party payors for our Candidates both in the U.S.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under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enforcing and expanding our portfolio of intellectual property rights, including patents, trademarks,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intellectual property infringement, misappropriation and other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limited operating history may make it difficult for our stockholders to evaluate the success of our business to date and to assess our future viability.</w:t>
      </w:r>
    </w:p>
    <w:p>
      <w:pPr>
        <w:pStyle w:val="TextBody"/>
        <w:bidi w:val="0"/>
        <w:spacing w:before="120" w:after="283"/>
        <w:jc w:val="left"/>
        <w:rPr>
          <w:rFonts w:ascii="Times New Roman" w:hAnsi="Times New Roman"/>
          <w:sz w:val="20"/>
        </w:rPr>
      </w:pPr>
      <w:r>
        <w:rPr>
          <w:rFonts w:ascii="Times New Roman" w:hAnsi="Times New Roman"/>
          <w:color w:val="000000"/>
          <w:sz w:val="20"/>
        </w:rPr>
        <w:t>Our operations to date have been limited to organizing and staffing our company, business planning, raising capital, acquiring rights to our technology, conducting research and development activities, establishing research and development collaborations, identifying and acquiring Candidates, establishing manufacturing arrangements, undertaking preclinical studies and clinical trials, and licensing of our POLARIS-101</w:t>
      </w:r>
      <w:r>
        <w:rPr>
          <w:rFonts w:ascii="Times New Roman" w:hAnsi="Times New Roman"/>
          <w:color w:val="000000"/>
          <w:sz w:val="13"/>
        </w:rPr>
        <w:t>TM</w:t>
      </w:r>
      <w:r>
        <w:rPr>
          <w:rFonts w:ascii="Times New Roman" w:hAnsi="Times New Roman"/>
          <w:color w:val="000000"/>
          <w:sz w:val="20"/>
        </w:rPr>
        <w:t xml:space="preserve"> capsid. As a company, we have limited experience in clinical development. We have not yet demonstrated the ability to complete clinical trials of any Candidate, obtain marketing approvals, manufacture at commercial-scale or conduct sales and marketing activities necessary for successful commercialization. Consequently, any predictions our stockholders make about our prospects may not be as accurate as they could be if we had a longer operating history or prior experience integrating acquired businesses into our existing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or geopolitical conditions could harm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harmed by general conditions in the global economy and in the global financial markets or by geopolitical conditions. A severe or prolonged economic downturn, including the impact of increased interest rates and inflation, and global trade programs and tariffs, could result in a variety of risks to our business, including weakened demand for our Candidates and our ability to raise additional capital when needed on acceptable terms, if at all. A weak or declining economy could strain our manufacturers, possibly resulting in manufacturing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hold a portion of our cash and cash equivalents that we use to meet our working capital and operating expense needs in deposit accounts that could be adversely affected if the financial institutions holding such funds fail.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hold a portion of our cash and cash equivalents that we use to meet our working capital and operating expense needs in deposit accounts at multiple financial institutions. The balance held in these accounts may exceed the Federal Deposit Insurance Corporation (“FDIC”) standard deposit insurance limit of $250,000.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including payroll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on March 10, 2023, Silicon Valley Bank (“SVB”) and Signature Bank, were closed by state regulators and the FDIC was appointed receiver for each bank. The FDIC created successor bridge banks and all deposits of SVB and Signature Bank were transferred to the bridge banks under a systemic risk exception approved by the United States Department of the Treasury, the Federal Reserve and the FDIC. If financial institutions in which we hold funds for working capital and operating expenses were to fail, we cannot provide any assurances that such governmental agencies would take action to protect our uninsured deposits or investments in a similar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maintain investment accounts with other financial institutions in which we hold our investments and marketable securities and, if access to the funds we use for working capital and operating expenses is impaired, we may not be able to sell investments or transfer funds from our investment accounts to other operating accounts on a timely basis sufficient to meet our operating expense obligations.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Development of our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pipeline of gene transfer Candidates utilize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on our successful development of our Candidates. Our risk of failure is high. We had experienced problems and delays in developing SGT-001, which we are no longer developing, and may in the future experience problems or delays in developing our Candidates. Any such problems or delays would cause unanticipated costs, and any development problems may not be solved. For example, we or another party may uncover a previously unknown risk associated with our Candidates, the AAV capsid, construct or other issues resulting in toxicity or lack of efficacy that may be more problematic than we currently believe and this may prolong the period of observation required for obtaining, or result in the failure to obtain, regulatory approval or may necessitate additional clinical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ability to conduct and complete our preclinical development testing and studies is contingent on our ability to source animals and other supplies required for the conduct of such testing and studies and the performance of animal models. If we are unable to obtain all necessary animals and other supplies required for the conduct of our preclinical testing and studies, or the animal models do not perform as expected, we may be unable to complete such preclinical development testing and studies in a timely manner or at all. For example, some of our IND-enabling toxicology and other studies require certain non-human primates ("NHPs") that may be imported from countries in which trade relation with the U.S. are or may become challenging or through vendors who may not be able to timely source certain NHPs or at all, which may impair our ability to complete preclinical development testing and studies to support IND or similar applications or delay submission of such applications. Additionally, we may fail to demonstrate adequate Candidate efficacy and/or safety as required by regulatory authorities. We may fail to access relevant, adequate, or necessary animal models, including genetic models of disease and NHPs in particular, for use in such studies as requested by regulatory authorities. We may also experience substantial delays as a result of our reliance on contract research organizations (“CROs”) to conduct all animal model experimentation necessary to assess the efficacy and safety of our Candidates. Any of these factors may result in delays to Candidate progression, inability to obtain regulatory approval, and/or substantial increases in Candidate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product specifications and the clinical trial requirements of the FDA, the European Commission, the European Medicines Agency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product candidates. To our knowledge, only a limited number of gene transfer products have been approved for commercialization in the United States and the European Union. As a result, it is difficult to determine how long it will take or how much it will cost to obtain regulatory approvals for our gene transfer Candidates in either the United States or the European Union, if at all. Approvals by the European Commission may not be indicative of what the FDA may require for approval and vice versa.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Candidates may cause undesirable side effects or have other properties that could delay or prevent their clinical development, regulatory approval, limit their commercial potential or result in significant negative consequences following any potential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conduct of clinical trials, participants may experience changes in their health, including illnesses, injuries, discomforts or a fatal outcome. Often, it is not possible to determine whether the Candidate being studied caused these conditions. For instance, we reported a serious adverse event in IGNITE DMD, which resulted in a clinical hold in November 2019, which has since been resolved. In April 2021, a participant treated with SGT-001 in IGNITE DMD experienced a systemic inflammatory response classified as a serious adverse event and considered by the investigator to be drug related. In addition, there have been two previously disclosed treatment-related serious adverse events in the INSPIRE DUCHENNE trial. Both events were reviewed by the data and safety monitoring board with the recommendation to continue dosing without interruption, and both events have resolved; however, we cannot guarantee that similar events will not happen in ongoing and future clinical trials of SGT-003.</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it is possible that as we test Candidates in larger, longer and more extensive clinical programs, or as use of these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trials or, in some cases, after they are made available to patients on a commercial scale after approval. If additional clinical experience indicates that a Candidate has side effects or causes serious or life-threatening side effects, the development of the Candidate may fail or be delayed, or, if the Candidate has received regulatory approval, such approval may be withdrawn.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several significant adverse side effects in gene therapy treatments in the past, including reported cases of leukemia and death seen in other clinical trials. The FDA convened the Cellular, Tissue, and Gene Therapies Advisory Committee in September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2021 to discuss toxicity risks of AAV based gene therapy products and discussed risks including oncogenicity risks due to capsid genome integration, hepatotoxicity, thrombotic microangiopathy, and neurotoxicity (especially related to dorsal root ganglion toxicity). While new recombinant capsids have been developed with the intent to reduce these side effects, gene therapy is still a relatively new approach to disease treatment and additional adverse side effects could develop. There have been reports of significant adverse side effects, including muscle weakness, myocarditis, and acute liver injury, in clinical trials of other gene therapy treatments for Duchenne that may be related to the type and location of the specific gene mutation causing the disease. In another gene therapy treatment, there have been reports of AAV mediated acute liver failure leading to death in non-ambulatory boys with Duchenne in the setting of commercially available product. There also is the potential risk of delayed adverse events following exposure to gene therapy products due to persistent biologic activity of the genetic material or other components of products used to carry the genetic material. Possible adverse side effects that may occur with treatment with gene therapy products include an immunologic reaction early after administration that could substantially limit the effectiveness of the treatment or represent safety risks for patients. Additionally, in previous clinical trials involving AAV capsids for gene therapy, some subjects experienced the development of a positive ELISPOT test associated with T</w:t>
        <w:noBreakHyphen/>
        <w:t>cell responses, which is of unclear clinical translatability. If T-cells are activated, the cellular immune response system may trigger the removal of transduced cells. If our gene transfer Candidates demonstrate a similar effect or other undesirable side effects, we may decide or be required to halt or delay further clinical development of our Candidates involving AAV capsids for gene therapy.</w:t>
      </w:r>
    </w:p>
    <w:p>
      <w:pPr>
        <w:pStyle w:val="TextBody"/>
        <w:bidi w:val="0"/>
        <w:spacing w:before="120" w:after="283"/>
        <w:jc w:val="left"/>
        <w:rPr>
          <w:rFonts w:ascii="Times New Roman" w:hAnsi="Times New Roman"/>
          <w:sz w:val="20"/>
        </w:rPr>
      </w:pPr>
      <w:r>
        <w:rPr>
          <w:rFonts w:ascii="Times New Roman" w:hAnsi="Times New Roman"/>
          <w:color w:val="000000"/>
          <w:sz w:val="20"/>
        </w:rPr>
        <w:t>Adverse side effects may be observed following administration of any AAV gene therapy, including SGT-003 or other Candidates. Not all contemplated AAV delivery systems have been validated in human clinical trials previously, such as POLARIS-101</w:t>
      </w:r>
      <w:r>
        <w:rPr>
          <w:rFonts w:ascii="Times New Roman" w:hAnsi="Times New Roman"/>
          <w:color w:val="000000"/>
          <w:sz w:val="13"/>
        </w:rPr>
        <w:t>TM</w:t>
      </w:r>
      <w:r>
        <w:rPr>
          <w:rFonts w:ascii="Times New Roman" w:hAnsi="Times New Roman"/>
          <w:color w:val="000000"/>
          <w:sz w:val="20"/>
        </w:rPr>
        <w:t>, which is a novel capsid. If a delivery system does not meet the safety criteria or cannot provide the desired efficacy results, then we may be forced to suspend or terminate our development of SGT-003 or other Candidates. If certain adverse side effects were to occur in the future and we are unable to demonstrate that they were not caused by the administration process or related procedures, the FDA, the European Commission, the EMA or other regulatory authorities could order us to cease further development of, or deny approval of, SGT-003 or other Candidates for any or all targeted indications. Even if we are able to demonstrate that any serious adverse events are not product-related, such occurrences could affect participant recruitment or the ability of enrolled participants to complete the clinical trial. Participants will also create antibodies to the AAV capsid and a second administration of gene transfer might not be safe or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one or more of our Candidates receive marketing approval, the FDA could require us to adopt a Risk Evaluation and Mitigation Strategy (“REMS”) to ensure that the benefits outweigh the risks, which may include, among other things, a medication guide outlining the risks of the product for distribution to patients and a communication plan to health care practitioners. Furthermore, if we or others later identify undesirable side effects caused by our Candidates,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suspend or withdraw approvals of such a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a Candidate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One of our prior clinical trials had been placed on clinical hold by the FDA in the past, and we cannot guarantee that similar events will not happen in ongoing, planned and future clinical trials for our Candidates.</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2019, the FDA placed a clinical hold on our clinical trial of SGT-001 following a serious adverse event in IGNITE DMD. The third participant in the 2E14 vg/kg cohort of IGNITE DMD, dosed in late October 2019, experienced a serious adverse event deemed related to the study drug that was characterized by complement activation, thrombocytopenia, decrease in red blood cell count, acute kidney injury, and cardio-pulmonary insufficiency. In April 2021, an eighth participant was treated with SGT-001. The participant experienced a systemic inflammatory response which has since fully resolved. The event was classified as a serious adverse event and considered by the investigator to be drug related. While SGT-003 utilizes POLARIS-101</w:t>
      </w:r>
      <w:r>
        <w:rPr>
          <w:rFonts w:ascii="Times New Roman" w:hAnsi="Times New Roman"/>
          <w:color w:val="000000"/>
          <w:sz w:val="13"/>
        </w:rPr>
        <w:t>TM</w:t>
      </w:r>
      <w:r>
        <w:rPr>
          <w:rFonts w:ascii="Times New Roman" w:hAnsi="Times New Roman"/>
          <w:color w:val="000000"/>
          <w:sz w:val="20"/>
        </w:rPr>
        <w:t xml:space="preserve"> , a different capsid than was utilized in SGT-001, and includes other changes to the construct and manufacturing process to help avoid or mitigate any such events, we cannot guarantee that similar serious adverse events or clinical holds will not happen in ongoing and future clinical trials of SGT-003. We also cannot guarantee that similar serious adverse events or clinical holds will not happen in planned and future clinical trials of any of our other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completion of, or our inability to conduct, any clinical trial of SGT-003 or any other Candidate, as a result of similar serious adverse events or clinical holds or otherwise, will increase our costs, slow down or cease our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SGT-003 or other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completed a clinical trial and may be unable to do so for any Candidate, including SGT-003, SGT-212, SGT-501 and other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and we have never completed a clinical trial. We are conducting our INSPIRE DUCHENNE trial of SGT-003, our IMPACT DUCHENNE trial of SGT-003, our FALCON trial of SGT-212 and our ARTEMIS trial of SGT-501. Our other current Candidates are still in the preclinical and discovery stages of development. Preclinical studies involve a lengthy and expensive process with an uncertain outcome. There are many potential preclinical models to test for different disease states, and we could fail to choose the best or a predictive preclinical model to determine proof of concept and potential safety and efficacy of our Candidates. We may decide to suspend further testing on our Candidates or technologies if, in the judgment of our management and advisors, the preclinical test results do not support further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successfully initiate our planned clinical trials and complete our ongoing clinical trials in order to obtain FDA approval to market SGT-003, SGT-212, SGT-501 and other Candidates. We have limited experience in preparing, submitting and prosecuting regulatory submissions, and have not previously submitted a BLA for any Candidate. We cannot be sure that submission of an IND will result in the FDA allowing clinical trials to begin or to begin as proposed, or that, once begun, issues will not arise that suspend or terminate such clinical trials. Carrying out later-stage clinical trials and the submission of a successful BLA is a complicated process. This may be particularly true for design of a pivotal trial for the treatment of Duchenne as the FDA has not given clear guidance as to the necessary endpoints for approval of a treatment for Duchenne. In addition, we cannot be certain how many clinical trials of SGT-003, SGT-212, SGT-501 or other Candidates will be required or how such trials should be designed. Consequently, we may be unable to successfully and efficiently execute and complete necessary clinical trials in a way that leads to BLA submission and approval of SGT-003, SGT-212, SGT-501 or other Candidates. We may require more time and incur greater costs than our competitors and may not succeed in obtaining regulatory approvals of Candidates that we develop. Failure to commence or complete, or delays in, clinical trials could prevent us from or delay us in commercializing SGT-003, SGT-212, SGT-501 and other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Success in preclinical studies or early clinical trials may not be indicative of results obtained in later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preclinical studies or early clinical trials are not necessarily predictive of results from future clinical trials and are not necessarily indicative of final results. Our preclinical studies for certain Candidates in animals have been limited. There is a high failure rate for gene therapy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studies and clinical trials are subject to varying interpretations, which may delay, limit or prevent regulatory approval. We also may experience regulatory delays or rejections as a result of many factors, including due to changes in regulatory policy during the period of our Candidate development. Our Candidates may fail to show the desired safety and efficacy in clinical development despite positive results in preclinical studies. This failure could cause us to abandon any of our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Preliminary or interim data that we announce or publish from time to time may change as more data becomes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announce or publish preliminary or interim data from clinical trials. Positive preliminary or interim data may not be predictive of such trial’s subsequent or overall results. Preliminary or interim data are subject to the risk that one or more of the outcomes may materially change as more data becomes available. Additionally, preliminary or interim data are subject to the risk that one or more of the biologic or clinical outcomes may materially change as participant enrollment continues and more participant data becomes available. Therefore, positive preliminary or interim data in any ongoing clinical trial, including the INSPIRE DUCHENNE trial, may not be predictive of such results in the completed trial. We also make assumptions, estimations, calculations and conclusions as part of our analyses of data, and we may not have received or had the opportunity to fully evaluate all data. As a result, preliminary or interim data that we report may differ from future results from the clinical trials, or different conclusions or considerations may qualify such results once additional data have been received and fully evaluated. Preliminary or interim data also remain subject to audit and verification procedures that may result in the final data being materially different from the preliminary or interim data we previously published. As a result, preliminary or interim data should be viewed with caution until the final data are available. Material adverse changes in the final data compared to preliminary or interim data could significantly harm our business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substantial delays in our clinical trials or we may fail to demonstrate safety and efficacy to the satisfaction of applicable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Candidates, we must conduct extensive clinical trials to demonstrate the safety and efficacy of the Candidate for its intended indications. Clinical testing is expensive, time consuming and uncertain as to outcome. We cannot guarantee that any clinical trials will be conducted as planned or completed on schedule, if 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 failure of one or more clinical trials can occur at any stage of testing. Events that may prevent successful or timely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obtaining animals in sufficient quantities to run our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 consensus with regulatory authorities on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with the appropriate external parties on dose escalation;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enrolling participants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on acceptable terms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opening clinical trial sites or obtaining required institutional review board or independent ethics committee approval at each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recruiting suitable subjects to participate in our clinical trials, including because such trials have restrictive eligibility criteria or may be placebo-controlled trials and participants are not guaranteed to receive treatment with our Candidates, or as a result of alternative therapies or competing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finding suitable animal models to demonstrate a disease specific phenotype;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us, any CROs we engage or any other third parties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perform in accordance with FDA good clinical practices (“GCPs”) or applicable regulatory guidelines in the European Union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testing, validation, manufacturing and delivery of our Candidates to the clinical sites, including delays by third parties with whom we have contracted to perform certain of those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subjects completing participation in a trial or returning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or subjects dropping out of a trial or withdrawing from a trial, including withdrawals of consent that limit our ability to collect follow-up safety or efficacy data, which could compromise the completeness and integrity of our clinical data, delay development, or reduce the likelihood or timing of applicable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a clinical hold by regulatory authorities as a result of a serious adverse event, or after an inspection of our clinical trial operations, trial sites or manufacturing facilities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in trials of the same class of agents conducted by other sponsors;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as a result of public health emergencies or pandemics or other global instability;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the results of any clinical trials are inconclusive or if there are safety concerns or serious adverse events associated with our Candidates,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 or halt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or fail in obtaining marketing approval for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we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changes in the way our products, if approved, are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product or impose restrictions on its distribution in the form of a modified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sued and held liable for harm caused to participants;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development costs will increase if we experience delays in testing or marketing approvals. In addition, if we make manufacturing or other changes to our Candidates, we may need to conduct additional studies to bridge our modified Candidates to earlier versions. We do not know whether any of our preclinical studies or clinical trials will begin as planned, will need to be restructured or will be completed on schedule, or at all. We may also determine to change the design or protocol of one or more of our clinical trials, which we have done in the past and which could result in delays. Significant preclinical study or clinical trial delays also could shorten any periods during which we may have the exclusive right to commercialize our Candidates or allow our competitors to bring products to market before we do and impair our ability to successfully commercialize our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third-party clinical trial vendors fail to comply with strict regulations, any clinical trials for our Candidates may be delayed or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personnel capacity to conduct or manage the clinical trials that will be necessary for the development of our Candidates. We are relying on third parties to manage, monitor and conduct our INSPIRE DUCHENNE, IMPACT DUCHENNE, FALCON and ARTEMIS trials and we expect we will rely, on third parties to assist us in managing, monitoring and conducting any planned or future clinical trials. If these third parties fail to comply with applicable regulations or do not adequately fulfill their obligations under the terms of our agreements with them, we may not be able to enter into alternative arrangements without undue delay or additional expenditures and, therefore, clinical trials for SGT-003, SGT-212, SGT-501 or other Candidates may be delayed or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FDA can be expected to inspect some or all of the clinical sites participating in our clinical trials to determine if our clinical trials are being conducted according to GCPs. If the FDA determines that these clinical sites are not in compliance with applicable regulations, we may be required to delay, repeat or terminate the clinical trials.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find it difficult to enroll participants in our clinical trials, which could delay or prevent us from proceeding with clinical trials of SGT-003, SGT-212, SGT-501 or our other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qualifying participants to participate in any clinical trials of SGT-003, SGT-212, SGT-501 and our other Candidates are critical to our success. Because of our primary focus on rare diseases, we may have difficulty enrolling a sufficient number of eligible participants. The timing of any clinical trials depends on our ability to recruit participants to participate as well as complete required follow-up periods. If participants are unwilling or unable to participate in our gene therapy clinical trials, including because of negative publicity from adverse events related to our Candidates, other approved therapies, or due to competitive clinical trials or approvals for similar participant populations, clinical trials in products employing our capsid or our platform or for other reasons, the timeline for recruiting participants, conducting clinical trials and obtaining regulatory approval of SGT-003, SGT-212, SGT-501 or other Candidates may be delayed. We may also experience delays if participants withdraw from the clinical trial or do not complete the required monitoring period. Furthermore, we may face difficulties in recruiting participants to enroll in, or once enrolled, retaining participants in future clinical trials if they or their caretakers are affected by public health emergencies or pandemics or are fearful of traveling to, or are unable to travel to, our clinical trial sites because of public health emergencies or pandemics or other unforeseen events. These delays could result in increased costs, delays in advancing SGT-003, SGT-212, SGT-501 or other Candidates, delays in testing the effectiveness of our Candidates or termination of clinical trials altogether.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identify, recruit and enroll a sufficient number of participants, or those with required or desired characteristics, to complete any clinical trials in a timely manner. Participant enrollment and trial completion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of the participant population and the process for identifying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trial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and exclusion criteria, including age, size and functional ability and pre-existing antibodies to AAV capsids that preclude subjects from being able to receive AAV-mediated gene transfer;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our ability to conduct clinical trials, including full and partial clinical holds on ongoing or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gene therapy-based approaches to the treatment of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release or disclosure of data from our completed or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competing therapies and clinical trials;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proximity and availability of clinical trial sites for prospective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obtain and maintain subject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enrolled subjects will drop out before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monitor subjects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pivotal trials, the risk that participants may opt not to enroll because they are not assured treatment with our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slow or unable to adapt to changes in existing requirements or the adoption of new requirements or policies governing clinical trials, our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participant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the President earlier in January 2025 on Diversity, Equity and Inclusion programs, the FDA removed the draft DAP guidance from its website. That action, along with similar actions by the current U.S. presidential administration to remove many other healthcare webpages, is currently the subject of ongoing litigation.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marketing applications.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plan to conduct clinical trials at sites outside the United States. The FDA may not accept data from trials conducted in such locations, and the conduct of trials outside the United States could subject us to additional delays and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conduct clinical trials, including the INSPIRE DUCHENNE, IMPACT DUCHENNE and ARTEMIS trials, with one or more trial sites that are located outside the United States. Although the FDA may accept data from clinical trials conducted at sites outside the United States, acceptance of these data is subject to conditions imposed by the FDA. For example, where data from foreign clinical trial sites are not intended to serve as the sole basis for approval in the United States, the FDA will not accept the data as support for a marketing application unless the clinical trial was well designed and conducted in accordance with GCP requirements. The FDA must also be able to validate the data from the trial through an onsite inspection, if necessary. Where data from foreign clinical trial sites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these clinical trials are subject to the applicable local laws of the jurisdictions where the trials are conducted.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conducting clinical trials outside the United States could have a significant adverse impact on us. Risks inherent in conducting international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practice patterns and standards of care that vary widely among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non-U.S. regulatory authority requirements that could restrict or limit our ability to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administrative burdens of conducting clinical trials under multiple non-U.S. regulatory authority schema;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or delays resulting from geopolitical events, such as wars.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 Clinical Trials Regulation (“CTR”) which was adopted in April 2014 and repeals the EU Clinical Trials Directive, became applicable on January 31, 2022. The CTR aims to simplify and streamline the authorization, conduct and transparency of clinical trials in the European Union. We have only recently secured authorization to conduct clinical trials in the European Union pursuant to the CTR and, accordingly, there is a risk that we may be delayed in commencing any such studies. If we are slow or unable to adapt to changes in existing requirements or the adoption of new requirements or policies governing clinical trials, our development plans may be impacted.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complete the necessary clinical trials, we cannot predict when, or if, we will obtain regulatory approval to commercialize our Candidates and the approval may be for a narrower indication than we seek.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commercialize our Candidates until the appropriate regulatory authorities have reviewed and approved the Candidate.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regulatory review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under the Pediatric Research Equity Act of 2003,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Paediatric Committee of the EMA or to obtain a waiver or deferral from the conduct of these studies by this Committee. For any of our Candidates for which we are seeking regulatory approval in the U.S. or the European Union, we cannot guarantee that we will be able to obtain a waiver or alternatively complete any required studies and other requirements in a timely manner, or at all, which could result in associated reputational harm and subject us to enforcement action, invalidation of the marketing application, and/or financial penalties. Our collaborators are also subject to similar requirements outside of the United States and the European Union and thus the attendant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regulatory approval, regulatory authorities may approve a Candidate for more limited indications than requested or they may impose significant limitations in the form of narrow indications, warnings or a REMS.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Candidates. Any of the foregoing scenarios could materially harm the commercial prospects for our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obtain regulatory approval for a Candidate, our Candidates will remain subject to regulatory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any regulatory approval for any of our Candidates, we will be subject to ongoing regulatory requirements for manufacturing, labeling, packaging, storage, advertising, promotion, sampling, record-keeping and submission of safety and other post-market information. Any regulatory approvals that we receive for our Candidates may also be subject to a REMS, limitations on the approved indicated uses for which the product may be marketed or conditions of approval, or requirements for potentially costly post-marketing testing and surveillance to monitor the safety, purity, and potency of the biologic product. Advertising and promotional materials must comply with FDA rules and are subject to FDA review, in addition to other potentially applicable federal and state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products, manufacturers or manufacturing processes, or failure to comply with regulatory requirements, may have various consequences,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and warnings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letters or untitled letters;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relationships with any potential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press coverage and damage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patients using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w:t>
        <w:noBreakHyphen/>
        <w: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did not have standing to bring this legal action against the FDA. On October 11, 2024, the Attorneys General of three states filed an amended complaint in the U.S. District Court for the Northern District of Texas challenging the FDA’s actions. On January 16, 2025, the District Court agreed to allow these states to file an amended complaint and continue to pursue this challenge. Thereafter, on September 30, 2025, the District Court declined to dismiss the case and, instead, transferred it to federal District Court in the Eastern District of Missouri. Depending on the outcome of this litigation our ability to develop new drug Candidates and to maintain approval of existing drug products could be delayed, undermined or subject to protracted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Further, similar restrictions apply to approved products in the European Union.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w:t>
        <w:noBreakHyphen/>
        <w:t>authorization studies and additional monitoring obligations; the manufacturing of authorized medicinal products, for which a separate manufacturer’s license is mandatory; and the marketing and promotion of authorized drugs, which are strictly regulated in the European Union and are also subject to EU Member State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assuming we, or our collaborators, receive marketing approval for one or more of our Candidates, we, and our collaborators, and our and their contract manufacturers will continue to expend time, money and effort in all areas of regulatory compliance, including manufacturing, production, product surveillance and quality control. If we, and our collaborators, are not able to comply with post-approval regulatory requirements,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relating to the promotion of products for unapproved uses are complex and subject to substantial interpretation by the FDA, EMA, Medicines and Healthcare products Regulatory Agency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we could be adversely affected by several significant administrative law cases decided by the U.S. Supreme Court in 2024. In </w:t>
      </w:r>
      <w:r>
        <w:rPr>
          <w:rFonts w:ascii="Times New Roman" w:hAnsi="Times New Roman"/>
          <w:i/>
          <w:color w:val="000000"/>
          <w:sz w:val="20"/>
        </w:rPr>
        <w:t>Loper Bright Enterprises v. Raimondo</w:t>
      </w:r>
      <w:r>
        <w:rPr>
          <w:rFonts w:ascii="Times New Roman" w:hAnsi="Times New Roman"/>
          <w:color w:val="000000"/>
          <w:sz w:val="20"/>
        </w:rPr>
        <w:t xml:space="preserve">, for example, the court overruled </w:t>
      </w:r>
      <w:r>
        <w:rPr>
          <w:rFonts w:ascii="Times New Roman" w:hAnsi="Times New Roman"/>
          <w:i/>
          <w:color w:val="000000"/>
          <w:sz w:val="20"/>
        </w:rPr>
        <w:t>Chevron U.S.A., Inc. v. Natural Resources Defense Council, Inc</w:t>
      </w:r>
      <w:r>
        <w:rPr>
          <w:rFonts w:ascii="Times New Roman" w:hAnsi="Times New Roman"/>
          <w:color w:val="000000"/>
          <w:sz w:val="20"/>
        </w:rPr>
        <w:t xml:space="preserve">., which for 40 years required 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the FDA, acted within its statutory authority under the Administrative Procedure Act (the “APA”). Additionally, in </w:t>
      </w:r>
      <w:r>
        <w:rPr>
          <w:rFonts w:ascii="Times New Roman" w:hAnsi="Times New Roman"/>
          <w:i/>
          <w:color w:val="000000"/>
          <w:sz w:val="20"/>
        </w:rPr>
        <w:t>Corner Post, Inc. v. Board of Governors of the Federal Reserve System</w:t>
      </w:r>
      <w:r>
        <w:rPr>
          <w:rFonts w:ascii="Times New Roman" w:hAnsi="Times New Roman"/>
          <w:color w:val="000000"/>
          <w:sz w:val="20"/>
        </w:rPr>
        <w:t xml:space="preserve">,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hAnsi="Times New Roman"/>
          <w:i/>
          <w:color w:val="000000"/>
          <w:sz w:val="20"/>
        </w:rPr>
        <w:t>Securities and Exchange Commission v. Jarkesy</w:t>
      </w:r>
      <w:r>
        <w:rPr>
          <w:rFonts w:ascii="Times New Roman" w:hAnsi="Times New Roman"/>
          <w:color w:val="000000"/>
          <w:sz w:val="20"/>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Centers for Medicare &amp; Medicaid Services (the “CMS”), that we rely on. In addition to potential changes to regulations as a result of legal challenges, these decisions may result in increased regulatory uncertainty and delays and other impacts, any of which could adversely impact our business and operations.</w:t>
      </w:r>
    </w:p>
    <w:p>
      <w:pPr>
        <w:pStyle w:val="TextBody"/>
        <w:bidi w:val="0"/>
        <w:spacing w:before="120" w:after="283"/>
        <w:jc w:val="left"/>
        <w:rPr>
          <w:rFonts w:ascii="Times New Roman" w:hAnsi="Times New Roman"/>
          <w:sz w:val="20"/>
        </w:rPr>
      </w:pPr>
      <w:r>
        <w:rPr>
          <w:rFonts w:ascii="Times New Roman" w:hAnsi="Times New Roman"/>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(“HHS”), the FDA, the Federal Trade Commission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hAnsi="Times New Roman"/>
          <w:i/>
          <w:color w:val="000000"/>
          <w:sz w:val="20"/>
        </w:rPr>
        <w:t>qui tam</w:t>
      </w:r>
      <w:r>
        <w:rPr>
          <w:rFonts w:ascii="Times New Roman" w:hAnsi="Times New Roman"/>
          <w:color w:val="000000"/>
          <w:sz w:val="20"/>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hAnsi="Times New Roman"/>
          <w:i/>
          <w:color w:val="000000"/>
          <w:sz w:val="20"/>
        </w:rPr>
        <w:t>qui tam</w:t>
      </w:r>
      <w:r>
        <w:rPr>
          <w:rFonts w:ascii="Times New Roman" w:hAnsi="Times New Roman"/>
          <w:color w:val="000000"/>
          <w:sz w:val="20"/>
        </w:rPr>
        <w:t xml:space="preserve"> suit is entitled to a share of any recovery or settlement. </w:t>
      </w:r>
      <w:r>
        <w:rPr>
          <w:rFonts w:ascii="Times New Roman" w:hAnsi="Times New Roman"/>
          <w:i/>
          <w:color w:val="000000"/>
          <w:sz w:val="20"/>
        </w:rPr>
        <w:t xml:space="preserve">Qui tam </w:t>
      </w:r>
      <w:r>
        <w:rPr>
          <w:rFonts w:ascii="Times New Roman" w:hAnsi="Times New Roman"/>
          <w:color w:val="000000"/>
          <w:sz w:val="20"/>
        </w:rPr>
        <w:t xml:space="preserve">suits, also commonly referred to as “whistleblower suits,” are often brought by current or former employees. In a </w:t>
      </w:r>
      <w:r>
        <w:rPr>
          <w:rFonts w:ascii="Times New Roman" w:hAnsi="Times New Roman"/>
          <w:i/>
          <w:color w:val="000000"/>
          <w:sz w:val="20"/>
        </w:rPr>
        <w:t xml:space="preserve">qui tam </w:t>
      </w:r>
      <w:r>
        <w:rPr>
          <w:rFonts w:ascii="Times New Roman" w:hAnsi="Times New Roman"/>
          <w:color w:val="000000"/>
          <w:sz w:val="20"/>
        </w:rPr>
        <w:t>suit, the government must decide whether to intervene and prosecute the case. If it declines, the individual may pursue the case alone.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the FDA or any other governmental agency initiates an enforcement action against us or if we are the subject of a </w:t>
      </w:r>
      <w:r>
        <w:rPr>
          <w:rFonts w:ascii="Times New Roman" w:hAnsi="Times New Roman"/>
          <w:i/>
          <w:color w:val="000000"/>
          <w:sz w:val="20"/>
        </w:rPr>
        <w:t>qui tam</w:t>
      </w:r>
      <w:r>
        <w:rPr>
          <w:rFonts w:ascii="Times New Roman" w:hAnsi="Times New Roman"/>
          <w:color w:val="000000"/>
          <w:sz w:val="20"/>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obtain and maintain approval of one or more of our Candidates from the FDA, we may never obtain approval for our Candidates outside of the United States, which would limit our market opportunities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FDA approval of one or more of our Candidates in the United States, approval of a Candidate in the United States by the FDA does not ensure approval of such Candidate by regulatory authorities in other countries or jurisdictions, and approval by one foreign regulatory authority does not ensure approval by regulatory authorities in other foreign countries or by the FDA. Future sales of our Candidates outside of the United States will be subject to foreign regulatory requirements governing clinical trials, manufacturing and marketing approval.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If we submit a marketing authorization application (“MAA”) to the EMA for approval of SGT-003, SGT-212, SGT-501 or other Candidates in the European Union, obtaining such approval from the European Commission following the opinion of the EMA is a lengthy and expensive process.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Candidates in certain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clinical trials conducted in one country may not be accepted by regulatory authorities in other countries. Also, regulatory approval for our Candidates may be withdrawn. If we fail to comply with the regulatory requirements, our target market will be reduced, and our ability to realize the full market potential of our Candidates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MHRA is responsible for approving all medicinal products destined for the UK market (i.e., Great Britain and Northern Ireland), and the EMA will no longer have any role in approving medicinal products destined for Northern Ireland. On April 28, 2025, the United Kingdom Parliament adopted amendments to improve and strengthen the United Kingdom’s clinical trials regulatory regime, which took effect on April 28, 2026. Any delay in obtaining, or an inability to obtain, any marketing authorizations, as a result of Brexit or otherwise, may force us to restrict or delay efforts to seek regulatory approval in the United Kingdom for our Candidates, which could significantly and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(including potentially reducing the duration of regulatory data protection, revising the eligibility for expedited pathways, etc.) was published on April 26, 2023, with several amendments requested in April 2024. In December 2025, the European Parliament and European Council reached a provisional political agreement on the revision of EU pharmaceutical legislation, which is expected to be adopted by late-2026. Key changes include updating regulatory data exclusivity to a new system with a regulatory data protection period of eight years and a reduced market exclusivity period of one year (which can be extended if specific conditions are fulfilled), adding launch/supply obligations, incentivizing antibiotic innovation with transferable vouchers, and streamlining approval procedures in the EU. If the legislation is finalized in line with the provisional political agreement, it will have a significant impact on the pharmaceutical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be subject to additional risks in commercializing any of our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and uncertainty surrounding U.S. and international trade policies, particularly with respect to China, may adversely impact our business and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the Trump Administration imposed a series of tariffs against U.S. trading partners pursuant to the International Emergency Economic Powers Act. On February 20, 2026, the U.S. Supreme Court ruled these tariffs unlawful. The Trump Administration immediately imposed new global tariffs pursuant to Section 122 of the Trade Act of 1974, which allows for tariffs of up to 15% for a period of up to 150 days. Pursuant to the statute, these tariffs expired on July 24, 2026. However, on July 23, 2026, the Office of the U.S. Trade Representative announced final action under Section 301 of the Trade Act of 1974 imposing new tariffs on imports from 60 trading partners based on findings that those countries had failed to adopt and effectively enforce prohibitions on imports of goods produced with forced labor. The new tariffs, set at either 10% or 12.5% depending on the country’s level of commitment to forced-labor import restrictions, took effect on July 24, 2026, and replaced the tariffs that had been imposed under Section 122.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Separately, in April 2025, the Department of Commerce announced an investigation under Section 232 of the Trade Expansion Act of 1962 into imports of pharmaceuticals and pharmaceutical ingredients, including finished products, medical countermeasures, critical inputs such as active pharmaceutical ingredients, and key starting materials, and derivative products of those items. U.S. trade policy remains subject to uncertainty and, accordingly, a host of other U.S. tariff actions remain possible.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unfavorable government policies on international trade, such as export controls, capital controls or tariffs, may increase the cost of manufacturing our product candidates and platform materials, affect the demand for our product candidates (if and once approved), the competitive position of our product candidates, and import or export of raw materials and finished product candidates used in our preclinical studies and clinical trials. We cannot yet predict the effect of the recently imposed U.S. tariffs on imports, or the extent to which other countries, in particular, China, will impose and maintain quotas, duties, tariffs, taxes or other similar restrictions upon imports or exports in the future, nor can we predict future trade policy or the terms of any renegotiated trade agreements and their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requirements governing gene therapy products are periodically updated and may continue to change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requirements governing gene therapy products have changed frequently and will likely continue to change in the future. Moreover, there is substantial, and sometimes uncoordinated, overlap in those responsible for regulation of gene therapy products. For example, in the United States, the FDA has established the Office of Therapeutic Products within the Center for Biologics Evaluation and Research (“CBER”) to consolidate the review of gene therapy and related products, and the Cellular, Tissue and Gene Therapies Advisory Committee to advise CBER on its review. Gene therapy clinical trials may also be subject to review and oversight by an institutional biosafety committee,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 final guidance in October 2022 for Human Gene Therapy for Neurodegenerative Diseases, as well as a draft guidance in July 2023 on comparability requirements for manufacturing changes in gene therapy products. In December 2023, a draft guidance on potency assurance for cellular and gene therapy products was released. Although the FDA has indicated that these and other guidance documents it previously issued are not legally binding, we believe that our compliance with them is likely necessary to gain approval for any gene therapy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for AAV capsids specifically, the FDA typically recommends that sponsors continue to monitor participants for potential gene therapy</w:t>
        <w:noBreakHyphen/>
        <w:t>related adverse events for up to a 5-year period. Other types of gene therapy or gene editing products may require longer follow up, potentially up to a maximum 15-year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the EMA may issue new guidelines concerning the development and marketing authorization for gene therapy products and require that we comply with these new guidelines. The grant of marketing authorization in the European Union for gene therapy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Manufacturers of advanced therapy medicinal products must demonstrate the quality, safety, and efficacy of their products to the EMA, which provides an opinion regarding the MAA. The European Commission grants or refuses marketing authorization in light of the opinion delivered by the EMA.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Candidates are unsafe or pose a hazard could prevent us from commercializing any products. New government requirements may be established that could delay or prevent regulatory approval of our Candidates under development. It is impossible to predict whether legislative changes will be enacted, regulations, policies or guidance changed, or interpretations by agencies or courts changed, or what the impact of such changes, if any, may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advance our Candidates through clinical development, we will be required to consult with these regulatory and advisory groups, and comply with applicable guidelines. These regulatory review committees and advisory groups and any new guidelines they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promulgate may lengthen the regulatory review process, require us to perform additional studies, increase our development costs, lead to changes in regulatory positions and interpretations, delay or prevent approval and commercialization of Candidates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obtain orphan drug exclusivity for one or more of our Candidates, and even if we do, that exclusivity may not prevent the FDA or the EMA from approving other competing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 similar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granted orphan drug designation to SGT-003 for the treatment of Duchenne, SGT-212 for the treatment of FA and to SGT-501 for the treatment of CPVT.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for the FDA to grant orphan drug exclusivity to one of our products, the FDA must find that the product is indicated for the treatment of a condition or disease with a patient population of fewer than 200,000 individuals annually in the United States. The FDA may conclude that the condition or disease for which orphan drug exclusivity is sought does not meet this standard. Even if we obtain orphan drug exclusivity for a product, that exclusivity may not effectively protect the product from competition because different products can be approved for the same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the FDA September 2021 guidance for interpreting sameness of gene therapy products under the orphan drug regulations, even after an orphan drug is approved, the FDA can subsequently approve a similar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Reauthorization Act of 2017 (“FDARA”) requires that a drug sponsor demonstrate the clinical superiority of an orphan drug that is otherwise the same as a previously approved drug for the same rare disease in order to receive orphan drug exclusivity. FDARA reverses prior precedent holding that the Orphan Drug Act unambiguously requires that the FDA recognize the orphan exclusivity period regardless of a showing of clinical superiority.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of Appeals concluded that orphan drug exclusivity applies to the entire designated disease or condition rather than the “indication or use.” Although there have been legislative proposals to overrule this decision, they have not been enacted into law. In January 2023, the FDA announced that, in matters beyond the scope of that court order,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 Depending on what changes the FDA or Congress may make to its orphan drug regulations and policies, our business could be adversely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a breakthrough therapy designation for one or more of our Candidates, but we might not receive such designation, and even if we do, such designation may not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 breakthrough therapy designation for one or more of our Candidates; however, we cannot assure our stockholders that one or more of our Candidates will meet the criteria for that designation. A breakthrough therapy is defined as a therapy that is intended, alone or in combination with one or more other therapies, to treat a serious condition, and preliminary clinical evidence indicates that the therapy may demonstrate substantial improvement over existing therapies on one or more clinically significant endpoints, such as substantial treatment effects observed early in clinical development. For therapies and biologics that have been designated as breakthrough therapies, interaction and communication between the FDA and the sponsor of the trial can help to identify the most efficient path for clinical development while minimizing the number of participants placed in ineffective control regimens. Therapies designated as breakthrough therapies by the FDA may also be eligible for priority review if supported by clinical data at the time the BLA is submitted to the FDA.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that one of our Candidates meets the criteria for designation as a breakthrough therapy, the FDA may disagree and instead determine not to make such designation. Even if we receive breakthrough therapy designation, the receipt of such designation for a Candidate may not result in a faster development or regulatory review or approval process compared to drugs considered for approval under conventional FDA procedures and does not assure ultimate approval by the FDA. In addition, even if one or more of our Candidates qualifies as a breakthrough therapy, the FDA may later decide that the Candidate no longer meets the conditions for qualification or decide that the time period for FDA review or approval will not be shortened.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Accelerated approval by the FDA, even if granted for one or more of our Candidates, may not lead to a faster development or regulatory review or approval process and it does not increase the likelihood that our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approval of one or more of our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or intermediate endpoint that is reasonably likely to predict clinical benefit or on a clinical endpoint that can be measured earlier than irreversible morbidity or mortality (“IMM”) that is reasonably likely to predict an effect on IMM or other clinical benefit. The FDA or other applicable regulatory agency makes the determination regarding whether a surrogate or intermediate endpoint is reasonably likely to predict long-term clinical benefit. Given that expression of microdystrophin has only been established to predict long-term clinical benefit in one other regulatory approval, it is possible the FDA and/or other applicable regulatory agencies could decide not to accept it as a surrogate endpoint for the accelerated approval pathway for SGT-003's treatment of Duchenne, either alone or with additional functional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condition of approval, the FDA may require that a sponsor of a drug or biologic product candidate receiving accelerated approval perform adequate and well-controlled post-marketing clinical trials. These confirmatory trials must be completed with due diligence and may be required to be initiated prior to submission of the BLA. In addition, the FDA currently requires as a condition for accelerated approval pre-approval of promotional materials, which could adversely impact the timing of the commercial launch of the product. Further, 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 BLA after the confirmatory trial fails to verify the product’s clinical benefit.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the FDA or comparable foreign regulatory agencies will agree with our surrogate endpoints or intermediate clinical endpoints in any of our clinical trials, or that we will decide to pursue or submit any additional application for accelerated approval or any other form of expedited development, review or approval. Similarly, there can be no assurance that, after feedback from the FDA or comparable foreign regulatory agencies, we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to obtain accelerated approval or any other form of expedited development, review or approval for our Candidates, or withdrawal of a Candidate, would result in a longer time period until commercialization of such Candidate, could increase the cost of development of such Candidate and could harm our competitive position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potential regenerative medicine advanced therapy designation by the FDA for our Candidates may not lead to a faster development or regulatory review or approval process, and it does not increase the likelihood that our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 regenerative medicine advanced therapy designation for some of our Candidates. A regenerative medicine advanced therapy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regenerative medicine advanced therapy program is intended to facilitate efficient development and expedite review of regenerative medicine advanced therapies, which are intended to treat, modify, reverse, or cure a serious or life-threatening disease or condition. A BLA for a regenerative medicine advanced therapy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participants treated with such therapy prior to its approval.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Designation as a regenerative medicine advanced therapy is within the discretion of the FDA. Accordingly, even if we believe one of our Candidates meets the criteria for designation as a regenerative medicine advanced therapy, the FDA may disagree and instead determine not to make such designation. In any event, the receipt of a regenerative medicine advanced therapy designation for a Candidate may not result in a faster development process, review or approval compared to drugs considered for approval under conventional FDA procedures and does not assure ultimate approval by the FDA. In addition, even if one or more of our Candidates qualify as regenerative medicine advanced therapies, the FDA may later decide that the biological products no longer meet the conditions for qualification.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PRIME Designation in the EU for one or more of our Candidates, but we might not receive such designations and, even if we do, such designations may not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we may seek PRIME designation for our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of a PRIME designation include the appointment of a Committee for Medicinal Products for Human Use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a Rare Pediatric Disease Designation for our Candidates. However, a BLA for such Candidates may not meet the eligibility criteria for a priority review voucher upon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receive a priority review voucher upon BLA approval, the product must receive designation from the FDA as a product for a rare pediatric disease prior to approval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 disease designation, in order to receive a priority review voucher, the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current statutory sunset provisions for the Rare Pediatric Disease Priority Review Voucher Program, after September 30, 2024, the FDA may only award a voucher for an approved rare pediatric disease product application if the sponsor has rare pediatric disease designation for the drug, and that designation was granted by September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September 30, 2026, the FDA may not award any rare pediatric disease priority review vouchers. If we do not obtain approval of a BLA by these dates, and if the Rare Pediatric Disease Priority Review Voucher Program is not further extended by congressional action, we may not receive a Priority Review Voucher.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granted rare pediatric disease designation to SGT-003 for the treatment of Duchenne, SGT-212 for the treatment of FA and SGT-501 for the treatment of CPVT.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a fast track designation for one or more of our Candidates. However, such designation may not actually lead to a faster development or regulatory review or approval process. We might not receive such designation for one or more of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therapy is intended for the treatment of a serious condition and non-clinical or clinical data demonstrates the potential to address unmet medical need for this condition, a drug sponsor may apply for FDA fast track designation. However, fast track designation does not ensure that we will receive marketing approval or that approval will be granted within any particular timeframe. The FDA has broad discretion with respect to whether or not to grant fast track designation to a product candidate, so even if we believe a particular Candidate is eligible for such designation, the FDA may decide not to grant it. Moreover,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or if the unmet need has been fulfilled with the approval of another product. Fast track designation alone does not guarantee qualification for the FDA’s priority review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granted fast track designation to SGT-003 for the treatment of Duchenne, SGT-212 for the treatment of FA and SGT</w:t>
        <w:noBreakHyphen/>
        <w:t>501 for the treatment of CPVT.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priority review designation for one or more of our Candidates, but we might not receive such designation, and even if we do, such designation may not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Candidates, however, we cannot assume that one or more of our Candidates will meet the criteria for that designation. The FDA has broad discretion with respect to whether or not to grant priority review status to a product candidate, so even if we believe a particular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and delays at the FDA and other government agencies from funding cuts, personnel losses, regulatory reform, government shutdowns and other developments could hinder our ability to obtain guidance from the FDA regarding our clinical development program and develop and secure approval of our Candidates in a timely manner, which would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regulatory agencies in foreign jurisdictions play an important role in the development of our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Candidates could be impacted in a negative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is substantial uncertainty as to how measures being implemented by the US government administration will impact the FDA, CMS and other federal agencies with jurisdiction over our activities. If oversight and review activities by the FDA and comparable foreign regulatory authorities are disrupted due to funding cuts, personnel losses, reductions in force, regulatory reform or government shutdown, then our ability to develop and/or secure timely approval of our product candidates could be impacted in a negative manner. For example, the recent loss of FDA leadership and personnel, including due to a significant reduction in force, could lead to disruptions and delays in FDA guidance, review and approval of our product candidates. There are also ongoing deliberations within the administration and Congress over potentially substantial proposed cuts to the overall budget for HHS and funding of the FDA for the 2026 federal fiscal year. Similarly, efforts by the new administration to substantially reduce or delay research funding by the National Institutes of Health of medical research could have substantial direct or indirect impacts on our research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government funding of the SEC and other government agencies on which our operations may rely, including those that fund research and development activities, is subject to the political process, which is inherently fluid and unpredictable.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if any of the foregoing developments and others impact the ability of the FDA to provide us with guidance regarding our clinical development programs or delay the agency’s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Evolving FDA regulatory policies, interpretations and evidentiary expectations, including with respect to clinical trial study design, endpoint selection and the use of single-arm clinical trials, may delay, limit or prevent regulatory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landscape applicable to gene therapy and other advanced therapeutic modalities continues to evolve, including with respect to the types and amount of clinical data that the U.S. Food and Drug Administration (“FDA”) may require to support accelerated approval or traditional approval. The FDA’s policies, guidance, interpretations and expectations relating to clinical trial study design, endpoint selection, statistical analysis, manufacturing, safety monitoring, long-term follow-up and the overall benefit</w:t>
        <w:noBreakHyphen/>
        <w:t>risk assessment applicable to product candidates such as ours may change over time, including during the course of our clinical development programs.</w:t>
        <w:br/>
        <w:br/>
        <w:t>Historically, certain rare disease therapies, including gene therapies, have been evaluated using single-arm, open-label and externally controlled clinical trial designs due to challenges associated with patient population size, disease severity, ethical considerations and the absence of available treatment alternatives. In addition, the FDA’s views regarding the acceptability, clinical relevance or validation of particular efficacy, biomarker, surrogate or other study endpoints may evolve over time. However, the FDA may determine that our clinical trial designs, endpoints or analytical approaches are insufficient for one or more of our product candidates or indications and may require additional or different clinical evidence, including randomized controlled trials, larger patient populations, longer follow-up periods, different or additional endpoints, confirmatory studies or other data to support regulatory approval.</w:t>
        <w:br/>
        <w:br/>
        <w:t>In addition, evolving regulatory expectations, changes in agency leadership or priorities, differing views within the FDA, increased scrutiny of accelerated approval pathways or novel therapeutic modalities, or changes in applicable laws, regulations or guidance could result in additional regulatory requirements, delays in our clinical trials, delays in or denial of regulatory approval, limitations on approved indications or post-approval requirements that are more burdensome than we currently anticipate.</w:t>
        <w:br/>
        <w:br/>
        <w:t>Any such developments could significantly increase our development costs, require substantial additional capital, delay commercialization of our product candidates or otherwise materially adversely affect our business, financial condition, results of operations and prospects. Even if we believe the data from our clinical trials are sufficient to support approval, the FDA may disagree and determine that additional clinical development or confirmatory evidence is required before approval may be obtained, if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regulatory and/or clinical trial strategy, baseline eligibility criteria or make other modifications to clinical trial designs.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highly competitive segment of the biopharmaceutical market. We face competition from many different sources, including larger and better-funded pharmaceutical, specialty pharmaceutical and biotechnology companies, as well as from academic institutions, government agencies and private and public research institutions. Our Candidates, if successfully developed and approved, will compete with established therapies as well as with new treatments that may be introduced by our competitors. There are a variety of product candidates, including gene therapies, in development for Duchenne, CPVT, other cardiomyopathies or FA. 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enrolling participants in clinical trials, as well as in acquiring technologies complementary to, or necessary for, our programs.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We are aware of a number of companies and research institutions developing gene transfer programs progressing in Duchenne. For example, in June 2023, Sarepta Therapeutics, Inc. (“Sarepta”) announced that it had received accelerated approval for its gene therapy candidate ELEVIDYS</w:t>
      </w:r>
      <w:r>
        <w:rPr>
          <w:rFonts w:ascii="Times New Roman" w:hAnsi="Times New Roman"/>
          <w:color w:val="000000"/>
          <w:sz w:val="14"/>
        </w:rPr>
        <w:t>®</w:t>
      </w:r>
      <w:r>
        <w:rPr>
          <w:rFonts w:ascii="Times New Roman" w:hAnsi="Times New Roman"/>
          <w:color w:val="000000"/>
          <w:sz w:val="20"/>
        </w:rPr>
        <w:t xml:space="preserve"> for the treatment of ambulatory pediatric patients aged 4 through 5 years with Duchenne. In June 2024, Sarepta announced an expanded US approval of ELEVIDYS</w:t>
      </w:r>
      <w:r>
        <w:rPr>
          <w:rFonts w:ascii="Times New Roman" w:hAnsi="Times New Roman"/>
          <w:color w:val="000000"/>
          <w:sz w:val="14"/>
        </w:rPr>
        <w:t>®</w:t>
      </w:r>
      <w:r>
        <w:rPr>
          <w:rFonts w:ascii="Times New Roman" w:hAnsi="Times New Roman"/>
          <w:color w:val="000000"/>
          <w:sz w:val="20"/>
        </w:rPr>
        <w:t xml:space="preserve"> for patients who are at least 4 years of age including full approval for ambulatory Duchenne patients and accelerated approval for non-ambulatory Duchenne patients. Following two reported cases of acute liver failure resulting in death, Sarepta agreed with FDA to a boxed warning for acute liver injury and acute liver failure and the removal of the non-ambulatory population from the "Indication and Usage" section of the Prescribing Information for ELEVIDYS</w:t>
      </w:r>
      <w:r>
        <w:rPr>
          <w:rFonts w:ascii="Times New Roman" w:hAnsi="Times New Roman"/>
          <w:color w:val="000000"/>
          <w:sz w:val="14"/>
        </w:rPr>
        <w:t>®</w:t>
      </w:r>
      <w:r>
        <w:rPr>
          <w:rFonts w:ascii="Times New Roman" w:hAnsi="Times New Roman"/>
          <w:color w:val="000000"/>
          <w:sz w:val="21"/>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aware of several companies and research institutions conducting clinical trials of product candidates focused on systemic gene transfers for Duchenne, including Genethon, with a product candidate currently being evaluated in a Phase 1/2/3 clinical trial, REGENXBIO Inc., with a product candidate in Phase 1/2/3 clinical development and Insmed Incorporated, with product candidates in clinical development.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are other approaches to treat Duchenne that are either currently marketed or in development including antisense oligonucleotides, histone deacetylase (“HDAC”) inhibitors, corticosteroids, myosin inhibitors, cell therapies and gene editing. Notably, Sarepta has received accelerated approval for three therapies including Exondys 51, Vyondys 53 and Amondys 45 targeting exons 51, 53 and 45, respectively; Nippon Shinyaku received accelerated approval for Viltepso to treat exon 53 amenable patients; Avidity Biosciences is developing Del-zota to treat exon 44; Wave Life Sciences is developing WVE-N531 to treat exon 53 amenable patients; Dyne Therapeutics is developing DYNE-251 to treat exon 51 amenable patients; BioMarin Pharmaceutical is developing BMN 351 to treat exon 51 amenable patients; and Entrada Therapeutics is developing ENTR</w:t>
        <w:noBreakHyphen/>
        <w:t>601-44, ENTR-601-45, ENTR-601-50, and ENTR-601-51 for exon 44, 45, 50 and 51 amenable patients, respectively. Italfarmaco received FDA approval for its HDAC inhibitor, Givinostat, in Duchenne patients who are at least 6 years of age. Santhera Pharmaceuticals received FDA approval for its corticosteroid, Agamree, which is marketed by Catalyst Pharmaceuticals, in Duchenne patients who are at least 2 years of age. Edgewise Therapeutics is developing Sevasemten, a fast skeletal myosin inhibitor, for Duchenne and Becker muscular dystrophies. Capricor Therapeutics is developing Deramiocel, an allogeneic cardiosphere-derived cell therapy product candidate. Satellos Biosciences is developing SAT-3247, an oral small molecule product candidate. Precision BioSciences is in clinical development for gene editing product candidate, PBGENE-DMD.</w:t>
      </w:r>
    </w:p>
    <w:p>
      <w:pPr>
        <w:pStyle w:val="TextBody"/>
        <w:bidi w:val="0"/>
        <w:spacing w:before="0" w:after="120"/>
        <w:jc w:val="left"/>
        <w:rPr>
          <w:rFonts w:ascii="Times New Roman" w:hAnsi="Times New Roman"/>
          <w:sz w:val="20"/>
        </w:rPr>
      </w:pPr>
      <w:r>
        <w:rPr>
          <w:rFonts w:ascii="Times New Roman" w:hAnsi="Times New Roman"/>
          <w:color w:val="000000"/>
          <w:sz w:val="20"/>
        </w:rPr>
        <w:t>We are also aware of a number of companies and research institutions developing gene transfer programs in FA. For example, Lexeo Therapeutics is developing an IV gene therapy to treat the cardiac manifestations of FA. Other competitors currently developing gene therapies to treat FA are in preclinical development, including Neurocrine Biosciences in collaboration with Voyager Therapeutics and Capsida Biotherapeutics. We are also aware of other companies developing non-gene therapies for FA, such as Design Therapeutics, Larimar Therapeutics, PTC Therapeutics and Papillon Therapeutics. Biogen’s SKYCLARYS</w:t>
      </w:r>
      <w:r>
        <w:rPr>
          <w:rFonts w:ascii="Times New Roman" w:hAnsi="Times New Roman"/>
          <w:color w:val="000000"/>
          <w:sz w:val="13"/>
        </w:rPr>
        <w:t xml:space="preserve">® </w:t>
      </w:r>
      <w:r>
        <w:rPr>
          <w:rFonts w:ascii="Times New Roman" w:hAnsi="Times New Roman"/>
          <w:color w:val="000000"/>
          <w:sz w:val="20"/>
        </w:rPr>
        <w:t>(omaveloxolone) was approved for the treatment of FA in adults and adolescents aged 16 and older by the FDA and the European Commission in February 2023 and February 2024, respectively.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also aware of several companies and research institutions conducting clinical trials in small molecule product candidates focused on CPVT, including Cardurion Pharmaceuticals Inc., with an orally administered CAMKII-delta inhibitor candidate in a Phase 2 clinical trial.</w:t>
      </w:r>
    </w:p>
    <w:p>
      <w:pPr>
        <w:pStyle w:val="TextBody"/>
        <w:bidi w:val="0"/>
        <w:jc w:val="left"/>
        <w:rPr>
          <w:rFonts w:ascii="Times New Roman" w:hAnsi="Times New Roman"/>
          <w:color w:val="000000"/>
          <w:sz w:val="20"/>
        </w:rPr>
      </w:pPr>
      <w:r>
        <w:rPr>
          <w:rFonts w:ascii="Times New Roman" w:hAnsi="Times New Roman"/>
          <w:color w:val="000000"/>
          <w:sz w:val="20"/>
        </w:rPr>
        <w:t>Our commercial opportunity could be reduced or eliminated if competitors develop and commercialize products that are first to market or are safer, more effective, have fewer or less severe side effects, have broader market acceptance, are more convenient or are less expensive than any Candidate that we may develop. Changes within the competitive landscape could lead us to alter regulatory and/or clinical trial strategy, baseline eligibility criteria or make other modifications to clinical trial designs.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Candidates we develop.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capitalize on other potential Candidates that may represent a greater commercial opportunity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business depends upon our ability to develop and commercialize our Candidates. Because we have limited resources, we may forego or delay pursuit of opportunities with certain programs or Candidates or for indications that later prove to have greater commercial potential than our Candidates. For example, in September 2022, we announced that we would be pausing activities for SGT-001, which we are no longer developing.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spending on current and future research and development programs may not yield any commercially viable Candidates. If we do not accurately evaluate the commercial potential for a particular Candidate, we may relinquish valuable rights to that Candidate through strategic collaborations, licensing or other arrangements in cases in which it would have been more advantageous for us to retain sole development and commercialization rights to such Candidate. Alternatively, we may allocate internal resources to a Candidate in a therapeutic area in which it would have been more advantageous to enter into a partnering arrangement. If any of these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occur, we may be forced to abandon our development efforts with respect to a particular Candidate or fail to develop a potentially successful Candidate.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Manufacturing and Commercialization of our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entered into, and may in the future enter into, collaborations with third parties for the development or commercialization of our Candidates. If our collaborations are not successful, we may not be able to capitalize on the market potential of these Candidates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retained all necessary rights to and are developing on our own SGT-003, SGT-212, SGT-501 and other Candidates, we may in the future enter into development, distribution or marketing arrangements with third parties with respect to SGT-003, SGT</w:t>
        <w:noBreakHyphen/>
        <w:t xml:space="preserve">212, SGT-501 or other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Candidates. Our ability to generate revenues from these arrangements will depend on our collaborators’ abilities and efforts to successfully perform the functions assigned to them in these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that we enter into may not be successful, and any success will depend heavily on the efforts and activities of such collaborators. Collaborations pose a number of risks,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amount and timing of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of our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commercialization of any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Candidate, repeat or conduct new clinical trials or require a new formulation of a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access to, or may be restricted from disclosing, certain information regarding Candidates being developed or commercialized under a collaboration and, consequently, may have limited ability to inform our stockholders about the status of such Candidates on a discretionary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develop products that compete directly or indirectly with our Candidates and products pursuant to the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Candidates and products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Candidates discovered in collaboration with us may be viewed by our collaborators as competitive with their own product candidates or products, which may cause collaborators to cease to devote resources to the commercialization of our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fail to comply with applicable regulatory requirements regarding the development, manufacture, distribution or marketing of a Candidate or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of our Candidates that achieve regulatory approval may not commit sufficient resources to the marketing and distribution of such product or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intellectual property or proprietary rights, contract interpretation or the preferred course of development, might cause delays or terminations of the research, development or commercialization of Candidates, might lead to additional responsibilities for us with respect to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misappropriate or otherwise violate the intellectual property or proprietary rights of third parties, which may expose us to litigation and potential liability;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for the convenience of the collaborator, and, if terminated, we could be required to raise additional capital to pursue further development or commercialization of the applicable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Candidates could be delayed and we may need additional resources to develop our Candidates. All of the risks relating to product development, regulatory approval and commercialization described herein also apply to the activities of our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subject to its contractual obligations to us, if a collaborator of ours is involved in a business combination, the collaborator might deemphasize or terminate the development or commercialization of any Candidate licensed to it by us. If one of our collaborators terminates its agreement with us, we may find it more difficult to attract new collaborators and our perception in the business and financial communities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finding strategic collaborators for continuing development of our Candidates or platform technologies, or for successfully commercializing or competing in the market for certain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establish strategic partnerships for developing Candidates or platform technologies due to capital costs required to develop, manufacture and commercialize our Candidates or platform technologies. We may not be successful in our efforts to establish strategic partnerships or other alternative arrangements because, among other things, our research and development pipeline may be insufficient, Candidates or platform technologies may be deemed to be at too early of a stage of development for collaborative effort or third parties may not view our Candidates or platform technologies as having the requisite potential to demonstrate safety and efficacy. We cannot be certain that, following a strategic transaction, we will achieve an economic or business benefit that justifies such transaction. If we seek to but are unable to reach agreements with suitable collaborators on a timely basis, on acceptable terms or at all, we may have to curtail, reduce or delay the development of a Candidate, delay its potential commercialization, reduce the scope of any sales or marketing activities or increase our expenditures and undertake development, manufacturing or commercialization activities independently. If we elect to fund our own independent development or commercialization activities, we will need to obtain additional expertise and additional capital, which may not be available to us on acceptable terms or at all. If we fail to enter into collaborations and do not have sufficient funds or expertise to undertake the necessary development, manufacturing and commercialization activities, we may not be able to further develop our Candidates or platform technologies.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gene therapy manufacturing experience and could experience production problems and delays in obtaining regulatory approval of our manufacturing processes, which could result in delays in the development or commercialization of SGT-003, SGT-212, SGT-501, or our other Candidates. In addition, changes to manufacturing sites or processes, or formulations for our Candidates may result in additional cost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experience manufacturing SGT-003, SGT-212, SGT-501 and our other Candidates. The manufacturing process we have used historically and the manufacturing process we plan to use in the future to produce product for our Candidates are complex and our processes have not been validated for commercial use. As Candidates progress through preclinical studies and clinical trials to marketing approval and commercialization, it is common that various aspects of the development program, such as manufacturing methods and formulation, are altered along the way in an effort to enhance safety, quality, efficacy, yield, manufacturing batch size, minimize costs and achieve consistent results. For example, we have moved to a transient transfection-based manufacturing process for SGT-003 and while we have observed early positive results in preclinical studies and in our ongoing INSPIRE DUCHENNE trial using this new manufacturing process, any further changes in manufacturing or formulation may result in effects and results that are different from those observed in our completed studies to date. Similarly, in the future we may further alter our existing process or introduce an alternative process or formulation of one or more of our Candidates during the course of our planned preclinical studies or clinical trials. Such changes carry the risk that they will not achieve these intended objectives. Any of these changes could cause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Candidates to perform differently and affect the results of planned clinical trials or other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Candidates and jeopardize our ability to commercialize our Candidates, if approved, and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production of SGT-003, SGT-212 and SGT-501 uses a transient transfection-based process which requires processing steps that are more complex than those required for most chemical pharmaceuticals. We also intend to use transient transfection manufacturing for our other Candidates. Moreover, unlike chemical pharmaceuticals, the physical and chemical properties of a gene therapy candidate such as ours generally cannot be fully characterized. As a result, assays of the finished product may not be sufficient to ensure that the product will perform in the intended manner. Accordingly, we have and will continue to employ multiple steps to control our manufacturing processes to assure that the process works and that SGT-003, SGT-212, SGT-501 and our other Candidates are made strictly and consistently in compliance with such processes. We must supply all necessary documentation in support of an IND, BLA or MAA on a timely basis and must adhere to the FDA’s and the European Union’s cGMP requirements before we can obtain marketing approval for SGT-003, SGT-212, SGT-501, and other Candidates. In order to obtain approval, we will need to ensure that all of our processes, methods and equipment are compliant with cGMP requirements, by performing extensive audits of contract laboratories, manufacturers and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multiple third-party manufacturers for supply of SGT-003, SGT-212 and SGT-501 and plan to rely on third-party manufacturers for our other Candidates. In order to produce sufficient quantities of Candidates for clinical trials and initial U.S. commercial demand, we have and will continue to further optimize and increase the capacity of our manufacturing process at our third-party manufacturers. We may need to make changes to our manufacturing processes, beyond implementation of a transient transfection-based manufacturing process. We may not be able to produce sufficient quantities of drug product due to several factors, including capacity constraints, equipment malfunctions, facility contamination, material shortages or contamination, natural disasters, a public health issue (for example, an outbreak of a contagious disease such as the COVID-19 pandemic), disruption in utility services, human error or disruptions in the operations of our suppliers. We may experience variability with respect to the success and yield between lots that will require continued engagement in process development activities to improve the reproducibility, reliability, quality and consistency of yields of the manufacturing process. Additional manufacturing runs will be required to produce necessary or adequate supply for our future clinical trials and there is no guarantee that all of those runs will be within specifications or produce adequate supply. If we are not able to produce sufficient supply on the timeline expected, our overall development schedule for SGT</w:t>
        <w:noBreakHyphen/>
        <w:t>003, SGT-212, SGT-501 and other Candidates could be delayed, and we could incur additional expense. Any such failure could delay or prevent development and commercialization of SGT-003, SGT-212, SGT-501 or other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supply from a manufacturing facility is interrupted, including as a result of capacity constraints, equipment malfunctions, facility contamination, material shortages or contamination, natural disasters, public health emergencies or pandemics, such as the recent COVID-19 pandemic, disruption in utility services or human error, there could be a significant disruption in supply of SGT-003 or other Candidates. In such instance, we may need to locate appropriate replacement third-party manufacturers, and we may not be able to enter into arrangements with such additional third-party manufacturers on favorable terms or at all. Use of new third-party manufacturers could increase the risk of delays in production or insufficient supplies of our Candidates as we transfer our manufacturing technology to these manufacturers and as they gain experience manufacturing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a regulatory authority may impose restrictions relative to that product, the manufacturing facility or us, including requiring recall or withdrawal of the product from the market or suspension of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Lot failures or product recalls could cause us to delay or abandon clinical trials or product launches.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may encounter problems hiring and retaining the experienced scientific, quality control and manufacturing personnel needed to oversee our manufacturing and quality control process, which could result in delays in our production or difficulties in maintaining compliance with applicable regulatory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problems in our manufacturing process or facilities could make us a less attractive collaborator for potential partners, including biotechnology and pharmaceutical companies and academic research institutions, which could limit our access to additional attractive development programs. Problems in our manufacturing process or facilities also could restrict our ability to meet market demand for our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utilize third parties to conduct our product manufacturing for the foreseeable future. Therefore, we are subject to the risk that these third parties may not perform satisfactorily or meet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independently manufacture material for our ongoing or planned clinical trials and we are utilizing and expect to utilize materials manufactured by cGMP-compliant third-party suppliers. If these third-party manufacturers do not successfully carry out their contractual duties, meet expected deadlines or manufacture our Candidates in accordance with quality and regulatory requirements or if there are disagreements between us and these third-party manufacturers, we may not be able to complete, or may be delayed in completing, the clinical trials required for approval of our Candidates. In such instances, we may need to locate an appropriate replacement third-party relationship, which may not be readily available or on acceptable terms, which would cause additional delay or increased expense prior to the approval of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rely on our third-party manufacturers for their compliance with the cGMP and their maintenance of adequate quality control, quality assurance and qualified personnel. Furthermore, all of our third-party suppliers and manufacturers are engaged with other companies to supply and/or manufacture materials or products for such companies, which exposes them to regulatory risks for the production of such materials and products. FDA inspections may identify compliance issues at third</w:t>
        <w:noBreakHyphen/>
        <w:t>party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w:t>
        <w:noBreakHyphen/>
        <w:t>initiated or judicial action, including fines, injunctions, civil penalties, license revocations, seizure, total or partial suspension of production or criminal penalties, any of which could significantly and adversely affect supplies of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do not currently have long-term supply or manufacturing arrangements in place for the production of our Candidates at commercial scale. Although we intend to establish additional sources for long-term supply, from one or more third-party manufacturers, if the gene therapy industry were to grow, we may encounter increasing competition for the materials necessary for the production of Candidates. We may experience difficulties in scaling up production beyond clinical batches. Furthermore, demand for third-party cGMP manufacturing facilities may grow at a faster rate than existing manufacturing capacity, which could disrupt our ability to find and retain third-party manufacturers capable of producing sufficient quantities of our Candidates for future clinical trials or to meet initial commercial demand in the United States. We currently rely, and expect to continue to rely, on additional third parties to manufacture materials for our Candidates and to perform quality testing. We intend to maintain third-party manufacturers for these materials, as well as to serve as additional sources of our Candidates, which will expose us to risks including reduced control of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certain CDMOs to produce our Candidates in the necessary quantities, or in compliance with current cGMP or in compliance with pertinent regulatory requirements and within our planned time frame and cost parameters;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our CDMOs to pass regulatory inspections and supply commercial material, which could impact our commercialization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or nonrenewal of manufacturing and service agreements with third parties in a manner or at a time that is costly or damaging to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 and our and their suppliers caused by conditions unrelated to our business or operations, including the bankruptcy of the manufacturer or supplier, natural disasters or public health issues.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lead to clinical trial delays or failure to obtain regulatory approval or impact our ability to successfully commercialize our Candidates. Some of these events could be the basis for FDA action, including injunction, recall, seizure or total or partial suspension of product manufacture.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establish sales, distribution and marketing capabilities or enter into agreements with third parties to market and sell our Candidates, we will be unable to generate any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sales, distribution or marketing organization. To successfully commercialize any Candidate that may result from our development programs, we will need to develop these capabilities, either on our own or with others. The establishment and development of our own commercial team or the establishment of a contract sales force to market any Candidate we may develop will be expensive and time-consuming and could delay any product launch. Moreover, we cannot be certain that we will be able to successfully develop this capability. We may enter into collaborations regarding our Candidates with other entities to utilize their established marketing and distribution capabilities, but we may be unable to enter into such agreements on favorable terms, if at all. If any future collaborators do not commit sufficient resources to commercialize our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will also face competition in our search for third parties to assist us with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efforts of any future products. Without an internal team or the support of a third party to perform marketing and sales functions, we will be unable to compete successfully against these more established companies.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establish medical affairs capabilities, we will be unable to establish an educated market of physicians to administer any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medical affairs team. If we are unable to successfully build a medical affairs team to address scientific and medical questions and provide expert guidance and education in the application, administration and utilization of any future products to physicians, we may not be able to establish an educated market for our products. The establishment and development of our own medical affairs team will be expensive and time-consuming and could delay any product launch. Moreover, we cannot be certain that we will be able to successfully develop this capability.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opportunities for any of our future products are smaller than we believe they are, our revenue prospects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focus our research and product development on treatments for rare genetic neuromuscular and cardiac indications. Our understanding of the patient population with these diseases is based on estimates in published literature and by disease-focused foundations. These estimates may prove to be incorrect and new studies may reduce the estimated incidence or prevalence of these diseases. The number of patients in the United States, the European Union and elsewhere may turn out to be lower than expected, patients may not be otherwise amenable to treatment with our Candidates or patients may become increasingly difficult to identify and access.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are several factors that could contribute to reducing the actual number of patients who could receive our Candidates less than the potentially addressable market. These include the lack of widespread availability of, and limited reimbursement for, new therapies in many underdeveloped markets. Further, the severity of the progression of a degenerative disease such as Duchenne and FA up to the time of treatment will likely diminish the therapeutic benefit conferred by a gene therapy due to irreversible cell damage.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patients’ immune systems might prohibit the successful delivery of certain gene therapy products, thereby potentially limiting the population of patients amenable to gene transfer.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with many AAV-mediated gene therapy approaches, certain patients’ immune systems might prohibit the successful delivery of certain gene therapy products, thereby potentially limiting the population of patients amenable to gene transfer. While we are working to better understand the prevalence of antibodies to AAV, or seroprevalence, as it relates to gene therapy, the exact seroprevalence is currently unknown and varies by AAV serotype and age. We may not be able to address these potentially limiting factors for gene therapy as a treatment for certain patients.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commercial success of any of our Candidates, if approved, will depend upon market acceptance by physicians, patients, third</w:t>
        <w:noBreakHyphen/>
        <w:t>party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with the requisite approvals from the FDA in the United States, the European Commission in the European Union and other regulatory authorities internationally, the commercial success of our Candidates will depend, in part, on the acceptance of physicians, patients and health care payors of gene therapy products in general, and, in particular for each of our current and future Candidates, as medically necessary, cost-effective and safe. Any product that we commercialize may not gain acceptance by physicians, patients, health care payors and others in the medical community due to ethical, social, medical and legal concerns. If our products do not achieve an adequate level of acceptance, we may not generate significant product revenue and may not become profitable. The degree of market acceptance of gene therapy products and, in particular, our current and future Candidates, if approved for commercial sale, will depend on multiple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our current and future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potential and perceived advantages of our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our Candidates are approved by the FDA, the European Commission or other regulatory authorities,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the EMA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products to meet market demand;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Candidates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restrictions on the use of our products together with other medications;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favorable third-party payor coverage and adequate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 potential Candidate displays a favorable efficacy and safety profile in preclinical studies and clinical trials, market acceptance of the product will not be fully known until after it is launched.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educate the medical community and third-party payors on the benefits of our Candidates may require significant resources and may never be successful. Such efforts may require more resources than are typically required due to the complexity and uniqueness of our potential Candidates. If our Candidates are approved but fail to achieve market acceptance among physicians, patients or third-party payors, we will not be able to generate significant revenue from any such product.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Candidates and adversely affect our ability to conduct our business or obtain regulatory approvals for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 transfer remains a novel technology that faces many challenges imposed by the humoral immune response. The immunogenicity of AAV gene transfers is a very complex process that we and others continue to work understand through the extensive clinical experience that now exists over a broad spectrum of therapeutic areas and indications. Marked inflammatory toxicities have been observed, including complement activation, cytopenias, severe hepatotoxicity as well as transgene related toxicities representing part of the continuum of diverse aspects of clinical immune responses that can be observed post gene transfer.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our success will depend upon physicians who specialize in the treatment of our pipeline indications, prescribing treatments that involve the use of viral capsids in lieu of, or in addition to, other treatments with which they are more familiar and for which greater clinical data may be available. More restrictive government regulations or negative public opinion may delay or impair the development and commercialization or demand for any Candidate we may develop. A public backlash developed against gene therapy following the death of a participant in 1999 during a gene therapy clinical trial of research subjects with ornithine transcarbamylase (“OTC”) deficiency, a rare disorder in which the liver lacks a functional copy of the OTC gene. The death of the clinical trial subject was due to complications of adenovirus capsid administration. Dr. James M. Wilson, former chair of our Scientific Advisory Board, was a co-investigator of the 1999 trial while he was Director of the Institute for Human Gene Therapy of the University of Pennsylvania. Serious adverse events in our clinical trials, including the events that led to the previously-lifted clinical holds on IGNITE DMD or other clinical trials involving gene transfer products or our competitors’ products, even if not ultimately attributable to the relevant Candidates, and the resulting publicity, could result in increased government regulation, unfavorable public perception, potential regulatory delays in the testing or approval of our Candidates, stricter labeling requirements for our Candidates, if approved, and a decrease in demand for our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contamination in our manufacturing process, shortages of materials or failure of any of our key suppliers to deliver necessary components could result in interruption in the supply of our Candidates and delays in our clinical development or commercialization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nature of biologics manufacturing, there is a risk of contamination in our manufacturing processes. Any contamination could materially adversely affect our ability to produce our Candidates on schedule and could cause reputational damage.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Candidates could adversely impact or disrupt the manufacturing or the production of clinical material, which could materially and adversely affect our development timelines.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Candidates, if approved, could limit our ability to market those products and decrease our ability to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coverage and reimbursement of newly approved products. We expect the cost of a single administration of gene transfer products, such as those we are developing, to be substantial, when and if they achieve regulatory approval. We expect that coverage and reimbursement by government and private payors will be essential for most patients to be able to afford these treatments. Accordingly, sales of our future products, if approved, will depend substantially, both domestically and abroad, on the extent to which the costs of such Candidates will be paid by health maintenance, managed care, pharmacy benefit and similar health care management organizations, or will be reimbursed by government authorities, private health coverage insurers and other third-party payors. Coverage and reimbursement by a third</w:t>
        <w:noBreakHyphen/>
        <w:t>party payor may depend upon several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durable and a one-time treatment, as applicable;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coverage and reimbursement for a product from third-party payors is a time-consuming and costly process that could require us to provide to the payor supporting scientific, clinical and cost-effectiveness data. If coverage and reimbursement are not available, or are available only at limited levels, we may not be able to successfully commercialize our future products, if approved. Even if coverage is provided, the approved reimbursement amount may not be adequate to realize a sufficient return on 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our knowledge, only a limited number of gene transfer products have been approved for coverage and reimbursement by CMS, the agency responsible for administering the Medicaid program. It is difficult to predict what the CMS will decide with respect to coverage and reimbursement for fundamentally novel products such as ours, as there is no body of established practices and precedents for these types of products either in the United States or the European Union. For example, several cancer drugs have been approved for reimbursement in the United States and have not been approved for reimbursement in certain European Union member states and vice versa. It is difficult to predict what third-party payors will decide with respect to the coverage and reimbursement for our future products, if approved.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Governments outside the United States tend to impose strict price controls, which may adversely affect our revenue,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general, the prices of therapeutics outside the United States are substantially lower than in the United States. Other countries may allow companies to fix their own prices for therapeutics, but monitor and control company profits. Additional foreign price controls or other changes in pricing regulations could restrict the amount that we are able to charge for our Candidates. Accordingly, in markets outside the United States, the reimbursement for our Candidates may be reduced compared with the United States and may be insufficient to generate commercially reasonable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countries where the pricing of gene therapy products is subject to governmental control, pricing negotiations with governmental authorities can take considerable time after the receipt of marketing approval for a product.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w:t>
        <w:noBreakHyphen/>
        <w:t>priced and high-priced member states, can further reduce prices. To obtain reimbursement or pricing approval in some countries, we may be required to conduct a clinical trial that compares the cost</w:t>
        <w:noBreakHyphen/>
        <w:t>effectiveness of our Candidate to other available therapies. Reimbursement of our products may be unavailable or limited in scope or amount, which would adversely affect our revenue, if 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obtain approval to commercialize our future products outside of the United States, in particular in the European Union, a variety of risks associated with international operations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be subject to additional risks in commercializing our future products, if approved, outside the United States,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regulatory requirements for approval of therapeutics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additional third-party patent rights of potential relevance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 including earthquakes, typhoons, floods and fires.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applicable foreign regulatory requirements may result in, among other things, fines, suspension, variation or withdrawal of regulatory approvals, product recalls, seizure of products, operating restrictions and criminal prosecution.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engage in future acquisitions or strategic collaborations,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evaluate various acquisitions and strategic collaborations, including licensing or acquiring complementary products, intellectual property rights, technologies or businesses. Any potential acquisition or strategic collaboration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additional indebtedness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Candidates and initiatives in pursuing such acquisition or strategic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collaboration or even to offset transaction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key employees, consultants and advisors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members of our executive team, the loss of whose services may adversely impact the achievement of our objectives. While we have entered into employment agreements with certain of our executive officers, any of them could leave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employment at any time. We currently do not have “key person” insurance on any of our employees. The loss of the services of one or more of our current key employees might impede the achievement of our research, development and commercialization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capsid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the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manage growth in the scale and complexity of our operations, our performance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our current and future Candidates and products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any future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may engage in misconduct or other improper activities, including non-compliance with regulatory standards and requirements, which could cause significant liability for us and harm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the federal Health Insurance Portability and Accountability Act of 1996 (“HIPAA”), other U.S. federal and state law, and requirements of non-U.S. jurisdictions, including the European Union Data Protection Directive.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Enacted and future legislation may increase the difficulty and cost for us to obtain marketing approval of and commercialize our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the United States there is significant interest in promoting health care reform, as evidenced by the enactment of the Patient Protection and Affordable Care Act and the companion Health Care and Education Reconciliation Act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Care Reform Law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w:t>
        <w:noBreakHyphen/>
        <w:t>effective than others. Should any of our products be approved for sale, but then determined to be less cost-effective than alternative therapies, the levels of reimbursement for these products, or the willingness to reimburse at all, could be adversely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legislative changes resulting from the passage of the Health Care Reform Law, other legislative changes have been proposed and adopted since the Health Care Reform Law was enacted. In August 2011, the Budget Control Act of 2011, among other things, led to aggregate reductions to Medicare payments to providers of up to 2% per fiscal year, which will remain in effect through the first half of 2032.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2029 unless additional Congressional action is taken. The Coronavirus Aid, Relief, and Economic Security Act (the “CARES Act”) suspended the 2% Medicare sequester from May 1, 2020 through December 31, 2020, and extended the sequester through 2031. These Medicare sequester reductions were suspended through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Candidates for which we may obtain regulatory approval or the frequency with which any such Candidate is prescribed or used.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enactment of the Health Care Reform Law, there have been, and continue to be, numerous legal challenges and Congressional actions to repeal and replace provisions of the law. For example, with enactment of the Tax Cuts and Jobs Act of 2017 (“TCJA”), Congress repealed the “individual mandate.” The repeal of this provision of the Health Care Reform Law, which requires most Americans to carry a minimal level of health insurance, became effective in 2019. Further, on December 14, 2018, a U.S. District Court judge in the Northern District of Texas ruled that the individual mandate portion of the Health Care Reform Law is an essential and inseverable feature of the Health Care Reform Law, and therefore because the mandate was repealed as part of the TCJA, the remaining provisions of the Health Care Reform Law are invalid as well. The U.S. Supreme Court heard this case on November 10, 2020 and on June 17, 2021, dismissed this action after finding that the plaintiffs do not have standing to challenge the constitutionality of the statute. It is unclear how such litigation and other efforts to repeal and replace the Health Care Reform Law will impact the Health Care Reform Law and our business. Litigation and legislation over the Health Care Reform Law are likely to continue, with unpredictable and uncertain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Inflation Reduction Act (the “IRA”), was signed into law in August 2022, and the One Big Beautiful Bill Act (“OBBBA”), was signed into law in July 2025. The IRA introduced new tax provisions, including a 1% excise tax imposed on certain stock repurchases by publicly traded companies. The 1% excise tax generally applies to any acquisition of stock by the publicly traded company (or certain of its affiliates) from a stockholder of the company in exchange for money or other property (other than stock of the company itself), subject to exceptions. Thus, the excise tax could apply to certain transactions that are not traditional stock repurchases.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and future legislative efforts may limit the prices for our products, if and when they are licensed for marketing and that could materially impact our ability to generate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prices of prescription pharmaceuticals have been the subject of considerable discussion in the United States. To date, there have been several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October 2020, the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(“PhRMA”), but the case was dismissed by a federal district court in February 2023 after the court found that PhRMA did not have standing to sue HHS. Several states have passed laws allowing for the importation of drugs from Canada. Certain of these states have submitted Section 804 Importation Program proposals and are awaiting FDA approval. Florida now has authority to import certain products from Canada for a period of two years once certain conditions are met. Florida will first need to submit a pre-import request for each product selected for importation, which must be approved by the FDA. Florida will also need to relabel the products and perform quality testing of the products to meet FDA standards. On May 21, 2025, the FDA announced that it would offer individual states the opportunity to submit a draft proposal for pre-review and meet with the agency to obtain initial feedback from the FDA prior to formally submitting their section 804 importation program proposal. The intent of these meetings is to assist states in developing their proposals by further clarifying requirements, enhancing the quality of proposals submitted to the FDA and ultimately shortening the review timeline. Further, the HHS finalized a regulation removing safe harbor protection for price reductions from pharmaceutical manufacturers to plan sponsors under Part D, either directly or through pharmacy benefit managers, unless the price reduction is required by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on November 20, 2020, the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w:t>
        <w:noBreakHyphen/>
        <w:t>of</w:t>
        <w:noBreakHyphen/>
        <w:t>sale, as well as a new safe harbor for certain fixed fee arrangements between pharmacy benefit managers and manufacturers, the implementation of which has been delayed until January 1, 2032, by the IRA.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IRA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(beginning in 2025). The IRA permits the Secretary of HHS to implement many of these provisions through guidance, as opposed to regulation, for the initial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with respect to price negotiations, Congress authorized Medicare to negotiate lower prices for certain costly single</w:t>
        <w:noBreakHyphen/>
        <w:t>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With passage of the OBBBA in July 2025, Congress extended this exemption to drugs and biologics with multiple orphan drug designations. The first cycle of negotiations for the Medicare Drug Price Negotiation Program commenced in the summer of 2023. On August 15, 2024, HHS published the results of the first Medicare drug price negotiations for ten selected drugs that treat a range of conditions, including diabetes, chronic kidney disease, and rheumatoid arthritis. The prices of these ten drugs will become effective January 1, 2026. In August 2024, HHS published the results of the first Medicare drug price negotiations for ten selected drugs that treat a range of conditions and the prices will become effective January 1, 2026. In January 2025, CMS announced the next 15 drug and biologic prices that will be subject to the IRA’s price negotiation provisions. This second cycle of negotiations with participating drug companies will occur during 2025, and any negotiated prices for this second set of drugs will be effective starting January 1, 2027. CMS issued a public statement on January 2025, declaring that lowering the cost of prescription drugs is a top priority of the new administration and CMS is committed to considering opportunities to bring greater transparency in the negotiation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$2,000 a year beginning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IRA includes a provision exempting orphan drugs from Medicare price negotiation but this exclusion has been interpreted by CMS in final guidance issued in July 2023 to apply only to those orphan drugs with an approved indication (or indications) for a single rare disease or condition. The final guidance clarifies that CMS will consider only active designations/approvals when evaluating a drug for the exclusion, such that designations/indications withdrawn before the selected drug publication date will not be considered. CMS also clarified that, if a drug loses its orphan drug exclusion status, the agency will use the earliest date of approval/licensure to determine whether the product is a qualifying single source drug subject to price negotiations.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Merck filed a lawsuit against HHS and CMS asserting that, among other things, the IRA’s Drug Price Negotiation Program for Medicare constitutes an uncompensated taking in violation of the Fifth Amendment of the Constitution. Subsequently, a number of other parties, including pharmaceutical companies, also filed lawsuits in various courts with similar constitutional claims against HHS and CMS. There have been various decisions by the courts considering these cases since they were filed. The HHS has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won the substantive disputes in these cases or succeeded in getting claims dismissed for lack of standing. Most of these cases are now on appeal. In October 2024, the U.S. Court of Appeals for the Third Circuit heard oral argument in three of these cases. In May 2025, the Third Circuit rejected a pharmaceutical company’s challenge to the Medicare price negotiation program, finding that the program did not violate the company’s due process rights under the U.S. Constitution since there is no protected property interest in selling goods to Medicare beneficiaries at a price higher than what the government is willing to pay in reimbursement. We expect that litigation involving these and other provisions of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the President issued an executive order directing the HHS to take steps to reduce the prices of pharmaceutical products, repeating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12, 2025, the President issued an additional executive order calling on pharmaceutical manufacturers to voluntarily reduce the prices of medicines in the United States. The executive order directs the Secretary of HHS to communicate most</w:t>
        <w:noBreakHyphen/>
        <w:t>favored</w:t>
        <w:noBreakHyphen/>
        <w:t>nation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Subsequently, on May 20, 2025, HHS indicated that the proposed MFN pricing will apply only to brand products without generic or biosimilar competition and the referenced foreign countries will include only those in which the branded product similarly does not have generic or biosimilar competition. Second, HHS indicated that the MFN target price will be the lowest price in a country that is a member of the Organization for Economic Co</w:t>
        <w:noBreakHyphen/>
        <w:t>operation and Development (“OECD”) with a gross domestic product (“GDP”) per capita of at least 60% of the U.S. GDP per capita. Based on previous estimates, there are likely at least 22 OECD countries that would satisfy this criterion. The implications of these actions remain unclear and are likely to result in litigation if the administration pursues an MFN regulatory pricing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recently, 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lower prices for new drugs than the prices offered for such products in the U.S.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which is proposed to go into effect beginning October 1, 2026, and the Guarding U.S. Medicare Against Rising Drug Costs for Medicare Part D drugs, referred to as GUARD, which is proposed to go into effect beginning January 1, 2027.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authorities and individual hospitals are increasingly using bidding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procedures to determine what pharmaceutical products and which suppliers will be included in their prescription drug and other health care programs.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health care payors to contain or reduce costs of health care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any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coverage and reimbursement approval for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in the European Union, similar political, economic and regulatory developments may affect our ability to profitably commercialize our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Candidates, restrict or regulate post-approval activities and affect our ability to commercialize our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markets outside of the United States and the European Union,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Candidates may lose any regulatory approval that may have been obtained and we may not achieve or sustain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customers, physicians and third-party payors will be subject, directly or indirectly, to federal and state health care fraud and abuse laws, false claims laws, health information privacy and security laws, and other health care laws and regulations. If we are unable to comply, or have not fully complied, with such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FDA approval for our current or future Candidates and begin commercializing one or more of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the Physician Payment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 care program, such as the Medicare and Medicaid programs. This statute has been interpreted to apply to arrangements between pharmaceutical manufacturers on the one hand, and prescribers, purchasers and formulary managers on the other. The Health Care Reform Law amended the intent requirement of the federal Anti-Kickback Statute. A person or entity no longer needs to have actual knowledge of this statute or specific intent to violate 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Health Care Reform Law provides and recent government cases against pharmaceutical and medical device manufacturers support the view that Federal Anti-Kickback Statute violations and certain marketing practices, including off-label promotion, may implicate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created new federal criminal statutes that prohibit a person from knowingly and willfully executing a scheme or from making false or fraudulent statements to defraud any health care benefit program, regardless of the payor (e.g., public or private);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other healthcare professionals and teaching hospitals and (ii)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foreign law equivalents of each of the above federal laws, state laws that require drug manufacturers to report information related to payments and other transfers of value to physicians and other health 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we may run afoul of one or more of the requirements.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 and UK.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applicable privacy standards and our contractual obligations can be complex and may be subject to changing interpretation. These obligations may be applicable to some or all of our business activities now or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2018, California passed into law the California Consumer Privacy Act (“CCPA”) which took effect on January 1, 2020 and imposed many requirements on businesses that process the personal information of California residents. Many of the CCPA’s requirements are similar to those found in the General Data Protection Regulation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California, several other states have passed comprehensive privacy laws similar to the CCPA and CPRA. These laws are either in effect or will go into effect sometime over the next several years.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privacy laws that will go into effect over the next several years. Other states will be considering these laws in the future, and Congress has also been debating passing a federal privacy law. There are also states that are specifically regulating health information that may affect our business. These laws may impact our business activities, including our identification of research subjects, relationships with business partners and ultimately the marketing and distribution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could create potential risk for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places restrictions on the cross-border transfer of personal data from the EU to countries that have not been found by the European Commission to offer adequate data protection legislation, such as the United States. There are ongoing concerns about the ability of companies to transfer personal data from the EU to other countries. In July 2020, the Court of Justice of the European Union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and the GDPR, respectively. The UK and the U.S. have also agreed to a U.S.</w:t>
        <w:noBreakHyphen/>
        <w:t>UK “Data Bridge”, which functions similarly to the EU-U.S. Data Privacy Framework and provides an additional legal mechanism for companies to transfer data from the UK to the United States.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October 2022, President Biden signed an executive order to implement the EU-U.S. Data Privacy Framework, which serves as a replacement to the EU-U.S. Privacy Shield. The European Commission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 to the U.S. However, some privacy advocacy groups have already suggested that they will be challenging the EU-U.S. Data Privacy Framework. There is currently one pending litigation against the EU-U.S. Data Privacy Framework before the CJEU. If these challenges are successful, they may not only impact the EU-U.S. Data Privacy Framework, but also further limit the viability of the standard contractual clauses and other data transfer mechanisms. The uncertainty around this issue has the potential to impact our business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Brexit, the UK Data Protection Act 2018 applies to the processing of personal data that takes place in the United Kingdom and includes parallel obligations to those set forth by GDPR. In relation to data transfers, both the United Kingdom and the EU have determined, through separate “adequacy” decisions, that data transfers between the two jurisdictions are in compliance with the UK Data Protection Act and the GDPR, respectively. Any changes or updates to these adequacy decisions have the potential to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subject to anti-corruption laws, including the U.K. Bribery Act 2010 (“Bribery Act”), the U.S. Foreign Corrupt Practices Act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Candidates outside of the United States, which could limit our growth potential and increase our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could limit commercialization of any Candidate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testing of SGT-003, SGT-212, SGT-501 and any of our current and future Candidates in preclinical studies and clinical trials and may face an even greater risk if we commercialize any Candidate that we may develop. If we cannot successfully defend ourselves against claims that our Candidates caused injuries, we could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Candidate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time and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of our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as we commence additional clinical trials and if we successfully commercialize any Candidate. Insurance coverage is increasingly expensive. We may not be able to maintain insurance coverage at a reasonable cost or in an amount adequate to satisfy any liability that may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viruses and other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We also could incur significant costs associated with civil or criminal fines and penalties. We do not carry specific biological or hazardous waste insurance coverage, and our property, casualty and general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liability insurance policies specifically exclude coverage for damages and fines arising from biological or hazardous waste exposure or contamination.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Accordingly, in the event of contamination or injury, we could be held liable for damages or be penalized with fines in an amount exceeding our resources, and our clinical trials or regulatory approvals could be suspended.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internal computer systems, or those of our collaborators, contractors or consultants, may fail or suffer security breaches, which could result in a material disruption of our product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implementation of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w:t>
        <w:noBreakHyphen/>
        <w:t>mail fraud to cause payments or information to be transmitted to an unintended recipient.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are not aware of any such material system failure, accident, cyber-attack or security breach to date, if such an event were to occur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current and other future Candidates could be delayed.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commercialize our Candidates is heavily dependent on licenses to patent rights and other intellectual property granted to us by third parties. In particular, we have licensed certain patents and patent applications from the University of Missouri, the University of Washington and others that are important or necessary to the development of SGT-003, our other Candidates and other elements of our gene transfer program. We have further licensed certain intellectual property from the University of Pennsylvania and others that are important or necessary to the development of SGT-212 and from ICS Maugeri that are important or necessary to the development of SGT-501. Our existing license agreements impose, and we expect that future license agreements will impose, various diligence, development and commercialization obligations, milestone payments, royalties and other obligations on us. If we fail to comply with our obligations under our agreements, we may be subject to damages, which may be significant, and the licensor may have the right to terminate the license, in which event we may not be able to develop or market Candidates or technologies covered by the license. In addition, certain of these license agreements are not assignable by us without the consent of the respective licensor, which may have an adverse effect on our ability to engage in certain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certain of our existing license agreements, we do not have, and under future license agreements we may not have, the right to control the preparation, filing and prosecution of patent applications, or the maintenance, enforcement and defense of the patents and patent applications that we license from third parties. For example, under our inbound license agreements with the University of Missouri and the University of Washington, each of the applicable licensors controls the prosecution of patent applications and the maintenance of patents and patent applications. Therefore, we cannot be certain that the licensed patents and applications will be prosecuted, maintained, enforced and defended in a manner consistent with the best interests of our business. If our licensors fail to maintain, enforce or defend such patents, or lose rights to those patents or patent applications, the rights we have licensed may be reduced or eliminated and our right to develop and commercialize any of our Candidates that are the subject of such licensed rights could be adversely affected. For more information, see Part I, Item 1, “Business—Strategic Partnerships and Collaborations/Licenses” in our Annual Report on Form 10-K for the year ended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licenses to additional third-party intellectual property, technology and materials may be required for our development programs but may not be available in the future or may not be available on commercially reasonable terms. For example, third parties may claim that the constructs containing the gene or protein of interest and the AAV capsids we are developing for use in product candidates are covered by patents held by them. We believe that we would have valid defenses to any such claims; however, if any such claims were ultimately successful, we might require a license to continue to use and sell Candidates and such AAV capsids. Such licenses may not be available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license rights to us. We also may be unable to license or acquire third</w:t>
        <w:noBreakHyphen/>
        <w:t>party intellectual property rights on terms that would allow us to make an appropriate return on our investment. Moreover, even if we are able to obtain such licenses, they may only be non-exclusive, which could permit competitors and other third parties to use the same intellectual property in competition with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collaborate with non-profit and academic institutions to accelerate our preclinical research or development under written agreements with these institutions. These institutions may provide us with an option to negotiate a license to any of the institution’s licensable rights in technology resulting from the collaboration. Regardless of such option, we may be unable to negotiate a license within the required timeframe or under terms that are acceptable to us. If we are unable to do so, the institution may offer the intellectual property rights to other parties, potentially blocking our ability to pursue our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obtain rights, or successfully challenge such rights, to any third-party intellectual property rights that are required for the development and commercialization of our Candidates, and such third-party intellectual property rights are successfully asserted against us, we may be liable for damages, which may be significant, and we may be required to cease the development and commercialization of our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and our licensors’ ability to seek, obtain, maintain, enforce and defend patent rights in the United States and other countries with respect to our Candidates and our future innovation related to our manufacturing technology. Our licensors and we have sought, and we intend to continue to seek, to protect our proprietary position by filing patent applications in the United States and, in at least some cases, one or more countries outside the United States related to our Candidates that are important to our business. However, we cannot predict whether the patent applications we and our licensors are currently pursuing will issue as patents or whether the claims of any issued patents will provide us with a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although we have pending patent applications in the United States and abroad, we cannot predict whether or in which jurisdictions the pending applications will result in issuance of patents that effectively protect any of our Candidates or will effectively prevent others from commercializing competitive products. Further, each of the provisional patent applications is not eligible to become an issued patent until, among other things, we file a non-provisional patent application within 12 months of the filing date of each provisional patent application. If we do not timely file a non-provisional patent application in respect of a provisional patent application, we may lose our priority date with respect to such provisional patent application and any patent protection on the inventions disclosed in such provisional patent application. While we intend to timely file non-provisional patent applications relating to our provisional patent applications, we cannot predict whether such future patent applications will result in the issuance of patents that effectively protect any of our Candidates or will effectively prevent others from commercializing competitive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regarding non</w:t>
        <w:noBreakHyphen/>
        <w:t>patent exclusivity. For example,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file, prosecute, maintain, enforce, defend or license all patents that are necessary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expensive, time-consuming and complex, and we and our licensors may not be able to file, prosecute, maintain, enforce, defend or license all necessary or desirable patents and patent applications at a reasonable cost or in a timely manner.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currently unknown what claims may, if ever, issue from pending applications included in our patent rights. Additionally, certain of our in-licensed U.S. patent rights lack corresponding foreign patents or patent applications, and therefore we will be unable to obtain patent protection for our Candidates in certain jurisdictions. We or our licensors may not be able to obtain or maintain patent protection with respect to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licensed patents or future owned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Patent applications included in our current and future patent rights may not result in patents being issued that protect our Candidates, effectively prevent others from commercializing competitive products or otherwise provide any competitive advantage. In fact, patent applications may not issue as patents at all. Even assuming patents issue from patent applications in which we have rights, changes in either the patent laws or interpretation of the patent laws in the United States and other jurisdictions may diminish the value of our patents or narrow the scope of our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parties have developed products that may be related or competitive to our own and such parties may have filed or may file patent applications, or may have received or may receive patents, claiming inventions that may overlap or conflict with those claimed in our patent applications or issued patents. We may not be aware of all third-party intellectual property rights potentially relating to our Candidates. In addition, we cannot provide any assurances that any of the inventions disclosed in our patent applications will be found to be patentable, including over third-party or our own prior art patents, publications or other disclosures, or will issue as patents. Even if our patent applications issue as patents, we cannot provide any assurances that such patents will not be challenged or ultimately held to be invalid or unenforceable. Publications of discoveries in the scientific literature often lag behind the actual discoveries, and patent applications in the United States and in other jurisdictions are typically not published until 18 months after filing, or, in some cases,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issued patents or patent applications in the future, we may not be certain that we were the first to file for patent protection for the inventions claimed in such patents or patent applications. Furthermore, given the differences in patent laws in the United States, Europe and other foreign jurisdictions, for example, the availability of grace periods for filing patent applications and what can be considered as prior art, we cannot make any assurances that any claims in our pending and future patent applications in the United States or other jurisdictions will issue, or if they do issue, whether they will issue in a form that provides us with any meaningful competitive advantage. Similarly, we cannot make any assurances that if the patentability, validity, enforceability or scope of our pending or future patents and patent applications in the United States or foreign jurisdictions are challenged by any third party, that the claims of such pending or future patents and patent applications will survive any such challenge in a form that provides us with any meaningful competitive advantage. For example, we are aware of certain third-party patents and publications related to certain microdystrophin constructs. While we believe that our owned or in-licensed patents and patent applications claim novel and non-obvious features of microdystrophin constructs that are not described in such third-party patents or publications, such third-party patents and publications may have earlier priority or publication dates and may be asserted as prior art against our owned or in-licensed patents and applications. Any such challenge, if successful, could limit or eliminate patent protection for our products and Candidates or otherwise materially harm our business. As a result, the issuance, scope, validity, enforceability and commercial value of our patent rights cannot be predicted with any 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patent applications we license or may own in the future do issue as patents, they may not issue in a form that will provide us with any meaningful protection, prevent competitors or other third parties from competing with us or otherwise provide us with any competitive advantage. Any patents that we license or may own in the future may be challenged, narrowed, circumvented, or invalidated by third parties. Consequently, we do not know whether any of our Candidates will be protectable or remain protected by valid and enforceable patents. Our competitors or other third parties may be able to circumvent our patents by developing similar or alternative products in a non-infringing manner.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patent protection we require to successfully compete in the marketplace may be unavailable. We cannot provide any assurances that any of the patents or patent applications included in our patent rights include or will include claims with a scope sufficient to protect our Candidates or otherwise provide any competitive advantage. In addition, the laws of foreign countries may not protect our proprietary rights to the same extent as the laws of the United States. Furthermore, patents have a limited lifespan. In the United States, the natural expiration of a patent is generally twenty years after it is filed. Certain extensions may be available, however, the life of a patent, and the protection it affords, is limited. Given the amount of time required for the development, testing and regulatory review of new Candidates, patents protecting such Candidates might expire before or shortly after such Candidates are commercialized. As a result, our patent rights may not provide us with adequate and continuing patent protection sufficient to exclude others from commercializing products similar or identical to our Candidates, including biosimilar versions of such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licensed patents, and any patents we may own in the future, may be challenged, narrowed, invalidated or held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in-licensed patents or any patents we may own in the future are not valid or enforceable for a number of reasons. If a court agrees, we would lose our rights to those challenged patents. Third parties also may raise similar claims before administrative bodies in the United States or abroad, even outside the context of litigation. Such proceedings could result in the revocation or cancellation of or amendment to our licensed patents and any patents we may own in the future in such a way that they no longer cover our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issued, the issuance of a patent is not conclusive as to its inventorship, scope, validity or enforceability, and our current and future patent rights may be challenged in the courts or patent offices in the United States and abroad. For example, we may be subject to a third-party submission of prior art to the U.S. Patent and Trademark Office (“USPTO”) challenging the validity of one or more claims of patents included in our patent rights. Such submissions may also be made prior to a patent’s issuance, precluding the granting of a patent based on one of the pending patent applications included in our patent rights. We may become involved in opposition, derivation,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or interference proceedings challenging one or more patents included in our patent rights. For example, competitors may claim that they invented the inventions claimed in patents or patent applications included in our patent rights, such as the microdystrophin we use in SGT-003, prior to the inventors of such patents or patent applications, or may have filed one or more patent applications before the filing of the patents or patent applications included in our patent rights. A competitor who can establish an earlier filing or invention date may also assert that we are infringing their patents and that we therefore cannot practice our technology related to our Candidates as claimed in the patents or patent applications included in our patent rights. Competitors may also contest patents or patent applications included in our patent rights by showing that the claimed subject matter was not patent-eligible, was not novel or was obvious or that the patent claims failed any other requirement for patentability or enforceability. In addition, we may in the future be subject to claims by our or our licensors’ current or former employees or consultants asserting an ownership right in the patents or patent applications included in our patent rights as an inventor or co</w:t>
        <w:noBreakHyphen/>
        <w:t>inventor, as a result of the work they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therapeutics, without payment to us, or could limit the duration of the patent protection covering our Candidates. Such challenges may also result in our inability to manufacture or commercialize our Candidates without infringing third</w:t>
        <w:noBreakHyphen/>
        <w:t>party patent rights, and we may be required to obtain a license from third parties, which may not be available on commercially reasonable terms or at all, or we may need to cease the development, manufacture and commercialization of one or more of our Candidates. In addition, if the breadth or strength of protection provided by the patents and patent applications included in our patent rights is threatened, it could dissuade companies from collaborating with us to license, develop or commercialize current or future Candidates. Such proceedings also may result in substantial cost and require significant time from our scientists and management, even if the eventual outcome is favorable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they are unchallenged, the patents and pending patent applications included in our patent rights may not provide us with any meaningful protection or prevent competitors from designing around our patent claims to circumvent our patent rights by developing similar or alternative therapeutics in a non-infringing manner. For example, a third party may develop a competitive therapeutic that provides benefits similar to one or more of our Candidates but that uses a capsid or an expression construct that falls outside the scope of our patent protection. If the patent protection provided by the patents and patent applications we license or pursue with respect to our Candidates is not sufficiently broad to impede such competition, our ability to successfully commercialize our Candidates could be negatively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depend, and will continue to depend, on our license, collaboration and other similar agreements. Further development and commercialization of our Candidates and platform technologies may require us to enter into additional license, collaboration or other similar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impact our ability to sublicense the relevant 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licenses or material relationships are terminated or breached,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lose our rights to develop and market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lose patent protection for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significant delays in the development or commercialization of our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able to obtain any other licenses on acceptable terms, if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liability for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risks apply to any agreements that we may enter into in the future for our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or plan to enter into, license agreements with third parties and may need to obtain additional licenses from one or more of these same third parties or from others to advance our research or allow our commercialization of our Candidates. It is possible that we may be unable to obtain such licenses at a reasonable cost or on reasonable terms, if at all. In that event, we may be required to expend significant time and resources to redesign Candidates or the methods for manufacturing them or to develop or license replacement products, all of which may not be feasible on a technical or commercial basis. If we are unable to do so, we may be unable to develop or commercialize our Candidates. We cannot provide any assurances that third-party patents or other intellectual property rights do not exist that might be enforced against our manufacturing methods, Candidates or any technologies we may develop, resulting in either an injunction prohibiting our manufacture or sales, or, with respect to our sales, an obligation on our part to pay royalties and/or other forms of compensation to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existing license agreements provide the licensor sole control of patent prosecution of the licensed technology, and we may be required to reimburse the licensor for their costs of patent prosecution. Future license agreements may require the same.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certain of our license agreements our licensors have the first right to bring any actions against any third party for infringing on the patents we have licensed. Our license agreements also require us to meet development thresholds to maintain the license, including establishing a set timeline for developing and commercializing Candidates. Disputes may arise regarding intellectual property subject to our licensing agreements,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products or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 under our collaborative development relationships;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or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licensed patented inventions.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our Candidates. In spite of our best efforts, our licensors might conclude that we have materially breached our license agreements and might therefore terminate the license agreements, thereby resulting in disputes or litigation, which could cause us to incur substantial costs and distract management’s time, and if we are unsuccessful, we could lose our ability to develop and commercialize products covered by these license agreements. If these licenses are ultimately terminated by the licensor, or if the underlying patents fail to provide the intended exclusivity, competitors would have the freedom to seek regulatory approval of, and to market, products identical to ours.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upon our ability and the ability of our future collaborators to develop, manufacture, market and sell our Candidates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or our licensors may in the future become party to, or be threatened with, adversarial proceedings or litigation regarding intellectual property rights with respect to our Candidates,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Our competitors or other third parties may assert infringement claims against us, alleging that, among other things, our therapeutics, manufacturing methods, formulations or administration methods are covered by their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vast number of patents in our field of technology, we cannot be certain or guarantee that a court would hold that any of our Candidates do not infringe an existing patent or a patent that may be granted in the future. Many companies and institutions have filed, and continue to file, patent applications related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may later result in issued patents that may be infringed by the manufacture, use, sale or importation of our Candidates and we may or may not be aware of such patents. If a patent holder believes the manufacture, use, sale or importation of one of our Candidates infringes its patent, the patent holder may sue us even if we have licensed other patent protection for our Candidates. Moreover, we may face patent infringement claims from non-practicing entities that have no relevant product revenue and against whom our licensed patent portfolio may therefore have no deterrent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possible that we have failed to identify relevant third-party patents or applications for which we may need a license to develop and commercialize our Candidates.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Candidates. In addition, we may be unaware of one or more issued patents that would be infringed by the manufacture, sale or use of a current or future Candidate, or we may incorrectly conclude that a third-party patent is invalid, unenforceable or not infringed by our activities. Additionally, pending patent applications that have been published can, subject to certain limitations, be later amended in a manner that could cover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For example, third parties may claim that gene or protein of interest, such as microdystrophin, or the AAV capsids we are developing for use in our Candidates are covered by patents held by them. Even if we believe such claim, or other intellectual property claims alleged by third parties, are without merit, there is no assurance that we would be successful in defending such claims. A court of competent jurisdiction could hold that these third-party patents are valid, enforceable and infringed, which could materially and adversely affect our ability to commercialize our Candidates covered by the asserted third-party patents. In order to successfully challenge the validity of any such U.S. patent in federal court, we would need to overcome a presumption of validity. As this burden is a high one requiring us to present clear and convincing evidence as to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invalidity of any such U.S. patent claim, there is no assurance that a court of competent jurisdiction would invalidate the claims of any such U.S. patent. Similarly, there is no assurance that a court of competent jurisdiction would find that our Candidates did not infringe a third-party patent.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and other types of intellectual property litigation can involve complex factual and legal questions, and their outcome is uncertain. If we are found, or believe there is a risk that we may be found, to infringe, misappropriate or otherwise violate a third party’s intellectual property rights, and we are unsuccessful in demonstrating that such intellectual property rights are invalid or unenforceable, we could be required or may choose to obtain a license from such third party to continue developing, manufacturing and marketing our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Candidate. In addition, we could be found liable for monetary damages, including treble damages and attorneys’ fees, if we are found to have willfully infringed a patent or other intellectual property right. A finding of infringement, misappropriation or other violation of intellectual property rights, or claims that we have done so, could prevent us from manufacturing and commercializing our Candidates or force us to cease some or all of our business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is unpredictable and generally expensive and time-consuming. Competitors may infringe patents that we may own in the future or the patents of our licensing partners or we may be required to defend against claims of infringement.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patents and/or applications will be due to be paid to the USPTO and various government patent agencies outside of the United States over the lifetime of our licensed patents and applications and any patents and patent applications we may own in the future. The USPTO and various non-U.S. government patent agencies require compliance with several procedural, documentary, fee payment and other similar provisions during the patent application process. We employ reputable intellectual property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Some intellectual property that we have in-licensed may have been discovered through government-funded programs and thus may be subject to federal regulations such as “march-in” rights, certain reporting requirements, and a preference for U.S. manufacturing.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 intellectual property rights we have licensed, including such rights licensed from the University of Missouri, the University of Washington and the University of Florida, are stated to have been generated through the use of U.S. government funding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may therefore be subject to certain federal regulations. As a result, the U.S. government may have certain rights to intellectual property embodied in our current or future Candidates pursuant to the Bayh-Dole Act of 1980 (“Bayh-Dole Act”). These U.S. government rights in certain inventions developed under a government-funded program include a non</w:t>
        <w:noBreakHyphen/>
        <w:t>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and proprietary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maintaining, enforcing and defending patents on Candidates in all countries throughout the world would be prohibitively expensive, and our intellectual property rights in some countries outside the United States could be less extensive than those in the United States. Although our license agreements grant us worldwide rights, certain of our in</w:t>
        <w:noBreakHyphen/>
        <w:t>licensed U.S. patents lack corresponding foreign patents or patent applications. For example,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inventions in jurisdictions where we and our licensors have not pursued and obtained patent protection to develop their own products and may export otherwise infringing products to territories where we have patent protection, but where enforcement is not as strong as it is in the United States. These products may compete with our Candidates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rights, particularly those relating to biotechnology products, which could make it difficult for us to stop the infringement of our patents, if pursued and obtained, or the marketing of competing products in violation of our intellectual property and proprietary rights generally. Proceedings to enforce our intellectual property and proprietary rights in foreign jurisdictions could (i) result in substantial costs and divert our efforts and attention from other aspects of our business, (ii) put our patents at risk of being invalidated or interpreted narrowly and our patent applications at risk of not issuing and (iii)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the discovery and development processes of our Candidates or technology platforms that involve proprietary know</w:t>
        <w:noBreakHyphen/>
        <w:t>how, information or technology that is not covered by patents. Aspects of our manufacturing process are protected by trade secrets. However, trade secrets can be difficult to protect and some courts inside and outside the United States are less willing or unwilling to protect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our proprietary know-how, trade secrets and processes, in part, by entering into confidentiality agreements and, if applicable, material transfer agreements, consulting agreements or other similar agreements with our employees, consultants, scientific advisors, CROs, manufacturers and contractors. These agreements typically limit the rights of third parties to use or disclose our confidential information. However, we may not be able to prevent the unauthorized disclosure or use of our technical know-how or other trade secrets by the parties to these agreements, despite the existence generally of confidentiality agreements and other contractual restrictions. We cannot guarantee that we have entered into such agreements with each party that may have or have had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to our trade secrets or proprietary processes. Monitoring unauthorized uses and disclosures is difficult and we do not know whether the steps we have taken to protect our proprietary know-how and trade secrets will be effective. If any of our employees, collaborators, CROs, manufacturers, consultants, advisors and other third parties who are parties to these agreements breaches or violates the terms of any of these agreements, we may not have adequate remedies for any such breach or violation. Enforcing a claim that a party illegally disclosed or misappropriated a trade secret is difficult, expensive, and time-consuming, and the outcome is unpredictable. As a result, we could lose our trade secrets. We also seek to preserve the integrity and confidentiality of our data and trade secrets by maintaining physical security of our premises and physical and electronic security of our information technology systems. While we have confidence in these security measures, they may still be breached, and we may not have adequate remedies for any breach.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trade secrets may otherwise become known or be independently discovered by competitors. Competitors could purchase our Candidates, if approved, and attempt to replicate some or all of the competitive advantages we derive from our development efforts, willfully infringe, misappropriate or otherwise violate our intellectual property rights, design around our protected know-how and trade secrets,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products and technologies, our competitive position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and may prevent us from successfully commercializing our Candidates. Moreover, any such litigation or the threat of such litigation may adversely affect our ability to hire employees or contract with independent contractors. A loss of key personnel or their work product could hamper or prevent our ability to commercialize our Candidates. Even if we are successful in defending against such claims, litigation could result in substantial costs and be a distraction to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ineffective in perfecting ownership of inventions developed by that individual.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Prior to March 2013 in the United States, assuming that other requirements for patentability are met, the first to make the claimed invention was entitled to the patent, while outside the United States, the first to file a patent application was entitled to the patent. After March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through various post-grant proceedings administered by the USPTO.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as, among other reasons, the USPTO must still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various regulations. However, the Leahy-Smith Act and its implementation could increase the uncertainties and costs surrounding the prosecution of our patent applications and the enforcement or defense of our issued patents.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patent positions of companies engaged in the development and commercialization of biologics and pharmaceuticals are particularly uncertain. Two cases involving diagnostic method claims and “gene patents” have been decided by the U.S. Supreme Court. On March 20, 2012, the U.S. Supreme Court issued a decision in </w:t>
      </w:r>
      <w:r>
        <w:rPr>
          <w:rFonts w:ascii="Times New Roman" w:hAnsi="Times New Roman"/>
          <w:i/>
          <w:color w:val="000000"/>
          <w:sz w:val="20"/>
        </w:rPr>
        <w:t xml:space="preserve">Mayo Collaborative Services v. Prometheus Laboratories, Inc. </w:t>
      </w:r>
      <w:r>
        <w:rPr>
          <w:rFonts w:ascii="Times New Roman" w:hAnsi="Times New Roman"/>
          <w:color w:val="000000"/>
          <w:sz w:val="20"/>
        </w:rPr>
        <w:t xml:space="preserve">(“Prometheus”), a case involving patent claims directed to a process of measuring a metabolic product in a patient to optimize a drug dosage for the patient. According to the U.S. Supreme Court, the addition of well 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patent claim amounts to significantly more than the natural principle itself should be rejected as directed to patent-ineligible subject matter. On June 13, 2013, the U.S. Supreme Court issued its decision in Association for </w:t>
      </w:r>
      <w:r>
        <w:rPr>
          <w:rFonts w:ascii="Times New Roman" w:hAnsi="Times New Roman"/>
          <w:i/>
          <w:color w:val="000000"/>
          <w:sz w:val="20"/>
        </w:rPr>
        <w:t xml:space="preserve">Molecular Pathology v. Myriad Genetics, Inc. </w:t>
      </w:r>
      <w:r>
        <w:rPr>
          <w:rFonts w:ascii="Times New Roman" w:hAnsi="Times New Roman"/>
          <w:color w:val="000000"/>
          <w:sz w:val="20"/>
        </w:rPr>
        <w:t>(“Myriad”),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may be patent-eligible.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2014, the USPTO issued a guidance to its patent examiners for evaluating claims for patent subject matter eligibility under the relevant statute (35 U.S.C. § 101). This guidance was in response to a series of decisions from the U.S. Supreme Court on patent claims reciting judicial exceptions, including Abstract Ideas, Laws of Nature/Natural Principles, Natural Phenomena and/or Natural Products. Based on judicial decisions and public feedback, several supplements to this guidance and additional memoranda and materials have since been issued and are continually being issued, while the current eligibility guidance has been incorporated into the latest (10th) edition of the MPEP (Manual for Patent Examination Procedure), last revised in June 2020. The current subject matter eligibility guideline instructs USPTO examiners to follow a two-part test, set forth in the U.S. Supreme Court decisions Alice/Mayo, as the only test that should be used to evaluate the eligibility of claims under examination, including claims directed to natural products and principles including all naturally occurring nucleic acids. 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current USPTO subject matter eligibility guidance and the constantly evolving case law, together with contemplated congressional action, could all impact our ability to pursue similar patent claims in patent applications we may prosecute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assure our stockholders that our efforts to seek patent protection for our Candidates will not be negatively impacted by the decisions described above, rulings in other cases or changes in guidance or procedures issued by the USPTO. We cannot fully predict what impact the U.S.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although the U.S. Supreme Court has held in Myriad that isolated segments of naturally occurring DNA are not patent</w:t>
        <w:noBreakHyphen/>
        <w:t>eligible subject matter, certain third parties could allege that activities that we may undertake infringe other gene</w:t>
        <w:noBreakHyphen/>
        <w:t>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for patents relating to our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our Candidates, one or more U.S. patents that we license or may own in the future may be eligible for limited patent term extension under the Drug Price Competition and Patent Term Restoration Act of 1984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be able to enter the market sooner.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registered trademarks with the USPTO for the marks “SOLID BIOSCIENCES”, and “SOLID BIOSCIENCES” logo and registered marks in foreign jurisdictions for “SOLID BIOSCIENCES”, “SOLID GT” and “SOLID BIOSCIENCES” logo. Once registered,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and regulatory exclusivity rights do not necessarily address all potential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gene therapy products that are similar to our Candidates but that are not covered by the claims of the patents that we license or may own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license partners or collaborators, might not have been the first to make the inventions covered by the issued patent or pending patent applications that we license or may own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and future license partners or collaborators, might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products or duplicate any of our processes without infringing our owned or licensed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licensed patent applications or those that we may own in the future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hold rights to now or in the future may be held invalid or unenforceable,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have access to the same intellectual property rights licensed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or other intellectual property rights of others may have an adverse effect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for certain trade secrets or know how, and a third party may subsequently file a patent covering such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approved, our Candidates that are licensed and regulated as biologics may face competition from biosimilars approved through an abbreviated regulatory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(“BPCIA”) was enacted as part of the Health Care Reform Law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regulatory exclusivity from the time of first licensure of the product, and the FDA will not accept an application for a biosimilar or interchangeable product based on the reference biological product until four years after the date of first licensure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2022, Congress clarified through FDORA, that the FDA may approve multiple first interchangeable biosimilar biological products so long as the products are all approved on the same first day on which such a product is approved as interchangeable with the reference product and the exclusivity period may be shared amongst multiple first interchangeable products. More recently, in October 2023, the FDA issued its first interchangeable exclusivity determination under the BPCIA.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any of the Candidates we develop as a biological product under a BLA should qualify for the 12-year period of exclusivity. However, there is a risk that this exclusivity could be shortened due to congressional action or otherwise, or that the FDA will not consider the subject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w:t>
        <w:noBreakHyphen/>
        <w:t>biological products will depend on a number of marketplace and regulatory factors that are still developing. Nonetheless, the approval of a biosimilar to our Candidates would have a material adverse impact on our business due to increased competition and pricing pressure.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executive officers, directors and principal stockholders maintain the ability to control or significantly influence all matters submitted to our stockholders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and directors and principal stockholders, in the aggregate, beneficially own shares representing a significant percentage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concentration of voting power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defer or prevent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entrench our management and our Board of Directors;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prevent a merger, consolidation, takeover or other business combination involving us on terms that other stockholders may desire.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number of our total outstanding shares may be sold into the market in the near future, which could cause the market price of our common stock to drop significantly, even if our business is performing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(the “Securities Act”), or to the extent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2020, in connection with the execution of our collaboration and license agreement with Ultragenyx, we issued and sold 521,719 shares of our common stock to Ultragenyx. For the ten-year period after date of such sale, subject to specified conditions, we have agreed to file a registration statement in order to register all or a portion of the shares sold to Ultragenyx.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in connection with the execution of our collaboration, patent and know-how license agreement with Mayo Foundation for Medical Education and Research (“Mayo”), we issued 364,990 shares of our common stock to Mayo in a private placement. In February 2025, we made the first milestone payment of 975,496 shares of our common stock to FA212 following the FDA’s clearance of our IND for SGT-212 for the treatment of FA. In January 2026, we made the second milestone payment of 1,316,899 shares of our common stock to FA212 following the dosing of the first participant in the Phase 1b FALCON clinical trial of SGT-212. We have filed resale registration statements to register all of the shares issued to Mayo and FA212.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2019, December 2020, January 2024 and March 2026, we completed private placements, and in February 2025 we completed a public offering, of shares of our common stock and pre</w:t>
        <w:noBreakHyphen/>
        <w:t xml:space="preserve">funded warrants to purchase shares of our common stock to several accredited investors. In December 2022, we also issued shares of our common stock in the Acquisition and in a related private placement to several accredited investors. We have filed registration statements covering the resale of these shares by the purchasers in these private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placements, and the stock consideration issued in the Acquisition, and have agreed to keep such registration statements effective until the date the shares covered by the respective registration statement have been sold or can be resold without restriction under Rule 144 of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filed registration statements registering all shares of common stock that we may issue under our equity compensation plans. These shares can be freely sold in the public market upon issuance, subject to black-out periods and volume limitations applicable to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on file with the SEC universal shelf registration statements which allow us to offer and sell registered common stock, preferred stock, debt securities, depositary shares, warrants and/or units from time to time pursuant to one or more offerings at prices and terms to be determined at the time of sale.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price of our common stock has been, and in the future is likely to be, volatile and fluctuate substantially, which could result in substantial losses for 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has been, and in the future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our stockholders may not be able to sell their shares of common stock at or above the price they paid for their shares.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implement our proposed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or developments in preclinical studies and clinical trials of our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the European Union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Candidates, or our clinical development programs and our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discover, develop, acquire or in-license additional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development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or delays in obtaining adequate product supply for any approved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public health emergencies or pandemics on both the healthcare system and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liquidity for our stock and daily share volumes transacted;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the Nasdaq Global Select Market;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securities class-action litigation often has been instituted against that company. We and certain of our executive officers and board members have previously been named as defendants in purported class action lawsuits. Any such litigation instituted against us could cause us to incur substantial costs to defend such claims and divert management’s attention and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common stock is listed on the Nasdaq Global Select Market,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shares without depressing the market price for the shares, if at all.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and we will remain a smaller reporting company so long as the market value of our common stock held by non-affiliates is less than $250 million measured on the last business day of our second fiscal quarter, or our annual revenues are less than $100 million during the most recently completed fiscal year and the market value of our common stock held by non-affiliates is less than $700 million measured on the last business day of our second fiscal quarter. Smaller reporting companies are able to provide simplified executive compensation disclosure and have certain other reduced disclosure obligations, including, among other things, being permitted to provide only two years of audited financial statements, with correspondingly reduced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take advantage of some, but not all, of the available exemptions. We have taken advantage of reduced reporting burdens in our filings with the SEC.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market value of our common stock held by non-affiliates as of June 30, 2026, we will no longer be able to take advantage of any of the exemptions from various reporting requirements that are applicable to smaller reporting companies beginning with our Quarterly Report on Form 10-Q for the quarterly period ending March 31, 2027. We expect that the loss of our smaller reporting company status and compliance with these additional requirements will increase our legal and financial compliance costs. In addition, any failure to comply with these additional requirements in a timely manner, or at all, could have an adverse effect on our business and results of operations and could cause a decline in the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Those expenses will increase if we do not remain a smaller reporting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of the Sarbanes-Oxley Act (“Section 404”), we are required to furnish a report by our management on our internal control over financial reporting. However, while we remain a smaller reporting company with less than $100 million in annual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certificate of incorporation and our bylaws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not all members of our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two-thirds of the votes that all our stockholders would be entitled to cast to amend or repeal certain provisions of our certificate of incorporation or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is the only sole source of gain for an investment in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provides that the Court of Chancery of the State of Delaware is the exclusive forum for certain litigation that may be initiated by our stockholders, which could limit our stockholders’ ability to obtain a favorable judicial forum for such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unless we consent in writing to the selection of an alternative forum,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DGCL, our certificate of incorporation or our bylaws or (iv) any action asserting a claim governed by the internal affairs doctrine. We do not intend to have this choice of forum provision apply to, and this choice of forum provision will not apply to, actions arising under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10"/>
        <w:jc w:val="left"/>
        <w:rPr>
          <w:rFonts w:ascii="Times New Roman" w:hAnsi="Times New Roman"/>
          <w:b/>
          <w:color w:val="000000"/>
          <w:sz w:val="20"/>
        </w:rPr>
      </w:pPr>
      <w:r>
        <w:rPr>
          <w:rFonts w:ascii="Times New Roman" w:hAnsi="Times New Roman"/>
          <w:b/>
          <w:color w:val="000000"/>
          <w:sz w:val="20"/>
        </w:rPr>
        <w:t>Risks Related to Lease Disruptions, Laboratory Infrastructure and Potential Displacement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Disruptions at our leased office and laboratory facilities, including landlord-initiated upgrades or limitations on our quiet enjoyment rights, could materially impair our operations and require us to incur significant costs to secure alternative space.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lease office and laboratory facilities that are critical to our operations and that depend on specialized infrastructure, including HVAC systems, environmental controls, uninterrupted power supply, backup generation, water and drainage systems, chemical storage and handling capabilities, and compliance with applicable health, safety and environmental regulations. Our lease agreements typically require landlords to maintain building and building systems. These activities, as well as failures or interruptions in building systems, may disrupt our operations, limit access to portions of our facilities, or otherwise interfere with our use and enjoyment of the premises.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laboratory operations, even temporary interruptions—such as fluctuations in temperature, vibration, sound, ventilation, or power—can result in loss of research materials, compromise of experiments, damage to sensitive equipment, or delays in development timelines. In addition, disruptions may affect our ability to maintain required regulatory, quality, or biosafety standards, which could lead to compliance issues or the need to suspend certain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disruptions to our facilities are prolonged or significant, we may need to temporarily or permanently relocate some or all of our operations. Suitable replacement space for laboratory use may require substantial buildout, permitting, validation and regulatory approvals before it can be used. As a result, we may be unable to secure alternative facilities on acceptable timelines or terms. Any relocation or expansion into new space could involve significant costs, including lease termination or modification fees, duplicative rent, tenant improvement expenses, equipment requalification, and operational downtime. We may also experience reduced productivity, loss of key personnel, or delays in our research, development or regulatory activities during any transition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successful in obtaining adequate remedies for any such issues, and some, such as rent abatement, may not fully offset the financial or operational impact of disruptions. Accordingly, disruptions affecting our leased office and laboratory facilities could have a material adverse effect on our business, financial condition, results of operations and ability to execute our strategy.</w:t>
      </w:r>
    </w:p>
    <w:p>
      <w:pPr>
        <w:pStyle w:val="TextBody"/>
        <w:bidi w:val="0"/>
        <w:spacing w:before="18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sell any securities during the three months ended June 30, 2026 that were not registered under the Securities Act of 1933, as amended, and that have not otherwise been described in a Current Report on Form 8-K.</w:t>
      </w:r>
    </w:p>
    <w:p>
      <w:pPr>
        <w:pStyle w:val="TextBody"/>
        <w:bidi w:val="0"/>
        <w:spacing w:before="360" w:after="283"/>
        <w:jc w:val="left"/>
        <w:rPr>
          <w:rFonts w:ascii="Times New Roman" w:hAnsi="Times New Roman"/>
          <w:sz w:val="20"/>
        </w:rPr>
      </w:pPr>
      <w:bookmarkStart w:id="18" w:name="item_5_othe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None of our directors or officers adopted or terminated a Rule 10b5-1 trading arrangement or a non-Rule 10b5-1 trading arrangement (as defined in Item 408(c) of Regulation S-K) during the second quarter of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9" w:name="tx567579_16"/>
      <w:bookmarkEnd w:id="19"/>
      <w:r>
        <w:rPr>
          <w:rFonts w:ascii="Times New Roman" w:hAnsi="Times New Roman"/>
          <w:b/>
          <w:color w:val="000000"/>
          <w:sz w:val="20"/>
        </w:rPr>
        <w:t>Item 6. Ex</w:t>
      </w:r>
      <w:bookmarkStart w:id="20" w:name="item_6_exhibits"/>
      <w:bookmarkEnd w:id="20"/>
      <w:r>
        <w:rPr>
          <w:rFonts w:ascii="Times New Roman" w:hAnsi="Times New Roman"/>
          <w:b/>
          <w:color w:val="000000"/>
          <w:sz w:val="20"/>
        </w:rPr>
        <w:t>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5"/>
        <w:gridCol w:w="9420"/>
      </w:tblGrid>
      <w:tr>
        <w:trPr/>
        <w:tc>
          <w:tcPr>
            <w:tcW w:w="785" w:type="dxa"/>
            <w:tcBorders/>
            <w:vAlign w:val="center"/>
          </w:tcPr>
          <w:p>
            <w:pPr>
              <w:pStyle w:val="TableContents"/>
              <w:bidi w:val="0"/>
              <w:spacing w:before="0" w:after="283"/>
              <w:jc w:val="left"/>
              <w:rPr>
                <w:sz w:val="4"/>
                <w:szCs w:val="4"/>
              </w:rPr>
            </w:pPr>
            <w:r>
              <w:rPr>
                <w:sz w:val="4"/>
                <w:szCs w:val="4"/>
              </w:rPr>
            </w:r>
          </w:p>
        </w:tc>
        <w:tc>
          <w:tcPr>
            <w:tcW w:w="9420" w:type="dxa"/>
            <w:tcBorders/>
            <w:vAlign w:val="center"/>
          </w:tcPr>
          <w:p>
            <w:pPr>
              <w:pStyle w:val="TableContents"/>
              <w:bidi w:val="0"/>
              <w:spacing w:before="0" w:after="283"/>
              <w:jc w:val="left"/>
              <w:rPr>
                <w:sz w:val="4"/>
                <w:szCs w:val="4"/>
              </w:rPr>
            </w:pPr>
            <w:r>
              <w:rPr>
                <w:sz w:val="4"/>
                <w:szCs w:val="4"/>
              </w:rPr>
            </w:r>
          </w:p>
        </w:tc>
      </w:tr>
      <w:tr>
        <w:trPr/>
        <w:tc>
          <w:tcPr>
            <w:tcW w:w="785"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Number</w:t>
            </w:r>
          </w:p>
        </w:tc>
        <w:tc>
          <w:tcPr>
            <w:tcW w:w="9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b/>
                <w:color w:val="000000"/>
                <w:sz w:val="16"/>
                <w:u w:val="single"/>
              </w:rPr>
              <w:t>Description</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4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9420" w:type="dxa"/>
            <w:tcBorders/>
            <w:tcMar>
              <w:top w:w="0" w:type="dxa"/>
              <w:left w:w="0" w:type="dxa"/>
              <w:bottom w:w="0" w:type="dxa"/>
              <w:right w:w="0" w:type="dxa"/>
            </w:tcMar>
            <w:vAlign w:val="center"/>
          </w:tcPr>
          <w:p>
            <w:pPr>
              <w:pStyle w:val="TableContents"/>
              <w:bidi w:val="0"/>
              <w:spacing w:before="0" w:after="283"/>
              <w:jc w:val="left"/>
              <w:rPr/>
            </w:pPr>
            <w:hyperlink w:anchor="sldb-ex3_1.htm">
              <w:r>
                <w:rPr>
                  <w:rStyle w:val="InternetLink"/>
                  <w:rFonts w:ascii="Times New Roman" w:hAnsi="Times New Roman"/>
                  <w:color w:val="0000FF"/>
                  <w:sz w:val="20"/>
                  <w:u w:val="single"/>
                </w:rPr>
                <w:t>Certificate of Incorporation of Solid Biosciences Inc., as amended</w:t>
              </w:r>
            </w:hyperlink>
          </w:p>
        </w:tc>
      </w:tr>
      <w:tr>
        <w:trPr/>
        <w:tc>
          <w:tcPr>
            <w:tcW w:w="7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9420" w:type="dxa"/>
            <w:tcBorders/>
            <w:tcMar>
              <w:top w:w="0" w:type="dxa"/>
              <w:left w:w="0" w:type="dxa"/>
              <w:bottom w:w="0" w:type="dxa"/>
              <w:right w:w="0" w:type="dxa"/>
            </w:tcMar>
            <w:vAlign w:val="center"/>
          </w:tcPr>
          <w:p>
            <w:pPr>
              <w:pStyle w:val="TableContents"/>
              <w:bidi w:val="0"/>
              <w:spacing w:before="0" w:after="283"/>
              <w:jc w:val="left"/>
              <w:rPr/>
            </w:pPr>
            <w:hyperlink w:anchor="sldb-ex10_1.htm">
              <w:r>
                <w:rPr>
                  <w:rStyle w:val="InternetLink"/>
                  <w:rFonts w:ascii="Times New Roman" w:hAnsi="Times New Roman"/>
                  <w:color w:val="0000FF"/>
                  <w:sz w:val="20"/>
                  <w:u w:val="single"/>
                </w:rPr>
                <w:t>Summary of Non-Employee Director Compensation Program</w:t>
              </w:r>
            </w:hyperlink>
          </w:p>
        </w:tc>
      </w:tr>
      <w:tr>
        <w:trPr/>
        <w:tc>
          <w:tcPr>
            <w:tcW w:w="7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9420" w:type="dxa"/>
            <w:tcBorders/>
            <w:tcMar>
              <w:top w:w="0" w:type="dxa"/>
              <w:left w:w="0" w:type="dxa"/>
              <w:bottom w:w="0" w:type="dxa"/>
              <w:right w:w="0" w:type="dxa"/>
            </w:tcMar>
            <w:vAlign w:val="center"/>
          </w:tcPr>
          <w:p>
            <w:pPr>
              <w:pStyle w:val="TableContents"/>
              <w:bidi w:val="0"/>
              <w:spacing w:before="0" w:after="283"/>
              <w:jc w:val="left"/>
              <w:rPr/>
            </w:pPr>
            <w:hyperlink w:anchor="sldb-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9420" w:type="dxa"/>
            <w:tcBorders/>
            <w:tcMar>
              <w:top w:w="0" w:type="dxa"/>
              <w:left w:w="0" w:type="dxa"/>
              <w:bottom w:w="0" w:type="dxa"/>
              <w:right w:w="0" w:type="dxa"/>
            </w:tcMar>
            <w:vAlign w:val="center"/>
          </w:tcPr>
          <w:p>
            <w:pPr>
              <w:pStyle w:val="TableContents"/>
              <w:bidi w:val="0"/>
              <w:spacing w:before="0" w:after="283"/>
              <w:jc w:val="left"/>
              <w:rPr/>
            </w:pPr>
            <w:hyperlink w:anchor="sldb-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9420" w:type="dxa"/>
            <w:tcBorders/>
            <w:tcMar>
              <w:top w:w="0" w:type="dxa"/>
              <w:left w:w="0" w:type="dxa"/>
              <w:bottom w:w="0" w:type="dxa"/>
              <w:right w:w="0" w:type="dxa"/>
            </w:tcMar>
            <w:vAlign w:val="center"/>
          </w:tcPr>
          <w:p>
            <w:pPr>
              <w:pStyle w:val="TableContents"/>
              <w:bidi w:val="0"/>
              <w:spacing w:before="0" w:after="283"/>
              <w:jc w:val="left"/>
              <w:rPr/>
            </w:pPr>
            <w:hyperlink w:anchor="sld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9420" w:type="dxa"/>
            <w:tcBorders/>
            <w:tcMar>
              <w:top w:w="0" w:type="dxa"/>
              <w:left w:w="0" w:type="dxa"/>
              <w:bottom w:w="0" w:type="dxa"/>
              <w:right w:w="0" w:type="dxa"/>
            </w:tcMar>
            <w:vAlign w:val="center"/>
          </w:tcPr>
          <w:p>
            <w:pPr>
              <w:pStyle w:val="TableContents"/>
              <w:bidi w:val="0"/>
              <w:spacing w:before="0" w:after="283"/>
              <w:jc w:val="left"/>
              <w:rPr/>
            </w:pPr>
            <w:hyperlink w:anchor="sld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9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9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104 </w:t>
            </w:r>
          </w:p>
        </w:tc>
        <w:tc>
          <w:tcPr>
            <w:tcW w:w="9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Solid Biosciences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Alexander Cumbo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Alexander Cumbo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Tan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Kevin Tan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sldb-ex3_1.htm"/>
      <w:bookmarkStart w:id="23" w:name="kssldbex3_1"/>
      <w:bookmarkEnd w:id="22"/>
      <w:bookmarkEnd w:id="23"/>
      <w:r>
        <w:rPr>
          <w:rFonts w:ascii="Times New Roman" w:hAnsi="Times New Roman"/>
          <w:b/>
          <w:color w:val="000000"/>
          <w:sz w:val="20"/>
        </w:rPr>
        <w:t>Exhibit 3.1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CERTIFICATE OF INCORPORATION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SOLID BIOSCIENCES INC.</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undersigned, for purposes of incorporating a corporation under the General Corporation Law of the State of Delaware, does hereby certify as follows: </w:t>
      </w:r>
    </w:p>
    <w:p>
      <w:pPr>
        <w:pStyle w:val="TextBody"/>
        <w:bidi w:val="0"/>
        <w:spacing w:before="120" w:after="283"/>
        <w:jc w:val="center"/>
        <w:rPr>
          <w:rFonts w:ascii="Times New Roman" w:hAnsi="Times New Roman"/>
          <w:sz w:val="20"/>
        </w:rPr>
      </w:pPr>
      <w:r>
        <w:rPr>
          <w:rFonts w:ascii="Times New Roman" w:hAnsi="Times New Roman"/>
          <w:b/>
          <w:color w:val="000000"/>
          <w:sz w:val="20"/>
        </w:rPr>
        <w:t>ARTICLE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name of the Corporation is: Solid Biosciences Inc. (the “</w:t>
      </w:r>
      <w:r>
        <w:rPr>
          <w:rFonts w:ascii="Times New Roman" w:hAnsi="Times New Roman"/>
          <w:b/>
          <w:color w:val="000000"/>
          <w:sz w:val="20"/>
        </w:rPr>
        <w:t>Corporation</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REGISTERED OFFICE AND AGENT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address of the Corporation’s registered office in the State of Delaware is Corporation Trust Center, 1209 Orange Street, Wilmington, Delaware 19801. The name of the Corporation’s registered agent at such address is The Corporation Trust Company.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PURPOSE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purpose of the Corporation is to engage in any lawful act or activity for which corporations may be organized under the General Corporation Law of the State of Delaware (the “</w:t>
      </w:r>
      <w:r>
        <w:rPr>
          <w:rFonts w:ascii="Times New Roman" w:hAnsi="Times New Roman"/>
          <w:b/>
          <w:color w:val="000000"/>
          <w:sz w:val="20"/>
        </w:rPr>
        <w:t>DGCL</w:t>
      </w:r>
      <w:r>
        <w:rPr>
          <w:rFonts w:ascii="Times New Roman" w:hAnsi="Times New Roman"/>
          <w:color w:val="000000"/>
          <w:sz w:val="20"/>
        </w:rPr>
        <w:t>”). The Corporation is being incorporated in connection with the conversion of Solid Biosciences, LLC, a Delaware limited liability company (the “</w:t>
      </w:r>
      <w:r>
        <w:rPr>
          <w:rFonts w:ascii="Times New Roman" w:hAnsi="Times New Roman"/>
          <w:b/>
          <w:color w:val="000000"/>
          <w:sz w:val="20"/>
        </w:rPr>
        <w:t>LLC</w:t>
      </w:r>
      <w:r>
        <w:rPr>
          <w:rFonts w:ascii="Times New Roman" w:hAnsi="Times New Roman"/>
          <w:color w:val="000000"/>
          <w:sz w:val="20"/>
        </w:rPr>
        <w:t xml:space="preserve">”), to the Corporation, and this Certificate of Incorporation is being filed simultaneously with the Certificate of Conversion of the LLC to the Corporation.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IV</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CAPITAL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number of shares that the Corporation shall have authority to issue is 310,000,000 shares consisting of: </w:t>
      </w:r>
    </w:p>
    <w:p>
      <w:pPr>
        <w:pStyle w:val="TextBody"/>
        <w:bidi w:val="0"/>
        <w:spacing w:before="120" w:after="283"/>
        <w:jc w:val="left"/>
        <w:rPr>
          <w:rFonts w:ascii="Times New Roman" w:hAnsi="Times New Roman"/>
          <w:sz w:val="20"/>
        </w:rPr>
      </w:pPr>
      <w:r>
        <w:rPr>
          <w:rFonts w:ascii="Times New Roman" w:hAnsi="Times New Roman"/>
          <w:color w:val="000000"/>
          <w:sz w:val="20"/>
        </w:rPr>
        <w:t>1. 300,000,000 shares of Common Stock, $0.001 par value per share (the “</w:t>
      </w:r>
      <w:r>
        <w:rPr>
          <w:rFonts w:ascii="Times New Roman" w:hAnsi="Times New Roman"/>
          <w:b/>
          <w:color w:val="000000"/>
          <w:sz w:val="20"/>
        </w:rPr>
        <w:t>Common Stock</w:t>
      </w:r>
      <w:r>
        <w:rPr>
          <w:rFonts w:ascii="Times New Roman" w:hAnsi="Times New Roman"/>
          <w:color w:val="000000"/>
          <w:sz w:val="20"/>
        </w:rPr>
        <w:t xml:space="preserve">”); and </w:t>
      </w:r>
    </w:p>
    <w:p>
      <w:pPr>
        <w:pStyle w:val="TextBody"/>
        <w:bidi w:val="0"/>
        <w:spacing w:before="120" w:after="283"/>
        <w:jc w:val="left"/>
        <w:rPr>
          <w:rFonts w:ascii="Times New Roman" w:hAnsi="Times New Roman"/>
          <w:sz w:val="20"/>
        </w:rPr>
      </w:pPr>
      <w:r>
        <w:rPr>
          <w:rFonts w:ascii="Times New Roman" w:hAnsi="Times New Roman"/>
          <w:color w:val="000000"/>
          <w:sz w:val="20"/>
        </w:rPr>
        <w:t>2. 10,000,000 shares of Preferred Stock, $0.001 par value per share (the “</w:t>
      </w:r>
      <w:r>
        <w:rPr>
          <w:rFonts w:ascii="Times New Roman" w:hAnsi="Times New Roman"/>
          <w:b/>
          <w:color w:val="000000"/>
          <w:sz w:val="20"/>
        </w:rPr>
        <w:t>Preferred Stock</w:t>
      </w:r>
      <w:r>
        <w:rPr>
          <w:rFonts w:ascii="Times New Roman" w:hAnsi="Times New Roman"/>
          <w:color w:val="000000"/>
          <w:sz w:val="20"/>
        </w:rPr>
        <w:t xml:space="preserve">”). </w:t>
        <w:br/>
        <w:t> </w:t>
      </w:r>
    </w:p>
    <w:p>
      <w:pPr>
        <w:pStyle w:val="TextBody"/>
        <w:bidi w:val="0"/>
        <w:jc w:val="left"/>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Each share of Common Stock issued and outstanding shall be identical in all respects one with the other and no dividends shall be paid on any shares of Common Stock unless the same dividend is paid on all shares of Common Stock outstanding at the time of such payment.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Except for and subject to those rights expressly granted to the holders of the Preferred Stock, or except as may be provided by the DGCL, the holders of Common Stock shall have exclusively all other rights of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including, but not by way of limitation, (i) the right to receive dividends, when, as and if declared by the Board of Directors out of assets lawfully available therefor, and (ii) in the event of any distribution of assets upon liquidation, dissolution or winding up of the Corporation or otherwise, the right to receive ratably and equally all the assets and funds of the Corporation remaining after payment of all of the Corporation’s debts and other liabilities and payment to the holders of any then outstanding shares of Preferred Stock of the specific amounts that they are entitled to receive upon such liquidation, dissolution or winding up of the Corporation as herein provided.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Each holder of shares of Common Stock shall be entitled to one vote for each share of such Common Stock held by such holder, and voting power with respect to all classes of securities of the Corporation shall be vested solely in the Common Stock, other than as specifically provided in this Certificate of Incorporation, as it may be amended, with respect to the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The Common Stock shall not be convertible into, or exchangeable for, shares of any other class or classes or of any other series of the same class of the Corporation’s capital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 No holder of Common Stock shall have any preemptive rights with respect to the Common Stock or any other securities of the Corporation or to any obligations convertible (directly or indirectly) into securities of the Corporation whether now or hereafter authorized.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Authority is hereby vested in the Board of Directors of the Corporation to provide for the issuance of Preferred Stock in one or more series and in connection therewith to fix by resolution providing for the issue of any such series, the number of shares to be included and such of the preferences and relative participating, optional or other special rights and limitations of such series, including, without limitation, rights of redemption or conversion into Common Stock, to the fullest extent now or hereafter permitted by the DGCL. The authority of the Board of Directors with respect to each series of Preferred Stock shall include, but not be limited to, determination of the following: </w:t>
      </w:r>
    </w:p>
    <w:tbl>
      <w:tblPr>
        <w:tblW w:w="7508" w:type="dxa"/>
        <w:jc w:val="left"/>
        <w:tblInd w:w="0" w:type="dxa"/>
        <w:tblLayout w:type="fixed"/>
        <w:tblCellMar>
          <w:top w:w="28" w:type="dxa"/>
          <w:left w:w="28" w:type="dxa"/>
          <w:bottom w:w="28" w:type="dxa"/>
          <w:right w:w="28" w:type="dxa"/>
        </w:tblCellMar>
      </w:tblPr>
      <w:tblGrid>
        <w:gridCol w:w="161"/>
        <w:gridCol w:w="146"/>
        <w:gridCol w:w="72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 the designation of the series, which may be by distinguishing number, letter or title;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(ii) the number of shares of the series, which number the Board of Directors may thereafter increase or decrease (but not below the number of shares thereof then outstanding); </w:t>
            </w:r>
          </w:p>
        </w:tc>
      </w:tr>
    </w:tbl>
    <w:p>
      <w:pPr>
        <w:pStyle w:val="TextBody"/>
        <w:bidi w:val="0"/>
        <w:jc w:val="left"/>
        <w:rPr/>
      </w:pPr>
      <w:r>
        <w:rPr/>
        <w:t> </w:t>
      </w:r>
    </w:p>
    <w:tbl>
      <w:tblPr>
        <w:tblW w:w="8903" w:type="dxa"/>
        <w:jc w:val="left"/>
        <w:tblInd w:w="0" w:type="dxa"/>
        <w:tblLayout w:type="fixed"/>
        <w:tblCellMar>
          <w:top w:w="28" w:type="dxa"/>
          <w:left w:w="28" w:type="dxa"/>
          <w:bottom w:w="28" w:type="dxa"/>
          <w:right w:w="28" w:type="dxa"/>
        </w:tblCellMar>
      </w:tblPr>
      <w:tblGrid>
        <w:gridCol w:w="161"/>
        <w:gridCol w:w="146"/>
        <w:gridCol w:w="85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(iii) whether dividends, if any, shall be cumulative or noncumulative and the dividend rate of the series; </w:t>
            </w:r>
          </w:p>
        </w:tc>
      </w:tr>
    </w:tbl>
    <w:p>
      <w:pPr>
        <w:pStyle w:val="TextBody"/>
        <w:bidi w:val="0"/>
        <w:jc w:val="left"/>
        <w:rPr/>
      </w:pPr>
      <w:r>
        <w:rPr/>
        <w:t> </w:t>
      </w:r>
    </w:p>
    <w:tbl>
      <w:tblPr>
        <w:tblW w:w="4868" w:type="dxa"/>
        <w:jc w:val="left"/>
        <w:tblInd w:w="0" w:type="dxa"/>
        <w:tblLayout w:type="fixed"/>
        <w:tblCellMar>
          <w:top w:w="28" w:type="dxa"/>
          <w:left w:w="28" w:type="dxa"/>
          <w:bottom w:w="28" w:type="dxa"/>
          <w:right w:w="28" w:type="dxa"/>
        </w:tblCellMar>
      </w:tblPr>
      <w:tblGrid>
        <w:gridCol w:w="161"/>
        <w:gridCol w:w="146"/>
        <w:gridCol w:w="45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(iv) dates at which dividends, if any, shall be payable; </w:t>
            </w:r>
          </w:p>
        </w:tc>
      </w:tr>
    </w:tbl>
    <w:p>
      <w:pPr>
        <w:pStyle w:val="TextBody"/>
        <w:bidi w:val="0"/>
        <w:jc w:val="left"/>
        <w:rPr/>
      </w:pPr>
      <w:r>
        <w:rPr/>
        <w:t> </w:t>
      </w:r>
    </w:p>
    <w:tbl>
      <w:tblPr>
        <w:tblW w:w="6518" w:type="dxa"/>
        <w:jc w:val="left"/>
        <w:tblInd w:w="0" w:type="dxa"/>
        <w:tblLayout w:type="fixed"/>
        <w:tblCellMar>
          <w:top w:w="28" w:type="dxa"/>
          <w:left w:w="28" w:type="dxa"/>
          <w:bottom w:w="28" w:type="dxa"/>
          <w:right w:w="28" w:type="dxa"/>
        </w:tblCellMar>
      </w:tblPr>
      <w:tblGrid>
        <w:gridCol w:w="161"/>
        <w:gridCol w:w="146"/>
        <w:gridCol w:w="62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 the redemption rights and price or prices, if any, for shares of the series; </w:t>
            </w:r>
          </w:p>
        </w:tc>
      </w:tr>
    </w:tbl>
    <w:p>
      <w:pPr>
        <w:pStyle w:val="TextBody"/>
        <w:bidi w:val="0"/>
        <w:jc w:val="left"/>
        <w:rPr/>
      </w:pPr>
      <w:r>
        <w:rPr/>
        <w:t> </w:t>
      </w:r>
    </w:p>
    <w:tbl>
      <w:tblPr>
        <w:tblW w:w="9323" w:type="dxa"/>
        <w:jc w:val="left"/>
        <w:tblInd w:w="0" w:type="dxa"/>
        <w:tblLayout w:type="fixed"/>
        <w:tblCellMar>
          <w:top w:w="28" w:type="dxa"/>
          <w:left w:w="28" w:type="dxa"/>
          <w:bottom w:w="28" w:type="dxa"/>
          <w:right w:w="28" w:type="dxa"/>
        </w:tblCellMar>
      </w:tblPr>
      <w:tblGrid>
        <w:gridCol w:w="161"/>
        <w:gridCol w:w="146"/>
        <w:gridCol w:w="901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(vi) the terms and amount of any sinking fund provided for the purchase or redemption of shares of the series;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(vii) the amounts payable on, and the preferences, if any, of shares of the series in the event of any voluntary or involuntary liquidation, dissolution or winding up of the affairs of the Corporation;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(viii) whether the shares of the series shall be convertible into shares of any other class or series, or any other security, of the Corporation or any other entity, and, if so, the specification of such other class or series of such other security, the conversion price or prices or rate or rates, any adjustments thereof, the date or dates at which such shares shall be convertible and all other terms and conditions upon which such conversion may be made; </w:t>
            </w:r>
          </w:p>
        </w:tc>
      </w:tr>
    </w:tbl>
    <w:p>
      <w:pPr>
        <w:pStyle w:val="TextBody"/>
        <w:bidi w:val="0"/>
        <w:jc w:val="left"/>
        <w:rPr/>
      </w:pPr>
      <w:r>
        <w:rPr/>
        <w:t> </w:t>
      </w:r>
    </w:p>
    <w:tbl>
      <w:tblPr>
        <w:tblW w:w="7658" w:type="dxa"/>
        <w:jc w:val="left"/>
        <w:tblInd w:w="0" w:type="dxa"/>
        <w:tblLayout w:type="fixed"/>
        <w:tblCellMar>
          <w:top w:w="28" w:type="dxa"/>
          <w:left w:w="28" w:type="dxa"/>
          <w:bottom w:w="28" w:type="dxa"/>
          <w:right w:w="28" w:type="dxa"/>
        </w:tblCellMar>
      </w:tblPr>
      <w:tblGrid>
        <w:gridCol w:w="161"/>
        <w:gridCol w:w="146"/>
        <w:gridCol w:w="73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(ix) restrictions on the issuance of shares of the same series or of any other class or series;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6038" w:type="dxa"/>
        <w:jc w:val="left"/>
        <w:tblInd w:w="0" w:type="dxa"/>
        <w:tblLayout w:type="fixed"/>
        <w:tblCellMar>
          <w:top w:w="28" w:type="dxa"/>
          <w:left w:w="28" w:type="dxa"/>
          <w:bottom w:w="28" w:type="dxa"/>
          <w:right w:w="28" w:type="dxa"/>
        </w:tblCellMar>
      </w:tblPr>
      <w:tblGrid>
        <w:gridCol w:w="161"/>
        <w:gridCol w:w="146"/>
        <w:gridCol w:w="57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(x) the voting rights, if any, of the holders of shares of the series;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(xi) such other powers, privileges, preferences and rights, and qualifications, limitations and restrictions thereof, as the Board of Directors shall determine. </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Conversion of Limited Liability Company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Upon the filing of the Certificate of Conversion of the LLC to the Corporation and this Certificate of Incorporation or, if such certificates provide that they are not to become effective until a specified later date, upon such specified later effective date (the “</w:t>
      </w:r>
      <w:r>
        <w:rPr>
          <w:rFonts w:ascii="Times New Roman" w:hAnsi="Times New Roman"/>
          <w:b/>
          <w:color w:val="000000"/>
          <w:sz w:val="20"/>
        </w:rPr>
        <w:t>Effective Time</w:t>
      </w:r>
      <w:r>
        <w:rPr>
          <w:rFonts w:ascii="Times New Roman" w:hAnsi="Times New Roman"/>
          <w:color w:val="000000"/>
          <w:sz w:val="20"/>
        </w:rPr>
        <w:t xml:space="preserve">”) each limited liability company unit of the LLC issued and outstanding immediately prior to the Effective Time will be deemed to be 0.8485 issued and outstanding fully paid and nonassessable share of Common Stock. Notwithstanding the foregoing, there shall be no fractional shares of Common Stock issued in connection with the conversion and, in lieu thereof, the Corporation shall pay to each former holder of limited liability company units otherwise entitled to receive any such fraction an amount equal to the fair value thereof, as determined in good faith by the Board of Directors.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ARTICLE V</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Number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directors that shall constitute the Board of Directors shall be fixed from time to time by resolution adopted by the affirmative vote of a majority of the total number of directors then in office.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Classes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of Directors shall be and is divided into three classes, as nearly equal in number as possible, designated: Class I, Class II and Class III. In case of any increase or decrease, from time to time, in the number of directors, the number of directors shall be apportioned as nearly equal as possible. No decrease in the number of directors shall shorten the term of any incumbent director.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Election and Term of Office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directors shall be elected in accordance with the procedures set forth in the Bylaws of the Corporation (the “</w:t>
      </w:r>
      <w:r>
        <w:rPr>
          <w:rFonts w:ascii="Times New Roman" w:hAnsi="Times New Roman"/>
          <w:b/>
          <w:color w:val="000000"/>
          <w:sz w:val="20"/>
        </w:rPr>
        <w:t>Bylaws</w:t>
      </w:r>
      <w:r>
        <w:rPr>
          <w:rFonts w:ascii="Times New Roman" w:hAnsi="Times New Roman"/>
          <w:color w:val="000000"/>
          <w:sz w:val="20"/>
        </w:rPr>
        <w:t xml:space="preserve">”), as permitted by law. Each director shall serve for a term ending on the date of the third annual meeting of stockholders following the annual meeting at which such director was elected; provided, that each director initially appointed to Class I shall serve for an initial term expiring at the Corporation’s first annual meeting of stockholders following the effectiveness of this provision; each director initially appointed to Class II shall serve for an initial term expiring at the Corporation’s second annual meeting of stockholders following the effectiveness of this provision; and each director initially appointed to Class III shall serve for an initial term expiring at the Corporation’s third annual meeting of stockholders following the effectiveness of this provision. The directors shall be elected and shall hold office only in this manner, except as expressly provided in Section 4 and Section 5 of this Article V. Each director shall hold office until a successor is duly elected and qualified or until his or her earlier death, resignation, retirement, disqualification or removal. Elections of directors need not be by written ballot unless the Bylaws shall so provide.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Newly Created Directorships and Vacancies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Newly created directorships resulting from any increase in the number of directors or any vacancies in the Board of Directors resulting from expansion of the Board of Directors, death, resignation, retirement, disqualification, removal from office or any other cause may be filled, so long as there is at least one remaining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director, only by the Board of Directors, provided that a quorum is then in office and present, or by a majority of the directors then in office, if less than a quorum is then in office, or by the sole remaining director. Directors elected to fill vacancies shall have the same remaining term as that of his or her predecessor.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Removal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Directors may be removed from office only for cause and, in addition to any vote required by law, the affirmative vote of the holders of at least two-thirds of the voting power of all then outstanding shares of capital stock of the Corporation entitled to vote generally in an election of directors, voting together as a single class, shall be required to effect such removal.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Rights of Holders of 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provisions of this Article V, whenever the holders of one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Preferred Stock as set forth in this Certificate of Incorporation or the certificate of designation governing such series.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annual meeting of stockholders for the election of directors and for the transaction of such other business as may properly come before the meeting shall be held at such date, time and place, if any, as shall be determined solely by the resolution of the Board of Directors in its sole and absolute discretion, including, without limitation, by remote electronic communication technology.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BYLAWS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of Directors is expressly authorized to adopt, amend or repeal the Bylaws. The affirmative vote of at least a majority of the entire Board of Directors shall be required to adopt, amend or repeal the Bylaws. Notwithstanding the foregoing and anything contained in this Certificate of Incorporation to the contrary, the Bylaws shall not be amended or repealed by the stockholders, and no provision inconsistent therewith shall be adopted by the stockholders, without the affirmative vote of the holders of at least two-thirds of the voting power of all outstanding shares of the Corporation entitled to vote generally in the election of directors, voting together as a single class.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VIII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LIMITATION OF LIABILITY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fullest extent permitted by the DGCL as it now exists or may hereafter be amended (but, in the case of any such amendment, only to the extent that such amendment permits the Corporation to provide broader director protection rights than permitted prior thereto), no director of the Corporation shall be personally liable to the Corporation or any of its stockholders for monetary damages arising from a breach of fiduciary duty owed to the Corporation or its stockholders. Any repeal or modification of this Article VIII by the stockholders of the Corporation shall not adversely affect any right or protection of a director of the Corporation existing at the time of such repeal or modification with respect to acts or omissions occurring prior to such repeal or modification.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IX</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INDEMNIFICATION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Corporation shall indemnify its directors to the fullest extent permitted by the DGCL as it now exists or may hereafter be amended (but, in the case of any such amendment, only to the extent that such amendment permits the Corporation to provide broader protection rights than permitted prior thereto), and such right to indemnification shall continue as to a person who has ceased to be a director of the Corporation and shall inure to the benefit of his or her heirs, executors and personal and legal representatives; provided, that, except for proceedings to enforce rights and indemnification, the Corporation shall not be obligated to indemnify any director (or his or her heirs, executors or personal or legal representatives) in connection with a proceeding (or part thereof) initiated by such person unless such proceeding (or part thereof) was authorized or consented by the Board of Directors. The right to indemnification conferred by this Article X shall include the right to be paid by the Corporation the expenses incurred in defending or otherwise participating in any proceeding in advance of its final disposition.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Corporation may, to the extent authorized from time to time by the Board of Directors, provide rights to indemnification and to the advancement of expenses to officers, employees and agents of the Corporation similar to those conferred in this Article X to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to indemnification and to the advancement of expenses in this Article X shall not be exclusive of any other right which any person may have or hereafter acquire under this Certificate of Incorporation, as amended from time to time, the Bylaws, any statute, agreement, vote of stockholders or disinterested directors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repeal or modification of this Article X by the stockholders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PLACE OF STOCKHOLDER MEETINGS; BOOKS AND RECORDS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Meetings of stockholders may be held within or without the State of Delaware, as the Board of Directors or the Bylaws may provide. The books of the Corporation may be kept (subject to any provision contained in the DGCL) outside the State of Delaware at such place or places as may be designated from time to time by the Board of Directors or in the Bylaws.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ACTION BY WRITTEN CONSENT; SPECIAL MEETINGS OF STOCKHOLDERS; ADVANCE NOTICE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No Action by Written Consent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action required or permitted to be taken by stockholders of the Corporation must be effected at a meeting of the stockholders of the Corporation and may not be effected by written consent in lieu of a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Special Meetings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as otherwise expressly provided by the terms of any series of Preferred Stock and to the requirements of applicable law, special meetings of stockholders of the Corporation may be called only by a majority of the Board of Directors, the Chairman of the Board of Directors or the Chief Executive Officer of the Corporation, and the ability of the stockholders to call a special meeting is hereby specifically denied. Only such business shall be considered at a special meeting of stockholders as shall have been stated in the notice for such meeting.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Advance Notice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Advance notice of stockholder nominations for the election of directors and of business to be brought by stockholders before any meeting of the stockholders of the Corporation shall be given in the manner provided in the Bylaws.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SEVERABILITY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XIII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CHOICE OF FORUM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for breach of a fiduciary duty owed by any director, officer, employee or agent of the Corporation to the Corporation or the Corporation’s stockholders, (iii) any action asserting a claim arising pursuant to any provision of the Delaware General Corporation Law, the Certificate of Incorporation or the Bylaws or (iv) any action asserting a claim governed by the internal affairs doctrine, in each case subject to said Court of Chancery having personal jurisdiction over the indispensable parties named as defendants therein.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XIV</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AMENDMENT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Corporation reserves the right to amend, alter, change or repeal any provision contained in this Certificate of Incorporation, in the manner now or hereafter prescribed by statute, and all rights conferred upon stockholders herein are granted subject to this reservation. In addition, the affirmative vote of the holders of at least two-thirds of the voting power of all outstanding shares of the Corporation entitled to vote generally in the election of directors shall be required to adopt any provision inconsistent with, to amend or repeal any provision of, or to adopt a bylaw inconsistent with Article V, Article VII, Article XI, Article XIII or this Article XIV of this Certificate of Incorporation.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XV</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INCORPORATOR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incorporator of the Corporation is Janice Lee, whose mailing address is c/o Proskauer Rose LLP, 11 Times Square, New York, New York 10036.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XVI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INITIAL 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powers of the incorporator are to terminate upon the filing of this Certificate of Incorporation with the Secretary of State of the State of Delaware. The names of the persons who are to serve as the initial directors of the Corporation are: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Initial Class I Directors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Mr. Robert Huffines </w:t>
      </w:r>
    </w:p>
    <w:p>
      <w:pPr>
        <w:pStyle w:val="TextBody"/>
        <w:bidi w:val="0"/>
        <w:jc w:val="left"/>
        <w:rPr>
          <w:rFonts w:ascii="Times New Roman" w:hAnsi="Times New Roman"/>
          <w:color w:val="000000"/>
          <w:sz w:val="20"/>
        </w:rPr>
      </w:pPr>
      <w:r>
        <w:rPr>
          <w:rFonts w:ascii="Times New Roman" w:hAnsi="Times New Roman"/>
          <w:color w:val="000000"/>
          <w:sz w:val="20"/>
        </w:rPr>
        <w:t xml:space="preserve">Dr. Adam Koppel </w:t>
      </w:r>
    </w:p>
    <w:p>
      <w:pPr>
        <w:pStyle w:val="TextBody"/>
        <w:bidi w:val="0"/>
        <w:jc w:val="left"/>
        <w:rPr>
          <w:rFonts w:ascii="Times New Roman" w:hAnsi="Times New Roman"/>
          <w:color w:val="000000"/>
          <w:sz w:val="20"/>
        </w:rPr>
      </w:pPr>
      <w:r>
        <w:rPr>
          <w:rFonts w:ascii="Times New Roman" w:hAnsi="Times New Roman"/>
          <w:color w:val="000000"/>
          <w:sz w:val="20"/>
        </w:rPr>
        <w:t xml:space="preserve">Mr. Rajeev Shah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Initial Class II Directors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Mr. Matthew Arnold </w:t>
      </w:r>
    </w:p>
    <w:p>
      <w:pPr>
        <w:pStyle w:val="TextBody"/>
        <w:bidi w:val="0"/>
        <w:jc w:val="left"/>
        <w:rPr>
          <w:rFonts w:ascii="Times New Roman" w:hAnsi="Times New Roman"/>
          <w:color w:val="000000"/>
          <w:sz w:val="20"/>
        </w:rPr>
      </w:pPr>
      <w:r>
        <w:rPr>
          <w:rFonts w:ascii="Times New Roman" w:hAnsi="Times New Roman"/>
          <w:color w:val="000000"/>
          <w:sz w:val="20"/>
        </w:rPr>
        <w:t xml:space="preserve">Mr. Adam Stone </w:t>
      </w:r>
    </w:p>
    <w:p>
      <w:pPr>
        <w:pStyle w:val="TextBody"/>
        <w:bidi w:val="0"/>
        <w:jc w:val="left"/>
        <w:rPr>
          <w:rFonts w:ascii="Times New Roman" w:hAnsi="Times New Roman"/>
          <w:color w:val="000000"/>
          <w:sz w:val="20"/>
        </w:rPr>
      </w:pPr>
      <w:r>
        <w:rPr>
          <w:rFonts w:ascii="Times New Roman" w:hAnsi="Times New Roman"/>
          <w:color w:val="000000"/>
          <w:sz w:val="20"/>
        </w:rPr>
        <w:t xml:space="preserve">Ms. Lynne Sullivan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Initial Class III Directors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Mr. Ilan Ganot </w:t>
      </w:r>
    </w:p>
    <w:p>
      <w:pPr>
        <w:pStyle w:val="TextBody"/>
        <w:bidi w:val="0"/>
        <w:jc w:val="left"/>
        <w:rPr>
          <w:rFonts w:ascii="Times New Roman" w:hAnsi="Times New Roman"/>
          <w:color w:val="000000"/>
          <w:sz w:val="20"/>
        </w:rPr>
      </w:pPr>
      <w:r>
        <w:rPr>
          <w:rFonts w:ascii="Times New Roman" w:hAnsi="Times New Roman"/>
          <w:color w:val="000000"/>
          <w:sz w:val="20"/>
        </w:rPr>
        <w:t xml:space="preserve">Mr. Gilad Hayeem </w:t>
      </w:r>
    </w:p>
    <w:p>
      <w:pPr>
        <w:pStyle w:val="TextBody"/>
        <w:bidi w:val="0"/>
        <w:jc w:val="left"/>
        <w:rPr>
          <w:rFonts w:ascii="Times New Roman" w:hAnsi="Times New Roman"/>
          <w:color w:val="000000"/>
          <w:sz w:val="20"/>
        </w:rPr>
      </w:pPr>
      <w:r>
        <w:rPr>
          <w:rFonts w:ascii="Times New Roman" w:hAnsi="Times New Roman"/>
          <w:color w:val="000000"/>
          <w:sz w:val="20"/>
        </w:rPr>
        <w:t xml:space="preserve">Dr. Andrey Zarur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mailing address of each such director is: c/o Solid Biosciences Inc., 161 First Street, Third Floor, Cambridge, Massachusetts 02142. </w:t>
      </w:r>
    </w:p>
    <w:p>
      <w:pPr>
        <w:pStyle w:val="TextBody"/>
        <w:bidi w:val="0"/>
        <w:spacing w:before="240" w:after="283"/>
        <w:jc w:val="center"/>
        <w:rPr>
          <w:rFonts w:ascii="Times New Roman" w:hAnsi="Times New Roman"/>
          <w:sz w:val="20"/>
        </w:rPr>
      </w:pPr>
      <w:r>
        <w:rPr>
          <w:rFonts w:ascii="Times New Roman" w:hAnsi="Times New Roman"/>
          <w:b/>
          <w:color w:val="000000"/>
          <w:sz w:val="20"/>
        </w:rPr>
        <w:t>* *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undersigned incorporator hereby acknowledges that the foregoing certificate of incorporation is her act and deed on this the 25</w:t>
      </w:r>
      <w:r>
        <w:rPr>
          <w:rFonts w:ascii="Times New Roman" w:hAnsi="Times New Roman"/>
          <w:color w:val="000000"/>
          <w:sz w:val="15"/>
        </w:rPr>
        <w:t>th</w:t>
      </w:r>
      <w:r>
        <w:rPr>
          <w:rFonts w:ascii="Times New Roman" w:hAnsi="Times New Roman"/>
          <w:color w:val="000000"/>
          <w:sz w:val="20"/>
        </w:rPr>
        <w:t xml:space="preserve"> day of January, 2018.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Janice Lee</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Janice Lee</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Incorporator</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CERTIFICATE OF AMENDMENT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INCORPORATION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SOLID BIOSCIENCES INC.</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Pursuant to Section 242 of the </w:t>
      </w:r>
    </w:p>
    <w:p>
      <w:pPr>
        <w:pStyle w:val="TextBody"/>
        <w:bidi w:val="0"/>
        <w:jc w:val="center"/>
        <w:rPr>
          <w:rFonts w:ascii="Times New Roman" w:hAnsi="Times New Roman"/>
          <w:sz w:val="20"/>
        </w:rPr>
      </w:pPr>
      <w:r>
        <w:rPr>
          <w:rFonts w:ascii="Times New Roman" w:hAnsi="Times New Roman"/>
          <w:color w:val="000000"/>
          <w:sz w:val="20"/>
          <w:u w:val="single"/>
        </w:rPr>
        <w:t>General Corporation Law of the State of Delaware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Solid Biosciences Inc. (hereinafter called the “</w:t>
      </w:r>
      <w:r>
        <w:rPr>
          <w:rFonts w:ascii="Times New Roman" w:hAnsi="Times New Roman"/>
          <w:b/>
          <w:color w:val="000000"/>
          <w:sz w:val="20"/>
        </w:rPr>
        <w:t>Corporation</w:t>
      </w:r>
      <w:r>
        <w:rPr>
          <w:rFonts w:ascii="Times New Roman" w:hAnsi="Times New Roman"/>
          <w:color w:val="000000"/>
          <w:sz w:val="20"/>
        </w:rPr>
        <w:t xml:space="preserve">”), a corporation organized and existing under and by virtue of the General Corporation Law of the State of Delaware, does hereby certify as follows: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FIRST: A resolution was duly adopted by the Board of Directors of the Corporation pursuant to Section 242 of the General Corporation Law of the State of Delaware setting forth an amendment to the Certificate of Incorporation of the Corporation and declaring said amendment to be advisable. The stockholders of the Corporation duly approved and adopted said proposed amendment at an annual meeting of stockholders in accordance with Section 242 of the General Corporation Law of the State of Delaware. The resolution setting forth the amendment is as follows: </w:t>
      </w:r>
    </w:p>
    <w:tbl>
      <w:tblPr>
        <w:tblW w:w="10205" w:type="dxa"/>
        <w:jc w:val="left"/>
        <w:tblInd w:w="0" w:type="dxa"/>
        <w:tblLayout w:type="fixed"/>
        <w:tblCellMar>
          <w:top w:w="28" w:type="dxa"/>
          <w:left w:w="28" w:type="dxa"/>
          <w:bottom w:w="28" w:type="dxa"/>
          <w:right w:w="28" w:type="dxa"/>
        </w:tblCellMar>
      </w:tblPr>
      <w:tblGrid>
        <w:gridCol w:w="1130"/>
        <w:gridCol w:w="146"/>
        <w:gridCol w:w="8929"/>
      </w:tblGrid>
      <w:tr>
        <w:trPr/>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9" w:type="dxa"/>
            <w:tcBorders/>
            <w:vAlign w:val="center"/>
          </w:tcPr>
          <w:p>
            <w:pPr>
              <w:pStyle w:val="TableContents"/>
              <w:bidi w:val="0"/>
              <w:spacing w:before="0" w:after="283"/>
              <w:jc w:val="left"/>
              <w:rPr>
                <w:sz w:val="4"/>
                <w:szCs w:val="4"/>
              </w:rPr>
            </w:pPr>
            <w:r>
              <w:rPr>
                <w:sz w:val="4"/>
                <w:szCs w:val="4"/>
              </w:rPr>
            </w:r>
          </w:p>
        </w:tc>
      </w:tr>
      <w:tr>
        <w:trPr/>
        <w:tc>
          <w:tcPr>
            <w:tcW w:w="11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RESOLVED</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That the first sentence of Article IV of the Certificate of Incorporation of the Corporation be and hereby is deleted in its entirety and the following three paragraphs are inserted in lieu thereof:</w:t>
            </w:r>
          </w:p>
        </w:tc>
      </w:tr>
      <w:tr>
        <w:trPr/>
        <w:tc>
          <w:tcPr>
            <w:tcW w:w="1130"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color w:val="000000"/>
                <w:sz w:val="20"/>
              </w:rPr>
              <w:t>That, effective upon the effective time of this Certificate of Amendment to Certificate of Incorporation (this “</w:t>
            </w:r>
            <w:r>
              <w:rPr>
                <w:rFonts w:ascii="Times New Roman" w:hAnsi="Times New Roman"/>
                <w:b/>
                <w:color w:val="000000"/>
                <w:sz w:val="20"/>
              </w:rPr>
              <w:t>Certificate of Amendment</w:t>
            </w:r>
            <w:r>
              <w:rPr>
                <w:rFonts w:ascii="Times New Roman" w:hAnsi="Times New Roman"/>
                <w:color w:val="000000"/>
                <w:sz w:val="20"/>
              </w:rPr>
              <w:t>”) with the Secretary of State of the State of Delaware (the “</w:t>
            </w:r>
            <w:r>
              <w:rPr>
                <w:rFonts w:ascii="Times New Roman" w:hAnsi="Times New Roman"/>
                <w:b/>
                <w:color w:val="000000"/>
                <w:sz w:val="20"/>
              </w:rPr>
              <w:t>Effective Time</w:t>
            </w:r>
            <w:r>
              <w:rPr>
                <w:rFonts w:ascii="Times New Roman" w:hAnsi="Times New Roman"/>
                <w:color w:val="000000"/>
                <w:sz w:val="20"/>
              </w:rPr>
              <w:t>”), a one-for-15 reverse stock split of the Corporation’s common stock, $0.001 par value per share (the “</w:t>
            </w:r>
            <w:r>
              <w:rPr>
                <w:rFonts w:ascii="Times New Roman" w:hAnsi="Times New Roman"/>
                <w:b/>
                <w:color w:val="000000"/>
                <w:sz w:val="20"/>
              </w:rPr>
              <w:t>Common Stock</w:t>
            </w:r>
            <w:r>
              <w:rPr>
                <w:rFonts w:ascii="Times New Roman" w:hAnsi="Times New Roman"/>
                <w:color w:val="000000"/>
                <w:sz w:val="20"/>
              </w:rPr>
              <w:t>”), shall become effective, pursuant to which each 15 shares of Common Stock outstanding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Times New Roman" w:hAnsi="Times New Roman"/>
                <w:b/>
                <w:color w:val="000000"/>
                <w:sz w:val="20"/>
              </w:rPr>
              <w:t>Reverse Stock Split</w:t>
            </w:r>
            <w:r>
              <w:rPr>
                <w:rFonts w:ascii="Times New Roman" w:hAnsi="Times New Roman"/>
                <w:color w:val="000000"/>
                <w:sz w:val="20"/>
              </w:rPr>
              <w:t>”). The par value of the Common Stock following the Reverse Stock Split shall remain at $0.001 per share. No fractional shares of Common Stock shall be issued as a result of the Reverse Stock Split and, in lieu thereof, upon surrender after the Effective Time of a certificate or book entry position which formerly represented shares of Common Stock that were issued and outstanding immediately prior to the Effective Time, any person who would otherwise be entitled to</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fractional share of Common Stock as a result of the Reverse Stock Split, following the Effective Time, shall be entitled to receive a cash payment equal to the fraction of a share of Common Stock to which such holder would otherwise be entitled multiplied by the closing price per share of the Common Stock on the Nasdaq Global Select Market at the close of business on the date of the Effective Time.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stock certificate or book 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position have been reclassified (as well as the right to receive cash in lieu of fractional shares of Common Stock after the Effective Time); provided, however, that each person of record holding a certificate or book entry position that represented shares of Common Stock that were issued and outstanding immediately prior to the Effective Time shall receive, upon surrender of such certificate or book entry position, a new certificate or book entry position evidencing and representing the number of whole shares of Common Stock after the Effective Time into which the shares of Common Stock formerly represented by such certificate or book entry position shall have been reclassified.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aggregate number of shares that the Corporation shall have authority to issue is 70,000,000 shares consisting of:</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60,000,000 shares of Common Stock; and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 10,000,000 shares of Preferred Stock, $0.001 par value per share (the “</w:t>
            </w:r>
            <w:r>
              <w:rPr>
                <w:rFonts w:ascii="Times New Roman" w:hAnsi="Times New Roman"/>
                <w:b/>
                <w:color w:val="000000"/>
                <w:sz w:val="20"/>
              </w:rPr>
              <w:t>Preferred Stock</w:t>
            </w: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SECOND: This Certificate of Amendment shall be effective at 5:00 p.m., Eastern Time, on October 27, 2022. </w:t>
      </w:r>
    </w:p>
    <w:p>
      <w:pPr>
        <w:pStyle w:val="TextBody"/>
        <w:bidi w:val="0"/>
        <w:spacing w:before="240" w:after="283"/>
        <w:jc w:val="left"/>
        <w:rPr>
          <w:rFonts w:ascii="Times New Roman" w:hAnsi="Times New Roman"/>
          <w:sz w:val="20"/>
        </w:rPr>
      </w:pPr>
      <w:r>
        <w:rPr>
          <w:rFonts w:ascii="Times New Roman" w:hAnsi="Times New Roman"/>
          <w:color w:val="000000"/>
          <w:sz w:val="20"/>
        </w:rPr>
        <w:t>IN WITNESS WHEREOF, the Corporation has caused its corporate seal to be affixed hereto and this Certificate of Amendment to be signed by its President and Chief Executive Officer this 27</w:t>
      </w:r>
      <w:r>
        <w:rPr>
          <w:rFonts w:ascii="Times New Roman" w:hAnsi="Times New Roman"/>
          <w:color w:val="000000"/>
          <w:sz w:val="15"/>
        </w:rPr>
        <w:t>th</w:t>
      </w:r>
      <w:r>
        <w:rPr>
          <w:rFonts w:ascii="Times New Roman" w:hAnsi="Times New Roman"/>
          <w:color w:val="000000"/>
          <w:sz w:val="20"/>
        </w:rPr>
        <w:t xml:space="preserve"> day of October, 2022. </w:t>
      </w:r>
    </w:p>
    <w:tbl>
      <w:tblPr>
        <w:tblW w:w="3778" w:type="dxa"/>
        <w:jc w:val="left"/>
        <w:tblInd w:w="0" w:type="dxa"/>
        <w:tblLayout w:type="fixed"/>
        <w:tblCellMar>
          <w:top w:w="28" w:type="dxa"/>
          <w:left w:w="28" w:type="dxa"/>
          <w:bottom w:w="28" w:type="dxa"/>
          <w:right w:w="28" w:type="dxa"/>
        </w:tblCellMar>
      </w:tblPr>
      <w:tblGrid>
        <w:gridCol w:w="421"/>
        <w:gridCol w:w="146"/>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SOLID BIOSCIENCES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Ilan Ganot</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Ilan Ganot</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AMENDMENT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spacing w:before="12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SOLID BIOSCIENCES INC.</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Pursuant to Section 242 of the </w:t>
      </w:r>
    </w:p>
    <w:p>
      <w:pPr>
        <w:pStyle w:val="TextBody"/>
        <w:bidi w:val="0"/>
        <w:jc w:val="center"/>
        <w:rPr>
          <w:rFonts w:ascii="Times New Roman" w:hAnsi="Times New Roman"/>
          <w:sz w:val="20"/>
        </w:rPr>
      </w:pPr>
      <w:r>
        <w:rPr>
          <w:rFonts w:ascii="Times New Roman" w:hAnsi="Times New Roman"/>
          <w:color w:val="000000"/>
          <w:sz w:val="20"/>
          <w:u w:val="single"/>
        </w:rPr>
        <w:t>General Corporation Law of the State of Delaware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Solid Biosciences Inc. (hereinafter called the “</w:t>
      </w:r>
      <w:r>
        <w:rPr>
          <w:rFonts w:ascii="Times New Roman" w:hAnsi="Times New Roman"/>
          <w:b/>
          <w:color w:val="000000"/>
          <w:sz w:val="20"/>
        </w:rPr>
        <w:t>Corporation</w:t>
      </w:r>
      <w:r>
        <w:rPr>
          <w:rFonts w:ascii="Times New Roman" w:hAnsi="Times New Roman"/>
          <w:color w:val="000000"/>
          <w:sz w:val="20"/>
        </w:rPr>
        <w:t xml:space="preserve">”), a corporation organized and existing under and by virtue of the provisions of the General Corporation Law of the State of Delaware, does hereby certify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resolution was duly adopted by the Board of Directors of the Corporation pursuant to Section 242 of the General Corporation Law of the State of Delaware setting forth an amendment to the Certificate of Incorporation of the Corporation, as amended, and declaring said amendment to be advisable. The stockholders of the Corporation duly approved and adopted said proposed amendment at an annual meeting of stockholders in accordance with Section 242 of the General Corporation Law of the State of Delaware. The resolution setting forth the amendment is as follows: </w:t>
      </w:r>
    </w:p>
    <w:tbl>
      <w:tblPr>
        <w:tblW w:w="10205" w:type="dxa"/>
        <w:jc w:val="left"/>
        <w:tblInd w:w="0" w:type="dxa"/>
        <w:tblLayout w:type="fixed"/>
        <w:tblCellMar>
          <w:top w:w="28" w:type="dxa"/>
          <w:left w:w="28" w:type="dxa"/>
          <w:bottom w:w="28" w:type="dxa"/>
          <w:right w:w="28" w:type="dxa"/>
        </w:tblCellMar>
      </w:tblPr>
      <w:tblGrid>
        <w:gridCol w:w="1157"/>
        <w:gridCol w:w="146"/>
        <w:gridCol w:w="8902"/>
      </w:tblGrid>
      <w:tr>
        <w:trPr/>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2" w:type="dxa"/>
            <w:tcBorders/>
            <w:vAlign w:val="center"/>
          </w:tcPr>
          <w:p>
            <w:pPr>
              <w:pStyle w:val="TableContents"/>
              <w:bidi w:val="0"/>
              <w:spacing w:before="0" w:after="283"/>
              <w:jc w:val="left"/>
              <w:rPr>
                <w:sz w:val="4"/>
                <w:szCs w:val="4"/>
              </w:rPr>
            </w:pPr>
            <w:r>
              <w:rPr>
                <w:sz w:val="4"/>
                <w:szCs w:val="4"/>
              </w:rPr>
            </w:r>
          </w:p>
        </w:tc>
      </w:tr>
      <w:tr>
        <w:trPr/>
        <w:tc>
          <w:tcPr>
            <w:tcW w:w="11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RESOLVED</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That the first three paragraphs of Article IV of the Certificate of Incorporation of the Corporation, as amended, be and hereby are deleted in their entirety and the following is inserted in lieu thereof:</w:t>
            </w:r>
          </w:p>
        </w:tc>
      </w:tr>
    </w:tbl>
    <w:p>
      <w:pPr>
        <w:pStyle w:val="TextBody"/>
        <w:bidi w:val="0"/>
        <w:spacing w:before="120" w:after="283"/>
        <w:jc w:val="left"/>
        <w:rPr/>
      </w:pPr>
      <w:r>
        <w:rPr>
          <w:color w:val="000000"/>
        </w:rPr>
        <w:t>“</w:t>
      </w:r>
      <w:r>
        <w:rPr>
          <w:rFonts w:ascii="Times New Roman" w:hAnsi="Times New Roman"/>
          <w:color w:val="000000"/>
          <w:sz w:val="20"/>
        </w:rPr>
        <w:t xml:space="preserve">The aggregate number of shares that the Corporation shall have authority to issue is 130,000,000 shares consisting of: </w:t>
      </w:r>
    </w:p>
    <w:p>
      <w:pPr>
        <w:pStyle w:val="TextBody"/>
        <w:bidi w:val="0"/>
        <w:spacing w:before="120" w:after="283"/>
        <w:jc w:val="left"/>
        <w:rPr>
          <w:rFonts w:ascii="Times New Roman" w:hAnsi="Times New Roman"/>
          <w:sz w:val="20"/>
        </w:rPr>
      </w:pPr>
      <w:r>
        <w:rPr>
          <w:rFonts w:ascii="Times New Roman" w:hAnsi="Times New Roman"/>
          <w:color w:val="000000"/>
          <w:sz w:val="20"/>
        </w:rPr>
        <w:t>1. 120,000,000 shares of Common Stock, $0.001 par value per share (the “</w:t>
      </w:r>
      <w:r>
        <w:rPr>
          <w:rFonts w:ascii="Times New Roman" w:hAnsi="Times New Roman"/>
          <w:b/>
          <w:color w:val="000000"/>
          <w:sz w:val="20"/>
        </w:rPr>
        <w:t>Common Stock</w:t>
      </w:r>
      <w:r>
        <w:rPr>
          <w:rFonts w:ascii="Times New Roman" w:hAnsi="Times New Roman"/>
          <w:color w:val="000000"/>
          <w:sz w:val="20"/>
        </w:rPr>
        <w:t xml:space="preserve">”); and </w:t>
      </w:r>
    </w:p>
    <w:p>
      <w:pPr>
        <w:pStyle w:val="TextBody"/>
        <w:bidi w:val="0"/>
        <w:spacing w:before="120" w:after="283"/>
        <w:jc w:val="left"/>
        <w:rPr>
          <w:rFonts w:ascii="Times New Roman" w:hAnsi="Times New Roman"/>
          <w:sz w:val="20"/>
        </w:rPr>
      </w:pPr>
      <w:r>
        <w:rPr>
          <w:rFonts w:ascii="Times New Roman" w:hAnsi="Times New Roman"/>
          <w:color w:val="000000"/>
          <w:sz w:val="20"/>
        </w:rPr>
        <w:t>2. 10,000,000 shares of Preferred Stock, $0.001 par value per share (the “</w:t>
      </w: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WITNESS WHEREOF, the Corporation has caused its duly authorized officer to execute this Certificate of Amendment on this 11</w:t>
      </w:r>
      <w:r>
        <w:rPr>
          <w:rFonts w:ascii="Times New Roman" w:hAnsi="Times New Roman"/>
          <w:color w:val="000000"/>
          <w:sz w:val="13"/>
        </w:rPr>
        <w:t>th</w:t>
      </w:r>
      <w:r>
        <w:rPr>
          <w:rFonts w:ascii="Times New Roman" w:hAnsi="Times New Roman"/>
          <w:color w:val="000000"/>
          <w:sz w:val="20"/>
        </w:rPr>
        <w:t xml:space="preserve"> day of June, 2024. </w:t>
      </w:r>
    </w:p>
    <w:tbl>
      <w:tblPr>
        <w:tblW w:w="3778" w:type="dxa"/>
        <w:jc w:val="left"/>
        <w:tblInd w:w="0" w:type="dxa"/>
        <w:tblLayout w:type="fixed"/>
        <w:tblCellMar>
          <w:top w:w="28" w:type="dxa"/>
          <w:left w:w="28" w:type="dxa"/>
          <w:bottom w:w="28" w:type="dxa"/>
          <w:right w:w="28" w:type="dxa"/>
        </w:tblCellMar>
      </w:tblPr>
      <w:tblGrid>
        <w:gridCol w:w="421"/>
        <w:gridCol w:w="146"/>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SOLID BIOSCIENCES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 xml:space="preserve">/s/ Alexander Cumbo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Alexander Cumbo</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AMENDMENT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spacing w:before="12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SOLID BIOSCIENCES INC.</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Pursuant to Section 242 of the </w:t>
      </w:r>
    </w:p>
    <w:p>
      <w:pPr>
        <w:pStyle w:val="TextBody"/>
        <w:bidi w:val="0"/>
        <w:jc w:val="center"/>
        <w:rPr>
          <w:rFonts w:ascii="Times New Roman" w:hAnsi="Times New Roman"/>
          <w:sz w:val="20"/>
        </w:rPr>
      </w:pPr>
      <w:r>
        <w:rPr>
          <w:rFonts w:ascii="Times New Roman" w:hAnsi="Times New Roman"/>
          <w:color w:val="000000"/>
          <w:sz w:val="20"/>
          <w:u w:val="single"/>
        </w:rPr>
        <w:t>General Corporation Law of the State of Delaware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Solid Biosciences Inc. (hereinafter called the “</w:t>
      </w:r>
      <w:r>
        <w:rPr>
          <w:rFonts w:ascii="Times New Roman" w:hAnsi="Times New Roman"/>
          <w:b/>
          <w:color w:val="000000"/>
          <w:sz w:val="20"/>
        </w:rPr>
        <w:t>Corporation</w:t>
      </w:r>
      <w:r>
        <w:rPr>
          <w:rFonts w:ascii="Times New Roman" w:hAnsi="Times New Roman"/>
          <w:color w:val="000000"/>
          <w:sz w:val="20"/>
        </w:rPr>
        <w:t xml:space="preserve">”), a corporation organized and existing under and by virtue of the provisions of the General Corporation Law of the State of Delaware, does hereby certify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resolution was duly adopted by the Board of Directors of the Corporation pursuant to Section 242 of the General Corporation Law of the State of Delaware setting forth an amendment to the Certificate of Incorporation of the Corporation, as amended, and declaring said amendment to be advisable. The stockholders of the Corporation duly approved and adopted said proposed amendment at an annual meeting of stockholders in accordance with Section 242 of the General Corporation Law of the State of Delaware. The resolution setting forth the amendment is as follows: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1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RESOLVED</w:t>
            </w:r>
            <w:r>
              <w:rPr>
                <w:rFonts w:ascii="Times New Roman" w:hAnsi="Times New Roman"/>
                <w:color w:val="000000"/>
                <w:sz w:val="2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That the first paragraph of Article IV of the Certificate of Incorporation of the Corporation, as amended, be and hereby is deleted in its entirety and the following is inserted in lieu thereof: </w:t>
            </w:r>
          </w:p>
        </w:tc>
      </w:tr>
    </w:tbl>
    <w:p>
      <w:pPr>
        <w:pStyle w:val="TextBody"/>
        <w:bidi w:val="0"/>
        <w:spacing w:before="120" w:after="283"/>
        <w:jc w:val="left"/>
        <w:rPr/>
      </w:pPr>
      <w:r>
        <w:rPr>
          <w:color w:val="000000"/>
        </w:rPr>
        <w:t>“</w:t>
      </w:r>
      <w:r>
        <w:rPr>
          <w:rFonts w:ascii="Times New Roman" w:hAnsi="Times New Roman"/>
          <w:color w:val="000000"/>
          <w:sz w:val="20"/>
        </w:rPr>
        <w:t xml:space="preserve">The aggregate number of shares that the Corporation shall have authority to issue is 250,000,000 shares consisting of: </w:t>
      </w:r>
    </w:p>
    <w:p>
      <w:pPr>
        <w:pStyle w:val="TextBody"/>
        <w:bidi w:val="0"/>
        <w:spacing w:before="120" w:after="283"/>
        <w:jc w:val="left"/>
        <w:rPr>
          <w:rFonts w:ascii="Times New Roman" w:hAnsi="Times New Roman"/>
          <w:sz w:val="20"/>
        </w:rPr>
      </w:pPr>
      <w:r>
        <w:rPr>
          <w:rFonts w:ascii="Times New Roman" w:hAnsi="Times New Roman"/>
          <w:color w:val="000000"/>
          <w:sz w:val="20"/>
        </w:rPr>
        <w:t>1. 240,000,000 shares of Common Stock, $0.001 par value per share (the “</w:t>
      </w:r>
      <w:r>
        <w:rPr>
          <w:rFonts w:ascii="Times New Roman" w:hAnsi="Times New Roman"/>
          <w:b/>
          <w:color w:val="000000"/>
          <w:sz w:val="20"/>
        </w:rPr>
        <w:t>Common Stock</w:t>
      </w:r>
      <w:r>
        <w:rPr>
          <w:rFonts w:ascii="Times New Roman" w:hAnsi="Times New Roman"/>
          <w:color w:val="000000"/>
          <w:sz w:val="20"/>
        </w:rPr>
        <w:t xml:space="preserve">”); and </w:t>
      </w:r>
    </w:p>
    <w:p>
      <w:pPr>
        <w:pStyle w:val="TextBody"/>
        <w:bidi w:val="0"/>
        <w:spacing w:before="120" w:after="283"/>
        <w:jc w:val="left"/>
        <w:rPr>
          <w:rFonts w:ascii="Times New Roman" w:hAnsi="Times New Roman"/>
          <w:sz w:val="20"/>
        </w:rPr>
      </w:pPr>
      <w:r>
        <w:rPr>
          <w:rFonts w:ascii="Times New Roman" w:hAnsi="Times New Roman"/>
          <w:color w:val="000000"/>
          <w:sz w:val="20"/>
        </w:rPr>
        <w:t>2. 10,000,000 shares of Preferred Stock, $0.001 par value per share (the “</w:t>
      </w: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WITNESS WHEREOF, the Corporation has caused its duly authorized officer to execute this Certificate of Amendment on this 12</w:t>
      </w:r>
      <w:r>
        <w:rPr>
          <w:rFonts w:ascii="Times New Roman" w:hAnsi="Times New Roman"/>
          <w:color w:val="000000"/>
          <w:sz w:val="13"/>
        </w:rPr>
        <w:t>th</w:t>
      </w:r>
      <w:r>
        <w:rPr>
          <w:rFonts w:ascii="Times New Roman" w:hAnsi="Times New Roman"/>
          <w:color w:val="000000"/>
          <w:sz w:val="20"/>
        </w:rPr>
        <w:t xml:space="preserve"> day of June, 2025. </w:t>
      </w:r>
    </w:p>
    <w:tbl>
      <w:tblPr>
        <w:tblW w:w="3778" w:type="dxa"/>
        <w:jc w:val="left"/>
        <w:tblInd w:w="0" w:type="dxa"/>
        <w:tblLayout w:type="fixed"/>
        <w:tblCellMar>
          <w:top w:w="28" w:type="dxa"/>
          <w:left w:w="28" w:type="dxa"/>
          <w:bottom w:w="28" w:type="dxa"/>
          <w:right w:w="28" w:type="dxa"/>
        </w:tblCellMar>
      </w:tblPr>
      <w:tblGrid>
        <w:gridCol w:w="421"/>
        <w:gridCol w:w="146"/>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SOLID BIOSCIENCES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 xml:space="preserve">/s/ Alexander Cumbo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Alexander Cumbo</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AMENDMENT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spacing w:before="12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SOLID BIOSCIENCES INC.</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Pursuant to Section 242 of the </w:t>
      </w:r>
    </w:p>
    <w:p>
      <w:pPr>
        <w:pStyle w:val="TextBody"/>
        <w:bidi w:val="0"/>
        <w:jc w:val="center"/>
        <w:rPr>
          <w:rFonts w:ascii="Times New Roman" w:hAnsi="Times New Roman"/>
          <w:sz w:val="20"/>
        </w:rPr>
      </w:pPr>
      <w:r>
        <w:rPr>
          <w:rFonts w:ascii="Times New Roman" w:hAnsi="Times New Roman"/>
          <w:color w:val="000000"/>
          <w:sz w:val="20"/>
          <w:u w:val="single"/>
        </w:rPr>
        <w:t>General Corporation Law of the State of Delaware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Solid Biosciences Inc. (hereinafter called the “</w:t>
      </w:r>
      <w:r>
        <w:rPr>
          <w:rFonts w:ascii="Times New Roman" w:hAnsi="Times New Roman"/>
          <w:b/>
          <w:color w:val="000000"/>
          <w:sz w:val="20"/>
        </w:rPr>
        <w:t>Corporation</w:t>
      </w:r>
      <w:r>
        <w:rPr>
          <w:rFonts w:ascii="Times New Roman" w:hAnsi="Times New Roman"/>
          <w:color w:val="000000"/>
          <w:sz w:val="20"/>
        </w:rPr>
        <w:t xml:space="preserve">”), a corporation organized and existing under and by virtue of the provisions of the General Corporation Law of the State of Delaware, does hereby certify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resolution was duly adopted by the Board of Directors of the Corporation pursuant to Section 242 of the General Corporation Law of the State of Delaware setting forth an amendment to the Certificate of Incorporation of the Corporation, as amended, and declaring said amendment to be advisable. The stockholders of the Corporation duly approved and adopted said proposed amendment at an annual meeting of stockholders in accordance with Section 242 of the General Corporation Law of the State of Delaware. The resolution setting forth the amendment is as follows: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1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RESOLVED</w:t>
            </w:r>
            <w:r>
              <w:rPr>
                <w:rFonts w:ascii="Times New Roman" w:hAnsi="Times New Roman"/>
                <w:color w:val="000000"/>
                <w:sz w:val="2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That the first paragraph of Article IV of the Certificate of Incorporation of the Corporation, as amended, be and hereby is deleted in its entirety and the following is inserted in lieu thereof: </w:t>
            </w:r>
          </w:p>
        </w:tc>
      </w:tr>
    </w:tbl>
    <w:p>
      <w:pPr>
        <w:pStyle w:val="TextBody"/>
        <w:bidi w:val="0"/>
        <w:spacing w:before="120" w:after="283"/>
        <w:jc w:val="left"/>
        <w:rPr/>
      </w:pPr>
      <w:r>
        <w:rPr>
          <w:color w:val="000000"/>
        </w:rPr>
        <w:t>“</w:t>
      </w:r>
      <w:r>
        <w:rPr>
          <w:rFonts w:ascii="Times New Roman" w:hAnsi="Times New Roman"/>
          <w:color w:val="000000"/>
          <w:sz w:val="20"/>
        </w:rPr>
        <w:t xml:space="preserve">The aggregate number of shares that the Corporation shall have authority to issue is 490,000,000 shares consisting of: </w:t>
      </w:r>
    </w:p>
    <w:p>
      <w:pPr>
        <w:pStyle w:val="TextBody"/>
        <w:bidi w:val="0"/>
        <w:spacing w:before="120" w:after="283"/>
        <w:jc w:val="left"/>
        <w:rPr>
          <w:rFonts w:ascii="Times New Roman" w:hAnsi="Times New Roman"/>
          <w:sz w:val="20"/>
        </w:rPr>
      </w:pPr>
      <w:r>
        <w:rPr>
          <w:rFonts w:ascii="Times New Roman" w:hAnsi="Times New Roman"/>
          <w:color w:val="000000"/>
          <w:sz w:val="20"/>
        </w:rPr>
        <w:t>1. 480,000,000 shares of Common Stock, $0.001 par value per share (the “</w:t>
      </w:r>
      <w:r>
        <w:rPr>
          <w:rFonts w:ascii="Times New Roman" w:hAnsi="Times New Roman"/>
          <w:b/>
          <w:color w:val="000000"/>
          <w:sz w:val="20"/>
        </w:rPr>
        <w:t>Common Stock</w:t>
      </w:r>
      <w:r>
        <w:rPr>
          <w:rFonts w:ascii="Times New Roman" w:hAnsi="Times New Roman"/>
          <w:color w:val="000000"/>
          <w:sz w:val="20"/>
        </w:rPr>
        <w:t xml:space="preserve">”); and </w:t>
      </w:r>
    </w:p>
    <w:p>
      <w:pPr>
        <w:pStyle w:val="TextBody"/>
        <w:bidi w:val="0"/>
        <w:spacing w:before="120" w:after="283"/>
        <w:jc w:val="left"/>
        <w:rPr>
          <w:rFonts w:ascii="Times New Roman" w:hAnsi="Times New Roman"/>
          <w:sz w:val="20"/>
        </w:rPr>
      </w:pPr>
      <w:r>
        <w:rPr>
          <w:rFonts w:ascii="Times New Roman" w:hAnsi="Times New Roman"/>
          <w:color w:val="000000"/>
          <w:sz w:val="20"/>
        </w:rPr>
        <w:t>2. 10,000,000 shares of Preferred Stock, $0.001 par value per share (the “</w:t>
      </w: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WITNESS WHEREOF, the Corporation has caused its duly authorized officer to execute this Certificate of Amendment on this 10</w:t>
      </w:r>
      <w:r>
        <w:rPr>
          <w:rFonts w:ascii="Times New Roman" w:hAnsi="Times New Roman"/>
          <w:color w:val="000000"/>
          <w:sz w:val="13"/>
        </w:rPr>
        <w:t>th</w:t>
      </w:r>
      <w:r>
        <w:rPr>
          <w:rFonts w:ascii="Times New Roman" w:hAnsi="Times New Roman"/>
          <w:color w:val="000000"/>
          <w:sz w:val="20"/>
        </w:rPr>
        <w:t xml:space="preserve"> day of June, 2026. </w:t>
      </w:r>
    </w:p>
    <w:tbl>
      <w:tblPr>
        <w:tblW w:w="3778" w:type="dxa"/>
        <w:jc w:val="left"/>
        <w:tblInd w:w="0" w:type="dxa"/>
        <w:tblLayout w:type="fixed"/>
        <w:tblCellMar>
          <w:top w:w="28" w:type="dxa"/>
          <w:left w:w="28" w:type="dxa"/>
          <w:bottom w:w="28" w:type="dxa"/>
          <w:right w:w="28" w:type="dxa"/>
        </w:tblCellMar>
      </w:tblPr>
      <w:tblGrid>
        <w:gridCol w:w="421"/>
        <w:gridCol w:w="146"/>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SOLID BIOSCIENCES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 xml:space="preserve">/s/ Alexander Cumbo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Alexander Cumbo</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sldb-ex10_1.htm"/>
      <w:bookmarkStart w:id="25" w:name="kssldbex10_1"/>
      <w:bookmarkEnd w:id="24"/>
      <w:bookmarkEnd w:id="25"/>
      <w:r>
        <w:rPr>
          <w:rFonts w:ascii="Times New Roman" w:hAnsi="Times New Roman"/>
          <w:b/>
          <w:color w:val="000000"/>
          <w:sz w:val="20"/>
        </w:rPr>
        <w:t>Exhibit 10.1</w:t>
      </w:r>
      <w:r>
        <w:br w:type="page"/>
      </w:r>
    </w:p>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SOLID BIOSCIENCES INC.</w:t>
      </w:r>
    </w:p>
    <w:p>
      <w:pPr>
        <w:pStyle w:val="TextBody"/>
        <w:bidi w:val="0"/>
        <w:jc w:val="center"/>
        <w:rPr>
          <w:rFonts w:ascii="Times New Roman" w:hAnsi="Times New Roman"/>
          <w:b/>
          <w:color w:val="000000"/>
          <w:sz w:val="22"/>
        </w:rPr>
      </w:pPr>
      <w:r>
        <w:rPr>
          <w:rFonts w:ascii="Times New Roman" w:hAnsi="Times New Roman"/>
          <w:b/>
          <w:color w:val="000000"/>
          <w:sz w:val="22"/>
        </w:rPr>
        <w:t>NON-EMPLOYEE DIRECTOR COMPENSATION POLICY</w:t>
      </w:r>
    </w:p>
    <w:p>
      <w:pPr>
        <w:pStyle w:val="TextBody"/>
        <w:bidi w:val="0"/>
        <w:jc w:val="left"/>
        <w:rPr>
          <w:rFonts w:ascii="Times New Roman" w:hAnsi="Times New Roman"/>
          <w:color w:val="000000"/>
          <w:sz w:val="22"/>
        </w:rPr>
      </w:pPr>
      <w:r>
        <w:rPr>
          <w:rFonts w:ascii="Times New Roman" w:hAnsi="Times New Roman"/>
          <w:color w:val="000000"/>
          <w:sz w:val="22"/>
        </w:rPr>
        <w:t>The non-employee directors of Solid Biosciences Inc. (the “Company”) shall receive the following compensation for their service as members of the Board of Directors of the Company (the “Board”).</w:t>
      </w:r>
    </w:p>
    <w:p>
      <w:pPr>
        <w:pStyle w:val="TextBody"/>
        <w:bidi w:val="0"/>
        <w:jc w:val="left"/>
        <w:rPr>
          <w:rFonts w:ascii="Times New Roman" w:hAnsi="Times New Roman"/>
          <w:b/>
          <w:color w:val="000000"/>
          <w:sz w:val="22"/>
        </w:rPr>
      </w:pPr>
      <w:r>
        <w:rPr>
          <w:rFonts w:ascii="Times New Roman" w:hAnsi="Times New Roman"/>
          <w:b/>
          <w:color w:val="000000"/>
          <w:sz w:val="22"/>
        </w:rPr>
        <w:t>Director Compensation</w:t>
      </w:r>
    </w:p>
    <w:p>
      <w:pPr>
        <w:pStyle w:val="TextBody"/>
        <w:bidi w:val="0"/>
        <w:jc w:val="left"/>
        <w:rPr>
          <w:rFonts w:ascii="Times New Roman" w:hAnsi="Times New Roman"/>
          <w:color w:val="000000"/>
          <w:sz w:val="22"/>
        </w:rPr>
      </w:pPr>
      <w:r>
        <w:rPr>
          <w:rFonts w:ascii="Times New Roman" w:hAnsi="Times New Roman"/>
          <w:color w:val="000000"/>
          <w:sz w:val="22"/>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pStyle w:val="TextBody"/>
        <w:bidi w:val="0"/>
        <w:jc w:val="left"/>
        <w:rPr>
          <w:rFonts w:ascii="Times New Roman" w:hAnsi="Times New Roman"/>
          <w:b/>
          <w:i/>
          <w:color w:val="000000"/>
          <w:sz w:val="22"/>
        </w:rPr>
      </w:pPr>
      <w:r>
        <w:rPr>
          <w:rFonts w:ascii="Times New Roman" w:hAnsi="Times New Roman"/>
          <w:b/>
          <w:i/>
          <w:color w:val="000000"/>
          <w:sz w:val="22"/>
        </w:rPr>
        <w:t>Cash Compensation</w:t>
      </w:r>
    </w:p>
    <w:p>
      <w:pPr>
        <w:pStyle w:val="TextBody"/>
        <w:bidi w:val="0"/>
        <w:jc w:val="left"/>
        <w:rPr>
          <w:rFonts w:ascii="Times New Roman" w:hAnsi="Times New Roman"/>
          <w:color w:val="000000"/>
          <w:sz w:val="22"/>
        </w:rPr>
      </w:pPr>
      <w:r>
        <w:rPr>
          <w:rFonts w:ascii="Times New Roman" w:hAnsi="Times New Roman"/>
          <w:color w:val="000000"/>
          <w:sz w:val="22"/>
        </w:rPr>
        <w:t>The fees that will be paid to our non-employee directors for service on the Board, and for service on each committee of the Board on which the director is then a member, and the fees that will be paid to the chairperson of each committee of the Board will be as follows:</w:t>
      </w:r>
    </w:p>
    <w:tbl>
      <w:tblPr>
        <w:tblW w:w="10205" w:type="dxa"/>
        <w:jc w:val="left"/>
        <w:tblInd w:w="0" w:type="dxa"/>
        <w:tblLayout w:type="fixed"/>
        <w:tblCellMar>
          <w:top w:w="28" w:type="dxa"/>
          <w:left w:w="28" w:type="dxa"/>
          <w:bottom w:w="28" w:type="dxa"/>
          <w:right w:w="28" w:type="dxa"/>
        </w:tblCellMar>
      </w:tblPr>
      <w:tblGrid>
        <w:gridCol w:w="4593"/>
        <w:gridCol w:w="1971"/>
        <w:gridCol w:w="3641"/>
      </w:tblGrid>
      <w:tr>
        <w:trPr/>
        <w:tc>
          <w:tcPr>
            <w:tcW w:w="459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59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c>
          <w:tcPr>
            <w:tcW w:w="19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Member Annual Fee</w:t>
            </w:r>
          </w:p>
        </w:tc>
        <w:tc>
          <w:tcPr>
            <w:tcW w:w="364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20"/>
              <w:jc w:val="center"/>
              <w:rPr>
                <w:rFonts w:ascii="Times New Roman" w:hAnsi="Times New Roman"/>
                <w:b/>
                <w:color w:val="000000"/>
                <w:sz w:val="22"/>
              </w:rPr>
            </w:pPr>
            <w:r>
              <w:rPr>
                <w:rFonts w:ascii="Times New Roman" w:hAnsi="Times New Roman"/>
                <w:b/>
                <w:color w:val="000000"/>
                <w:sz w:val="22"/>
              </w:rPr>
              <w:t>Chairperson Incremental Annual Fee</w:t>
            </w:r>
          </w:p>
        </w:tc>
      </w:tr>
      <w:tr>
        <w:trPr/>
        <w:tc>
          <w:tcPr>
            <w:tcW w:w="459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Board of Directors</w:t>
            </w:r>
          </w:p>
        </w:tc>
        <w:tc>
          <w:tcPr>
            <w:tcW w:w="197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$40,000</w:t>
            </w:r>
          </w:p>
        </w:tc>
        <w:tc>
          <w:tcPr>
            <w:tcW w:w="364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2"/>
              </w:rPr>
            </w:pPr>
            <w:r>
              <w:rPr>
                <w:rFonts w:ascii="Times New Roman" w:hAnsi="Times New Roman"/>
                <w:color w:val="000000"/>
                <w:sz w:val="22"/>
              </w:rPr>
              <w:t>$35,000</w:t>
            </w:r>
          </w:p>
        </w:tc>
      </w:tr>
      <w:tr>
        <w:trPr/>
        <w:tc>
          <w:tcPr>
            <w:tcW w:w="459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Audit Committee</w:t>
            </w:r>
          </w:p>
        </w:tc>
        <w:tc>
          <w:tcPr>
            <w:tcW w:w="197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$10,000</w:t>
            </w:r>
          </w:p>
        </w:tc>
        <w:tc>
          <w:tcPr>
            <w:tcW w:w="364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2"/>
              </w:rPr>
            </w:pPr>
            <w:r>
              <w:rPr>
                <w:rFonts w:ascii="Times New Roman" w:hAnsi="Times New Roman"/>
                <w:color w:val="000000"/>
                <w:sz w:val="22"/>
              </w:rPr>
              <w:t>$20,000</w:t>
            </w:r>
          </w:p>
        </w:tc>
      </w:tr>
      <w:tr>
        <w:trPr/>
        <w:tc>
          <w:tcPr>
            <w:tcW w:w="459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Clinical Committee</w:t>
            </w:r>
          </w:p>
        </w:tc>
        <w:tc>
          <w:tcPr>
            <w:tcW w:w="197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$7,500</w:t>
            </w:r>
          </w:p>
        </w:tc>
        <w:tc>
          <w:tcPr>
            <w:tcW w:w="364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2"/>
              </w:rPr>
            </w:pPr>
            <w:r>
              <w:rPr>
                <w:rFonts w:ascii="Times New Roman" w:hAnsi="Times New Roman"/>
                <w:color w:val="000000"/>
                <w:sz w:val="22"/>
              </w:rPr>
              <w:t>$7,500</w:t>
            </w:r>
          </w:p>
        </w:tc>
      </w:tr>
      <w:tr>
        <w:trPr/>
        <w:tc>
          <w:tcPr>
            <w:tcW w:w="459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Compensation Committee</w:t>
            </w:r>
          </w:p>
        </w:tc>
        <w:tc>
          <w:tcPr>
            <w:tcW w:w="197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$7,000</w:t>
            </w:r>
          </w:p>
        </w:tc>
        <w:tc>
          <w:tcPr>
            <w:tcW w:w="364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2"/>
              </w:rPr>
            </w:pPr>
            <w:r>
              <w:rPr>
                <w:rFonts w:ascii="Times New Roman" w:hAnsi="Times New Roman"/>
                <w:color w:val="000000"/>
                <w:sz w:val="22"/>
              </w:rPr>
              <w:t>$12,250</w:t>
            </w:r>
          </w:p>
        </w:tc>
      </w:tr>
      <w:tr>
        <w:trPr/>
        <w:tc>
          <w:tcPr>
            <w:tcW w:w="459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Nominating and Corporate Governance Committee</w:t>
            </w:r>
          </w:p>
        </w:tc>
        <w:tc>
          <w:tcPr>
            <w:tcW w:w="197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$5,000</w:t>
            </w:r>
          </w:p>
        </w:tc>
        <w:tc>
          <w:tcPr>
            <w:tcW w:w="364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$10,000</w:t>
            </w:r>
          </w:p>
        </w:tc>
      </w:tr>
    </w:tbl>
    <w:p>
      <w:pPr>
        <w:pStyle w:val="TextBody"/>
        <w:bidi w:val="0"/>
        <w:jc w:val="left"/>
        <w:rPr>
          <w:rFonts w:ascii="Times New Roman" w:hAnsi="Times New Roman"/>
          <w:color w:val="000000"/>
          <w:sz w:val="22"/>
        </w:rPr>
      </w:pPr>
      <w:r>
        <w:rPr>
          <w:rFonts w:ascii="Times New Roman" w:hAnsi="Times New Roman"/>
          <w:color w:val="000000"/>
          <w:sz w:val="22"/>
        </w:rPr>
        <w:t>The foregoing fees will be payable in arrears in equal semi-annual installments not later than the 15th business day following the end of the second and fourth calendar quarters, provided that the amount of such payment will be prorated for any portion of such semi-annual period that the director is not serving on the Board, on such committee or in such position, and no fee shall be payable in respect of any period prior to the completion of our initial public offering.</w:t>
      </w:r>
    </w:p>
    <w:p>
      <w:pPr>
        <w:pStyle w:val="TextBody"/>
        <w:bidi w:val="0"/>
        <w:jc w:val="left"/>
        <w:rPr>
          <w:rFonts w:ascii="Times New Roman" w:hAnsi="Times New Roman"/>
          <w:b/>
          <w:i/>
          <w:color w:val="000000"/>
          <w:sz w:val="22"/>
        </w:rPr>
      </w:pPr>
      <w:r>
        <w:rPr>
          <w:rFonts w:ascii="Times New Roman" w:hAnsi="Times New Roman"/>
          <w:b/>
          <w:i/>
          <w:color w:val="000000"/>
          <w:sz w:val="22"/>
        </w:rPr>
        <w:t>Equity Compensation</w:t>
      </w:r>
    </w:p>
    <w:p>
      <w:pPr>
        <w:pStyle w:val="TextBody"/>
        <w:bidi w:val="0"/>
        <w:jc w:val="left"/>
        <w:rPr>
          <w:rFonts w:ascii="Times New Roman" w:hAnsi="Times New Roman"/>
          <w:sz w:val="20"/>
        </w:rPr>
      </w:pPr>
      <w:r>
        <w:rPr>
          <w:rFonts w:ascii="Times New Roman" w:hAnsi="Times New Roman"/>
          <w:color w:val="000000"/>
          <w:sz w:val="22"/>
          <w:u w:val="single"/>
        </w:rPr>
        <w:t>Initial Stock Option Grants</w:t>
      </w:r>
      <w:r>
        <w:rPr>
          <w:rFonts w:ascii="Times New Roman" w:hAnsi="Times New Roman"/>
          <w:color w:val="000000"/>
          <w:sz w:val="22"/>
        </w:rPr>
        <w:t>. Upon initial election to our Board, each non-employee director will be granted, automatically and without the need for any further action by the Board, an initial equity award of an option to purchase 155,000 shares of our common stock. The option shall have a term of ten years from the grant date and shall vest and become exercisable as to 1/3 of the shares underlying such option on each anniversary of the grant date until the third anniversary of the grant date, subject to the director’s continued service as a director through each applicable vesting date. The vesting shall accelerate as to 100% of the shares upon a change in control of the Company. The exercise price shall be the closing price of our common stock on the date of grant.</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2"/>
          <w:u w:val="single"/>
        </w:rPr>
        <w:t>Annual Stock Option Grants.</w:t>
      </w:r>
      <w:r>
        <w:rPr>
          <w:rFonts w:ascii="Times New Roman" w:hAnsi="Times New Roman"/>
          <w:color w:val="000000"/>
          <w:sz w:val="20"/>
        </w:rPr>
        <w:t xml:space="preserve"> </w:t>
      </w:r>
      <w:r>
        <w:rPr>
          <w:rFonts w:ascii="Times New Roman" w:hAnsi="Times New Roman"/>
          <w:color w:val="000000"/>
          <w:sz w:val="22"/>
        </w:rPr>
        <w:t>Each non-employee director who has served as a member of our Board for at least six months prior to the date of our annual meeting of stockholders for a particular year will be granted, automatically and without the need for any further action by the Board, an equity award on the date of such annual meeting of an option to purchase 77,500 shares of our common stock. The option shall have a term of ten years from the grant date and shall vest and become exercisable in full on the earlier to occur of the one-year anniversary of the grant date and immediately prior to our first annual meeting of stockholders occurring after the grant date, subject, in each case, to the director’s continued service as a director through the applicable vesting date. The vesting shall accelerate as to 100% of the shares upon a change in control of the Company. The exercise price shall be the closing price of our common stock on the date of grant.</w:t>
      </w:r>
    </w:p>
    <w:p>
      <w:pPr>
        <w:pStyle w:val="TextBody"/>
        <w:bidi w:val="0"/>
        <w:jc w:val="left"/>
        <w:rPr>
          <w:rFonts w:ascii="Times New Roman" w:hAnsi="Times New Roman"/>
          <w:color w:val="000000"/>
          <w:sz w:val="22"/>
        </w:rPr>
      </w:pPr>
      <w:r>
        <w:rPr>
          <w:rFonts w:ascii="Times New Roman" w:hAnsi="Times New Roman"/>
          <w:color w:val="000000"/>
          <w:sz w:val="22"/>
        </w:rPr>
        <w:t>The foregoing share amounts shall be adjusted in the event of certain changes in the capital structure or business of the Company, including any stock split, reverse stock split, stock dividend, combination or reclassification of shares, recapitalization, spin off or other similar change in the Company’s capitalization and any non-cash dividend or distribution to holders of common stock, in each case in accordance with the terms of our 2020 Equity Incentive Plan, or any successor plan.</w:t>
      </w:r>
    </w:p>
    <w:p>
      <w:pPr>
        <w:pStyle w:val="TextBody"/>
        <w:bidi w:val="0"/>
        <w:jc w:val="left"/>
        <w:rPr>
          <w:rFonts w:ascii="Times New Roman" w:hAnsi="Times New Roman"/>
          <w:color w:val="000000"/>
          <w:sz w:val="22"/>
        </w:rPr>
      </w:pPr>
      <w:r>
        <w:rPr>
          <w:rFonts w:ascii="Times New Roman" w:hAnsi="Times New Roman"/>
          <w:color w:val="000000"/>
          <w:sz w:val="22"/>
        </w:rPr>
        <w:t>The initial stock option awards and the annual stock option awards shall be subject to the terms and conditions of our Amended and Restated 2020 Equity Incentive Plan, as amended, or any successor plan, and the terms of the option agreements entered into with each director in connection with such awards.</w:t>
      </w:r>
    </w:p>
    <w:p>
      <w:pPr>
        <w:pStyle w:val="TextBody"/>
        <w:bidi w:val="0"/>
        <w:jc w:val="left"/>
        <w:rPr>
          <w:rFonts w:ascii="Times New Roman" w:hAnsi="Times New Roman"/>
          <w:b/>
          <w:color w:val="000000"/>
          <w:sz w:val="22"/>
        </w:rPr>
      </w:pPr>
      <w:r>
        <w:rPr>
          <w:rFonts w:ascii="Times New Roman" w:hAnsi="Times New Roman"/>
          <w:b/>
          <w:color w:val="000000"/>
          <w:sz w:val="22"/>
        </w:rPr>
        <w:t>Expenses</w:t>
      </w:r>
    </w:p>
    <w:p>
      <w:pPr>
        <w:pStyle w:val="TextBody"/>
        <w:bidi w:val="0"/>
        <w:jc w:val="left"/>
        <w:rPr>
          <w:rFonts w:ascii="Times New Roman" w:hAnsi="Times New Roman"/>
          <w:sz w:val="20"/>
        </w:rPr>
      </w:pPr>
      <w:r>
        <w:rPr>
          <w:rFonts w:ascii="Times New Roman" w:hAnsi="Times New Roman"/>
          <w:color w:val="000000"/>
          <w:sz w:val="22"/>
        </w:rPr>
        <w:t>Upon presentation of documentation of such expenses reasonably satisfactory to the Company, each non-employee director shall be reimbursed for his or her reasonable out-of-pocket business expenses incurred in connection with the performance of their duties as directors, including travel expenses in connection with their attendance in-person at Board and committee meetings.</w:t>
      </w:r>
      <w:r>
        <w:rPr>
          <w:rFonts w:ascii="Times New Roman" w:hAnsi="Times New Roman"/>
          <w:color w:val="000000"/>
          <w:sz w:val="20"/>
        </w:rPr>
        <w:t xml:space="preserve"> </w:t>
      </w:r>
    </w:p>
    <w:p>
      <w:pPr>
        <w:pStyle w:val="TextBody"/>
        <w:bidi w:val="0"/>
        <w:jc w:val="left"/>
        <w:rPr>
          <w:rFonts w:ascii="Times New Roman" w:hAnsi="Times New Roman"/>
          <w:i/>
          <w:color w:val="000000"/>
          <w:sz w:val="22"/>
        </w:rPr>
      </w:pPr>
      <w:r>
        <w:rPr>
          <w:rFonts w:ascii="Times New Roman" w:hAnsi="Times New Roman"/>
          <w:i/>
          <w:color w:val="000000"/>
          <w:sz w:val="22"/>
        </w:rPr>
        <w:t>Effective: June 16, 2020, as amended June 7, 2022, December 13, 2022, June 11, 2024 and June 12, 2025, effective June 10, 2026 .</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ldb-ex31_1.htm"/>
      <w:bookmarkStart w:id="27" w:name="kssldbex31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 pursuant to Exchange Act Rules 13a-14(a)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and 15d-14(a), as adopted pursuant to Section 302 of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bookmarkStart w:id="28" w:name="mypage"/>
      <w:bookmarkEnd w:id="28"/>
      <w:r>
        <w:rPr>
          <w:rFonts w:ascii="Times New Roman" w:hAnsi="Times New Roman"/>
          <w:color w:val="000000"/>
          <w:sz w:val="20"/>
        </w:rPr>
        <w:t xml:space="preserve">I, Alexander Cumbo,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Solid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w:t>
      </w:r>
      <w:r>
        <w:rPr>
          <w:rFonts w:ascii="Times New Roman" w:hAnsi="Times New Roman"/>
          <w:sz w:val="20"/>
        </w:rPr>
        <w:t>internal control over financial reporting</w:t>
      </w:r>
      <w:r>
        <w:rPr>
          <w:color w:val="000000"/>
        </w:rPr>
        <w:t xml:space="preserve"> </w:t>
      </w:r>
      <w:r>
        <w:rPr>
          <w:rFonts w:ascii="Times New Roman" w:hAnsi="Times New Roman"/>
          <w:color w:val="000000"/>
          <w:sz w:val="20"/>
        </w:rPr>
        <w:t xml:space="preserve">(as defined in </w:t>
      </w:r>
      <w:r>
        <w:rPr>
          <w:rFonts w:ascii="Times New Roman" w:hAnsi="Times New Roman"/>
          <w:sz w:val="20"/>
        </w:rPr>
        <w:t>Exchange Act</w:t>
      </w:r>
      <w:r>
        <w:rPr>
          <w:color w:val="000000"/>
        </w:rPr>
        <w:t xml:space="preserve"> </w:t>
      </w:r>
      <w:r>
        <w:rPr>
          <w:rFonts w:ascii="Times New Roman" w:hAnsi="Times New Roman"/>
          <w:color w:val="000000"/>
          <w:sz w:val="20"/>
        </w:rPr>
        <w:t xml:space="preserve">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pPr>
      <w:r>
        <w:rPr>
          <w:rFonts w:ascii="Times New Roman" w:hAnsi="Times New Roman"/>
          <w:color w:val="000000"/>
          <w:sz w:val="20"/>
        </w:rPr>
        <w:t xml:space="preserve">Designed such </w:t>
      </w:r>
      <w:r>
        <w:rPr>
          <w:rFonts w:ascii="Times New Roman" w:hAnsi="Times New Roman"/>
          <w:sz w:val="20"/>
        </w:rPr>
        <w:t>internal control over financial reporting</w:t>
      </w:r>
      <w:r>
        <w:rPr>
          <w:rFonts w:ascii="Times New Roman" w:hAnsi="Times New Roman"/>
          <w:color w:val="000000"/>
          <w:sz w:val="20"/>
        </w:rPr>
        <w:t xml:space="preserve">, or caused such </w:t>
      </w:r>
      <w:r>
        <w:rPr>
          <w:rFonts w:ascii="Times New Roman" w:hAnsi="Times New Roman"/>
          <w:sz w:val="20"/>
        </w:rPr>
        <w:t>internal control over financial reporting</w:t>
      </w:r>
      <w:r>
        <w:rPr>
          <w:color w:val="000000"/>
        </w:rPr>
        <w:t xml:space="preserve"> </w:t>
      </w:r>
      <w:r>
        <w:rPr>
          <w:rFonts w:ascii="Times New Roman" w:hAnsi="Times New Roman"/>
          <w:color w:val="000000"/>
          <w:sz w:val="20"/>
        </w:rPr>
        <w:t xml:space="preserve">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Alexander Cumbo</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Alexander Cumbo</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ldb-ex31_2.htm"/>
      <w:bookmarkStart w:id="30" w:name="kssldbex31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 pursuant to Exchange Act Rules 13a-14(a)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and 15d-14(a), as adopted pursuant to Section 302 of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Kevin Tan,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Solid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w:t>
      </w:r>
      <w:r>
        <w:rPr>
          <w:rFonts w:ascii="Times New Roman" w:hAnsi="Times New Roman"/>
          <w:sz w:val="20"/>
        </w:rPr>
        <w:t>internal control over financial reporting</w:t>
      </w:r>
      <w:r>
        <w:rPr>
          <w:color w:val="000000"/>
        </w:rPr>
        <w:t xml:space="preserve"> </w:t>
      </w:r>
      <w:r>
        <w:rPr>
          <w:rFonts w:ascii="Times New Roman" w:hAnsi="Times New Roman"/>
          <w:color w:val="000000"/>
          <w:sz w:val="20"/>
        </w:rPr>
        <w:t xml:space="preserve">(as defined in </w:t>
      </w:r>
      <w:r>
        <w:rPr>
          <w:rFonts w:ascii="Times New Roman" w:hAnsi="Times New Roman"/>
          <w:sz w:val="20"/>
        </w:rPr>
        <w:t>Exchange Act</w:t>
      </w:r>
      <w:r>
        <w:rPr>
          <w:color w:val="000000"/>
        </w:rPr>
        <w:t xml:space="preserve"> </w:t>
      </w:r>
      <w:r>
        <w:rPr>
          <w:rFonts w:ascii="Times New Roman" w:hAnsi="Times New Roman"/>
          <w:color w:val="000000"/>
          <w:sz w:val="20"/>
        </w:rPr>
        <w:t xml:space="preserve">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pPr>
      <w:r>
        <w:rPr>
          <w:rFonts w:ascii="Times New Roman" w:hAnsi="Times New Roman"/>
          <w:color w:val="000000"/>
          <w:sz w:val="20"/>
        </w:rPr>
        <w:t xml:space="preserve">Designed such </w:t>
      </w:r>
      <w:r>
        <w:rPr>
          <w:rFonts w:ascii="Times New Roman" w:hAnsi="Times New Roman"/>
          <w:sz w:val="20"/>
        </w:rPr>
        <w:t>internal control over financial reporting</w:t>
      </w:r>
      <w:r>
        <w:rPr>
          <w:rFonts w:ascii="Times New Roman" w:hAnsi="Times New Roman"/>
          <w:color w:val="000000"/>
          <w:sz w:val="20"/>
        </w:rPr>
        <w:t xml:space="preserve">, or caused such </w:t>
      </w:r>
      <w:r>
        <w:rPr>
          <w:rFonts w:ascii="Times New Roman" w:hAnsi="Times New Roman"/>
          <w:sz w:val="20"/>
        </w:rPr>
        <w:t>internal control over financial reporting</w:t>
      </w:r>
      <w:r>
        <w:rPr>
          <w:color w:val="000000"/>
        </w:rPr>
        <w:t xml:space="preserve"> </w:t>
      </w:r>
      <w:r>
        <w:rPr>
          <w:rFonts w:ascii="Times New Roman" w:hAnsi="Times New Roman"/>
          <w:color w:val="000000"/>
          <w:sz w:val="20"/>
        </w:rPr>
        <w:t xml:space="preserve">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Tan</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Tan</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sldb-ex32_1.htm"/>
      <w:bookmarkStart w:id="32" w:name="kssldbex32_1"/>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Solid Biosciences Inc. (the “Company”) for the quarter ended June 30, 2026 as filed with the Securities and Exchange Commission on the date hereof (the “Report”), the undersigned, Alexander Cumbo, Chief Executive Officer of the Company, hereby certifies, pursuant to 18 U.S.C. Section 1350, as adopted pursuant to Section 906 of the Sarbanes-Oxley Act of 2002, that, to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5308" w:type="dxa"/>
        <w:jc w:val="left"/>
        <w:tblInd w:w="0" w:type="dxa"/>
        <w:tblLayout w:type="fixed"/>
        <w:tblCellMar>
          <w:top w:w="28" w:type="dxa"/>
          <w:left w:w="28" w:type="dxa"/>
          <w:bottom w:w="28" w:type="dxa"/>
          <w:right w:w="28" w:type="dxa"/>
        </w:tblCellMar>
      </w:tblPr>
      <w:tblGrid>
        <w:gridCol w:w="1951"/>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Alexander Cumbo</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Alexander Cumbo</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sldb-ex32_2.htm"/>
      <w:bookmarkStart w:id="34" w:name="kssldbex32_2"/>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Solid Biosciences Inc. (the “Company”) for the quarter ended June 30, 2026 as filed with the Securities and Exchange Commission on the date hereof (the “Report”), the undersigned, Kevin Tan, Chief Financial Officer of the Company, hereby certifies, pursuant to 18 U.S.C. Section 1350, as adopted pursuant to Section 906 of the Sarbanes-Oxley Act of 2002, that, to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5863" w:type="dxa"/>
        <w:jc w:val="left"/>
        <w:tblInd w:w="0" w:type="dxa"/>
        <w:tblLayout w:type="fixed"/>
        <w:tblCellMar>
          <w:top w:w="28" w:type="dxa"/>
          <w:left w:w="28" w:type="dxa"/>
          <w:bottom w:w="28" w:type="dxa"/>
          <w:right w:w="28" w:type="dxa"/>
        </w:tblCellMar>
      </w:tblPr>
      <w:tblGrid>
        <w:gridCol w:w="1951"/>
        <w:gridCol w:w="14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Tan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Tan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71613</Words>
  <Characters>398610</Characters>
  <CharactersWithSpaces>470728</CharactersWithSpaces>
  <Paragraphs>6944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