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0000EE"/>
        </w:rPr>
        <w:t>Table of Contents</w:t>
      </w:r>
    </w:p>
    <w:p>
      <w:pPr>
        <w:spacing w:after="0" w:line="27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May 15, 2024</w:t>
      </w: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333-277871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283210</wp:posOffset>
            </wp:positionH>
            <wp:positionV relativeFrom="paragraph">
              <wp:posOffset>54610</wp:posOffset>
            </wp:positionV>
            <wp:extent cx="65766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669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95250</wp:posOffset>
            </wp:positionV>
            <wp:extent cx="65766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6695" cy="8255"/>
                    </a:xfrm>
                    <a:prstGeom prst="rect">
                      <a:avLst/>
                    </a:prstGeom>
                    <a:noFill/>
                  </pic:spPr>
                </pic:pic>
              </a:graphicData>
            </a:graphic>
          </wp:anchor>
        </w:drawing>
      </w:r>
    </w:p>
    <w:p>
      <w:pPr>
        <w:spacing w:after="0" w:line="18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28"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jc w:val="center"/>
        <w:ind w:right="-4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2878455</wp:posOffset>
            </wp:positionH>
            <wp:positionV relativeFrom="paragraph">
              <wp:posOffset>194310</wp:posOffset>
            </wp:positionV>
            <wp:extent cx="13862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tbl>
      <w:tblPr>
        <w:tblLayout w:type="fixed"/>
        <w:tblInd w:w="2280" w:type="dxa"/>
        <w:tblCellMar>
          <w:top w:w="0" w:type="dxa"/>
          <w:left w:w="0" w:type="dxa"/>
          <w:bottom w:w="0" w:type="dxa"/>
          <w:right w:w="0" w:type="dxa"/>
        </w:tblCellMar>
      </w:tblPr>
      <w:tr>
        <w:trPr>
          <w:trHeight w:val="313"/>
        </w:trPr>
        <w:tc>
          <w:tcPr>
            <w:tcW w:w="1620" w:type="dxa"/>
            <w:vAlign w:val="bottom"/>
          </w:tcPr>
          <w:p>
            <w:pPr>
              <w:spacing w:after="0"/>
              <w:rPr>
                <w:sz w:val="24"/>
                <w:szCs w:val="24"/>
                <w:color w:val="auto"/>
              </w:rPr>
            </w:pPr>
          </w:p>
        </w:tc>
        <w:tc>
          <w:tcPr>
            <w:tcW w:w="4980" w:type="dxa"/>
            <w:vAlign w:val="bottom"/>
            <w:gridSpan w:val="3"/>
          </w:tcPr>
          <w:p>
            <w:pPr>
              <w:jc w:val="center"/>
              <w:ind w:right="1461"/>
              <w:spacing w:after="0"/>
              <w:rPr>
                <w:sz w:val="20"/>
                <w:szCs w:val="20"/>
                <w:color w:val="auto"/>
              </w:rPr>
            </w:pPr>
            <w:r>
              <w:rPr>
                <w:rFonts w:ascii="Times New Roman" w:cs="Times New Roman" w:eastAsia="Times New Roman" w:hAnsi="Times New Roman"/>
                <w:sz w:val="24"/>
                <w:szCs w:val="24"/>
                <w:b w:val="1"/>
                <w:bCs w:val="1"/>
                <w:color w:val="auto"/>
                <w:w w:val="98"/>
              </w:rPr>
              <w:t>AMENDMENT NO. 1</w:t>
            </w:r>
          </w:p>
        </w:tc>
      </w:tr>
      <w:tr>
        <w:trPr>
          <w:trHeight w:val="317"/>
        </w:trPr>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40" w:type="dxa"/>
            <w:vAlign w:val="bottom"/>
            <w:gridSpan w:val="2"/>
          </w:tcPr>
          <w:p>
            <w:pPr>
              <w:jc w:val="center"/>
              <w:ind w:right="2101"/>
              <w:spacing w:after="0"/>
              <w:rPr>
                <w:sz w:val="20"/>
                <w:szCs w:val="20"/>
                <w:color w:val="auto"/>
              </w:rPr>
            </w:pPr>
            <w:r>
              <w:rPr>
                <w:rFonts w:ascii="Times New Roman" w:cs="Times New Roman" w:eastAsia="Times New Roman" w:hAnsi="Times New Roman"/>
                <w:sz w:val="24"/>
                <w:szCs w:val="24"/>
                <w:b w:val="1"/>
                <w:bCs w:val="1"/>
                <w:color w:val="auto"/>
                <w:w w:val="97"/>
              </w:rPr>
              <w:t>TO</w:t>
            </w:r>
          </w:p>
        </w:tc>
      </w:tr>
      <w:tr>
        <w:trPr>
          <w:trHeight w:val="284"/>
        </w:trPr>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340" w:type="dxa"/>
            <w:vAlign w:val="bottom"/>
            <w:gridSpan w:val="2"/>
          </w:tcPr>
          <w:p>
            <w:pPr>
              <w:jc w:val="center"/>
              <w:ind w:right="2121"/>
              <w:spacing w:after="0"/>
              <w:rPr>
                <w:sz w:val="20"/>
                <w:szCs w:val="20"/>
                <w:color w:val="auto"/>
              </w:rPr>
            </w:pPr>
            <w:r>
              <w:rPr>
                <w:rFonts w:ascii="Times New Roman" w:cs="Times New Roman" w:eastAsia="Times New Roman" w:hAnsi="Times New Roman"/>
                <w:sz w:val="24"/>
                <w:szCs w:val="24"/>
                <w:b w:val="1"/>
                <w:bCs w:val="1"/>
                <w:color w:val="auto"/>
                <w:w w:val="99"/>
              </w:rPr>
              <w:t>FORM S-3</w:t>
            </w:r>
          </w:p>
        </w:tc>
      </w:tr>
      <w:tr>
        <w:trPr>
          <w:trHeight w:val="284"/>
        </w:trPr>
        <w:tc>
          <w:tcPr>
            <w:tcW w:w="1620" w:type="dxa"/>
            <w:vAlign w:val="bottom"/>
          </w:tcPr>
          <w:p>
            <w:pPr>
              <w:spacing w:after="0"/>
              <w:rPr>
                <w:sz w:val="24"/>
                <w:szCs w:val="24"/>
                <w:color w:val="auto"/>
              </w:rPr>
            </w:pPr>
          </w:p>
        </w:tc>
        <w:tc>
          <w:tcPr>
            <w:tcW w:w="4980" w:type="dxa"/>
            <w:vAlign w:val="bottom"/>
            <w:gridSpan w:val="3"/>
          </w:tcPr>
          <w:p>
            <w:pPr>
              <w:jc w:val="center"/>
              <w:ind w:right="1461"/>
              <w:spacing w:after="0"/>
              <w:rPr>
                <w:sz w:val="20"/>
                <w:szCs w:val="20"/>
                <w:color w:val="auto"/>
              </w:rPr>
            </w:pPr>
            <w:r>
              <w:rPr>
                <w:rFonts w:ascii="Times New Roman" w:cs="Times New Roman" w:eastAsia="Times New Roman" w:hAnsi="Times New Roman"/>
                <w:sz w:val="24"/>
                <w:szCs w:val="24"/>
                <w:b w:val="1"/>
                <w:bCs w:val="1"/>
                <w:color w:val="auto"/>
                <w:w w:val="97"/>
              </w:rPr>
              <w:t>REGISTRATION STATEMENT</w:t>
            </w:r>
          </w:p>
        </w:tc>
      </w:tr>
      <w:tr>
        <w:trPr>
          <w:trHeight w:val="203"/>
        </w:trPr>
        <w:tc>
          <w:tcPr>
            <w:tcW w:w="1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340" w:type="dxa"/>
            <w:vAlign w:val="bottom"/>
            <w:gridSpan w:val="2"/>
          </w:tcPr>
          <w:p>
            <w:pPr>
              <w:jc w:val="center"/>
              <w:ind w:right="2121"/>
              <w:spacing w:after="0"/>
              <w:rPr>
                <w:sz w:val="20"/>
                <w:szCs w:val="20"/>
                <w:color w:val="auto"/>
              </w:rPr>
            </w:pPr>
            <w:r>
              <w:rPr>
                <w:rFonts w:ascii="Times New Roman" w:cs="Times New Roman" w:eastAsia="Times New Roman" w:hAnsi="Times New Roman"/>
                <w:sz w:val="17"/>
                <w:szCs w:val="17"/>
                <w:b w:val="1"/>
                <w:bCs w:val="1"/>
                <w:i w:val="1"/>
                <w:iCs w:val="1"/>
                <w:color w:val="auto"/>
              </w:rPr>
              <w:t>UNDER</w:t>
            </w:r>
          </w:p>
        </w:tc>
      </w:tr>
      <w:tr>
        <w:trPr>
          <w:trHeight w:val="223"/>
        </w:trPr>
        <w:tc>
          <w:tcPr>
            <w:tcW w:w="1620" w:type="dxa"/>
            <w:vAlign w:val="bottom"/>
          </w:tcPr>
          <w:p>
            <w:pPr>
              <w:spacing w:after="0"/>
              <w:rPr>
                <w:sz w:val="19"/>
                <w:szCs w:val="19"/>
                <w:color w:val="auto"/>
              </w:rPr>
            </w:pPr>
          </w:p>
        </w:tc>
        <w:tc>
          <w:tcPr>
            <w:tcW w:w="4980" w:type="dxa"/>
            <w:vAlign w:val="bottom"/>
            <w:gridSpan w:val="3"/>
          </w:tcPr>
          <w:p>
            <w:pPr>
              <w:jc w:val="center"/>
              <w:ind w:right="1461"/>
              <w:spacing w:after="0"/>
              <w:rPr>
                <w:sz w:val="20"/>
                <w:szCs w:val="20"/>
                <w:color w:val="auto"/>
              </w:rPr>
            </w:pPr>
            <w:r>
              <w:rPr>
                <w:rFonts w:ascii="Times New Roman" w:cs="Times New Roman" w:eastAsia="Times New Roman" w:hAnsi="Times New Roman"/>
                <w:sz w:val="17"/>
                <w:szCs w:val="17"/>
                <w:b w:val="1"/>
                <w:bCs w:val="1"/>
                <w:i w:val="1"/>
                <w:iCs w:val="1"/>
                <w:color w:val="auto"/>
                <w:w w:val="99"/>
              </w:rPr>
              <w:t>THE SECURITIES ACT OF 1933</w:t>
            </w:r>
          </w:p>
        </w:tc>
      </w:tr>
      <w:tr>
        <w:trPr>
          <w:trHeight w:val="331"/>
        </w:trPr>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r>
      <w:tr>
        <w:trPr>
          <w:trHeight w:val="565"/>
        </w:trPr>
        <w:tc>
          <w:tcPr>
            <w:tcW w:w="1620" w:type="dxa"/>
            <w:vAlign w:val="bottom"/>
          </w:tcPr>
          <w:p>
            <w:pPr>
              <w:spacing w:after="0"/>
              <w:rPr>
                <w:sz w:val="24"/>
                <w:szCs w:val="24"/>
                <w:color w:val="auto"/>
              </w:rPr>
            </w:pPr>
          </w:p>
        </w:tc>
        <w:tc>
          <w:tcPr>
            <w:tcW w:w="4980" w:type="dxa"/>
            <w:vAlign w:val="bottom"/>
            <w:gridSpan w:val="3"/>
          </w:tcPr>
          <w:p>
            <w:pPr>
              <w:jc w:val="center"/>
              <w:ind w:right="1461"/>
              <w:spacing w:after="0"/>
              <w:rPr>
                <w:sz w:val="20"/>
                <w:szCs w:val="20"/>
                <w:color w:val="auto"/>
              </w:rPr>
            </w:pPr>
            <w:r>
              <w:rPr>
                <w:rFonts w:ascii="Times New Roman" w:cs="Times New Roman" w:eastAsia="Times New Roman" w:hAnsi="Times New Roman"/>
                <w:sz w:val="34"/>
                <w:szCs w:val="34"/>
                <w:b w:val="1"/>
                <w:bCs w:val="1"/>
                <w:color w:val="auto"/>
                <w:w w:val="99"/>
              </w:rPr>
              <w:t>Solid Biosciences Inc.</w:t>
            </w:r>
          </w:p>
        </w:tc>
      </w:tr>
      <w:tr>
        <w:trPr>
          <w:trHeight w:val="179"/>
        </w:trPr>
        <w:tc>
          <w:tcPr>
            <w:tcW w:w="1620" w:type="dxa"/>
            <w:vAlign w:val="bottom"/>
          </w:tcPr>
          <w:p>
            <w:pPr>
              <w:spacing w:after="0"/>
              <w:rPr>
                <w:sz w:val="15"/>
                <w:szCs w:val="15"/>
                <w:color w:val="auto"/>
              </w:rPr>
            </w:pPr>
          </w:p>
        </w:tc>
        <w:tc>
          <w:tcPr>
            <w:tcW w:w="4980" w:type="dxa"/>
            <w:vAlign w:val="bottom"/>
            <w:gridSpan w:val="3"/>
          </w:tcPr>
          <w:p>
            <w:pPr>
              <w:jc w:val="center"/>
              <w:ind w:right="1461"/>
              <w:spacing w:after="0"/>
              <w:rPr>
                <w:sz w:val="20"/>
                <w:szCs w:val="20"/>
                <w:color w:val="auto"/>
              </w:rPr>
            </w:pPr>
            <w:r>
              <w:rPr>
                <w:rFonts w:ascii="Times New Roman" w:cs="Times New Roman" w:eastAsia="Times New Roman" w:hAnsi="Times New Roman"/>
                <w:sz w:val="14"/>
                <w:szCs w:val="14"/>
                <w:b w:val="1"/>
                <w:bCs w:val="1"/>
                <w:color w:val="auto"/>
                <w:w w:val="96"/>
              </w:rPr>
              <w:t>(Exact name of registrant as specified in its charter)</w:t>
            </w:r>
          </w:p>
        </w:tc>
      </w:tr>
      <w:tr>
        <w:trPr>
          <w:trHeight w:val="315"/>
        </w:trPr>
        <w:tc>
          <w:tcPr>
            <w:tcW w:w="1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160" w:type="dxa"/>
            <w:vAlign w:val="bottom"/>
          </w:tcPr>
          <w:p>
            <w:pPr>
              <w:spacing w:after="0"/>
              <w:rPr>
                <w:sz w:val="24"/>
                <w:szCs w:val="24"/>
                <w:color w:val="auto"/>
              </w:rPr>
            </w:pPr>
          </w:p>
        </w:tc>
      </w:tr>
      <w:tr>
        <w:trPr>
          <w:trHeight w:val="381"/>
        </w:trPr>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4980" w:type="dxa"/>
            <w:vAlign w:val="bottom"/>
            <w:gridSpan w:val="3"/>
          </w:tcPr>
          <w:p>
            <w:pPr>
              <w:jc w:val="center"/>
              <w:ind w:left="3696"/>
              <w:spacing w:after="0"/>
              <w:rPr>
                <w:sz w:val="20"/>
                <w:szCs w:val="20"/>
                <w:color w:val="auto"/>
              </w:rPr>
            </w:pPr>
            <w:r>
              <w:rPr>
                <w:rFonts w:ascii="Times New Roman" w:cs="Times New Roman" w:eastAsia="Times New Roman" w:hAnsi="Times New Roman"/>
                <w:sz w:val="14"/>
                <w:szCs w:val="14"/>
                <w:b w:val="1"/>
                <w:bCs w:val="1"/>
                <w:color w:val="auto"/>
                <w:w w:val="97"/>
              </w:rPr>
              <w:t>90-0943402</w:t>
            </w:r>
          </w:p>
        </w:tc>
      </w:tr>
      <w:tr>
        <w:trPr>
          <w:trHeight w:val="127"/>
        </w:trPr>
        <w:tc>
          <w:tcPr>
            <w:tcW w:w="1620" w:type="dxa"/>
            <w:vAlign w:val="bottom"/>
          </w:tcPr>
          <w:p>
            <w:pPr>
              <w:jc w:val="center"/>
              <w:spacing w:after="0" w:line="127" w:lineRule="exact"/>
              <w:rPr>
                <w:sz w:val="20"/>
                <w:szCs w:val="20"/>
                <w:color w:val="auto"/>
              </w:rPr>
            </w:pPr>
            <w:r>
              <w:rPr>
                <w:rFonts w:ascii="Times New Roman" w:cs="Times New Roman" w:eastAsia="Times New Roman" w:hAnsi="Times New Roman"/>
                <w:sz w:val="12"/>
                <w:szCs w:val="12"/>
                <w:b w:val="1"/>
                <w:bCs w:val="1"/>
                <w:color w:val="auto"/>
                <w:w w:val="98"/>
              </w:rPr>
              <w:t>(State or other jurisdiction of</w:t>
            </w:r>
          </w:p>
        </w:tc>
        <w:tc>
          <w:tcPr>
            <w:tcW w:w="6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160" w:type="dxa"/>
            <w:vAlign w:val="bottom"/>
          </w:tcPr>
          <w:p>
            <w:pPr>
              <w:jc w:val="center"/>
              <w:ind w:left="921"/>
              <w:spacing w:after="0" w:line="127" w:lineRule="exact"/>
              <w:rPr>
                <w:sz w:val="20"/>
                <w:szCs w:val="20"/>
                <w:color w:val="auto"/>
              </w:rPr>
            </w:pPr>
            <w:r>
              <w:rPr>
                <w:rFonts w:ascii="Times New Roman" w:cs="Times New Roman" w:eastAsia="Times New Roman" w:hAnsi="Times New Roman"/>
                <w:sz w:val="12"/>
                <w:szCs w:val="12"/>
                <w:b w:val="1"/>
                <w:bCs w:val="1"/>
                <w:color w:val="auto"/>
                <w:w w:val="99"/>
              </w:rPr>
              <w:t>(I.R.S. Employer</w:t>
            </w:r>
          </w:p>
        </w:tc>
      </w:tr>
      <w:tr>
        <w:trPr>
          <w:trHeight w:val="156"/>
        </w:trPr>
        <w:tc>
          <w:tcPr>
            <w:tcW w:w="1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incorporation or organization)</w:t>
            </w:r>
          </w:p>
        </w:tc>
        <w:tc>
          <w:tcPr>
            <w:tcW w:w="6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160" w:type="dxa"/>
            <w:vAlign w:val="bottom"/>
          </w:tcPr>
          <w:p>
            <w:pPr>
              <w:jc w:val="center"/>
              <w:ind w:left="921"/>
              <w:spacing w:after="0"/>
              <w:rPr>
                <w:sz w:val="20"/>
                <w:szCs w:val="20"/>
                <w:color w:val="auto"/>
              </w:rPr>
            </w:pPr>
            <w:r>
              <w:rPr>
                <w:rFonts w:ascii="Times New Roman" w:cs="Times New Roman" w:eastAsia="Times New Roman" w:hAnsi="Times New Roman"/>
                <w:sz w:val="12"/>
                <w:szCs w:val="12"/>
                <w:b w:val="1"/>
                <w:bCs w:val="1"/>
                <w:color w:val="auto"/>
                <w:w w:val="99"/>
              </w:rPr>
              <w:t>Identification Number)</w:t>
            </w:r>
          </w:p>
        </w:tc>
      </w:tr>
    </w:tbl>
    <w:p>
      <w:pPr>
        <w:spacing w:after="0" w:line="177"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500 Rutherford Avenue, Third Floor</w:t>
      </w:r>
    </w:p>
    <w:p>
      <w:pPr>
        <w:jc w:val="center"/>
        <w:ind w:right="-439"/>
        <w:spacing w:after="0" w:line="208" w:lineRule="auto"/>
        <w:rPr>
          <w:sz w:val="20"/>
          <w:szCs w:val="20"/>
          <w:color w:val="auto"/>
        </w:rPr>
      </w:pPr>
      <w:r>
        <w:rPr>
          <w:rFonts w:ascii="Times New Roman" w:cs="Times New Roman" w:eastAsia="Times New Roman" w:hAnsi="Times New Roman"/>
          <w:sz w:val="14"/>
          <w:szCs w:val="14"/>
          <w:b w:val="1"/>
          <w:bCs w:val="1"/>
          <w:color w:val="auto"/>
        </w:rPr>
        <w:t>Charlestown, MA 02129</w:t>
      </w:r>
    </w:p>
    <w:p>
      <w:pPr>
        <w:jc w:val="center"/>
        <w:ind w:right="-439"/>
        <w:spacing w:after="0" w:line="211" w:lineRule="auto"/>
        <w:rPr>
          <w:sz w:val="20"/>
          <w:szCs w:val="20"/>
          <w:color w:val="auto"/>
        </w:rPr>
      </w:pPr>
      <w:r>
        <w:rPr>
          <w:rFonts w:ascii="Times New Roman" w:cs="Times New Roman" w:eastAsia="Times New Roman" w:hAnsi="Times New Roman"/>
          <w:sz w:val="14"/>
          <w:szCs w:val="14"/>
          <w:b w:val="1"/>
          <w:bCs w:val="1"/>
          <w:color w:val="auto"/>
        </w:rPr>
        <w:t>(617) 337-4680</w:t>
      </w:r>
    </w:p>
    <w:p>
      <w:pPr>
        <w:spacing w:after="0" w:line="1"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2878455</wp:posOffset>
            </wp:positionH>
            <wp:positionV relativeFrom="paragraph">
              <wp:posOffset>205105</wp:posOffset>
            </wp:positionV>
            <wp:extent cx="13862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Alexander Cumbo</w:t>
      </w:r>
    </w:p>
    <w:p>
      <w:pPr>
        <w:jc w:val="center"/>
        <w:ind w:right="-439"/>
        <w:spacing w:after="0" w:line="208" w:lineRule="auto"/>
        <w:rPr>
          <w:sz w:val="20"/>
          <w:szCs w:val="20"/>
          <w:color w:val="auto"/>
        </w:rPr>
      </w:pPr>
      <w:r>
        <w:rPr>
          <w:rFonts w:ascii="Times New Roman" w:cs="Times New Roman" w:eastAsia="Times New Roman" w:hAnsi="Times New Roman"/>
          <w:sz w:val="14"/>
          <w:szCs w:val="14"/>
          <w:b w:val="1"/>
          <w:bCs w:val="1"/>
          <w:color w:val="auto"/>
        </w:rPr>
        <w:t>Chief Executive Officer</w:t>
      </w:r>
    </w:p>
    <w:p>
      <w:pPr>
        <w:jc w:val="center"/>
        <w:ind w:right="-439"/>
        <w:spacing w:after="0" w:line="208" w:lineRule="auto"/>
        <w:rPr>
          <w:sz w:val="20"/>
          <w:szCs w:val="20"/>
          <w:color w:val="auto"/>
        </w:rPr>
      </w:pPr>
      <w:r>
        <w:rPr>
          <w:rFonts w:ascii="Times New Roman" w:cs="Times New Roman" w:eastAsia="Times New Roman" w:hAnsi="Times New Roman"/>
          <w:sz w:val="14"/>
          <w:szCs w:val="14"/>
          <w:b w:val="1"/>
          <w:bCs w:val="1"/>
          <w:color w:val="auto"/>
        </w:rPr>
        <w:t>Solid Biosciences Inc.</w:t>
      </w:r>
    </w:p>
    <w:p>
      <w:pPr>
        <w:jc w:val="center"/>
        <w:ind w:right="-439"/>
        <w:spacing w:after="0" w:line="208" w:lineRule="auto"/>
        <w:rPr>
          <w:sz w:val="20"/>
          <w:szCs w:val="20"/>
          <w:color w:val="auto"/>
        </w:rPr>
      </w:pPr>
      <w:r>
        <w:rPr>
          <w:rFonts w:ascii="Times New Roman" w:cs="Times New Roman" w:eastAsia="Times New Roman" w:hAnsi="Times New Roman"/>
          <w:sz w:val="14"/>
          <w:szCs w:val="14"/>
          <w:b w:val="1"/>
          <w:bCs w:val="1"/>
          <w:color w:val="auto"/>
        </w:rPr>
        <w:t>500 Rutherford Avenue, Third Floor</w:t>
      </w:r>
    </w:p>
    <w:p>
      <w:pPr>
        <w:jc w:val="center"/>
        <w:ind w:right="-439"/>
        <w:spacing w:after="0" w:line="208" w:lineRule="auto"/>
        <w:rPr>
          <w:sz w:val="20"/>
          <w:szCs w:val="20"/>
          <w:color w:val="auto"/>
        </w:rPr>
      </w:pPr>
      <w:r>
        <w:rPr>
          <w:rFonts w:ascii="Times New Roman" w:cs="Times New Roman" w:eastAsia="Times New Roman" w:hAnsi="Times New Roman"/>
          <w:sz w:val="14"/>
          <w:szCs w:val="14"/>
          <w:b w:val="1"/>
          <w:bCs w:val="1"/>
          <w:color w:val="auto"/>
        </w:rPr>
        <w:t>Charlestown, MA 02129</w:t>
      </w:r>
    </w:p>
    <w:p>
      <w:pPr>
        <w:jc w:val="center"/>
        <w:ind w:right="-439"/>
        <w:spacing w:after="0" w:line="212" w:lineRule="auto"/>
        <w:rPr>
          <w:sz w:val="20"/>
          <w:szCs w:val="20"/>
          <w:color w:val="auto"/>
        </w:rPr>
      </w:pPr>
      <w:r>
        <w:rPr>
          <w:rFonts w:ascii="Times New Roman" w:cs="Times New Roman" w:eastAsia="Times New Roman" w:hAnsi="Times New Roman"/>
          <w:sz w:val="14"/>
          <w:szCs w:val="14"/>
          <w:b w:val="1"/>
          <w:bCs w:val="1"/>
          <w:color w:val="auto"/>
        </w:rPr>
        <w:t>(617) 337-4680</w:t>
      </w:r>
    </w:p>
    <w:p>
      <w:pPr>
        <w:ind w:left="2980"/>
        <w:spacing w:after="0"/>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2878455</wp:posOffset>
            </wp:positionH>
            <wp:positionV relativeFrom="paragraph">
              <wp:posOffset>213360</wp:posOffset>
            </wp:positionV>
            <wp:extent cx="1386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tbl>
      <w:tblPr>
        <w:tblLayout w:type="fixed"/>
        <w:tblInd w:w="1760" w:type="dxa"/>
        <w:tblCellMar>
          <w:top w:w="0" w:type="dxa"/>
          <w:left w:w="0" w:type="dxa"/>
          <w:bottom w:w="0" w:type="dxa"/>
          <w:right w:w="0" w:type="dxa"/>
        </w:tblCellMar>
      </w:tblPr>
      <w:tr>
        <w:trPr>
          <w:trHeight w:val="179"/>
        </w:trPr>
        <w:tc>
          <w:tcPr>
            <w:tcW w:w="3100" w:type="dxa"/>
            <w:vAlign w:val="bottom"/>
          </w:tcPr>
          <w:p>
            <w:pPr>
              <w:spacing w:after="0"/>
              <w:rPr>
                <w:sz w:val="15"/>
                <w:szCs w:val="15"/>
                <w:color w:val="auto"/>
              </w:rPr>
            </w:pPr>
          </w:p>
        </w:tc>
        <w:tc>
          <w:tcPr>
            <w:tcW w:w="44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r>
      <w:tr>
        <w:trPr>
          <w:trHeight w:val="215"/>
        </w:trPr>
        <w:tc>
          <w:tcPr>
            <w:tcW w:w="3100" w:type="dxa"/>
            <w:vAlign w:val="bottom"/>
          </w:tcPr>
          <w:p>
            <w:pPr>
              <w:jc w:val="center"/>
              <w:ind w:right="432"/>
              <w:spacing w:after="0"/>
              <w:rPr>
                <w:sz w:val="20"/>
                <w:szCs w:val="20"/>
                <w:color w:val="auto"/>
              </w:rPr>
            </w:pPr>
            <w:r>
              <w:rPr>
                <w:rFonts w:ascii="Times New Roman" w:cs="Times New Roman" w:eastAsia="Times New Roman" w:hAnsi="Times New Roman"/>
                <w:sz w:val="14"/>
                <w:szCs w:val="14"/>
                <w:b w:val="1"/>
                <w:bCs w:val="1"/>
                <w:color w:val="auto"/>
                <w:w w:val="96"/>
              </w:rPr>
              <w:t>Caroline Dotolo</w:t>
            </w:r>
          </w:p>
        </w:tc>
        <w:tc>
          <w:tcPr>
            <w:tcW w:w="4480" w:type="dxa"/>
            <w:vAlign w:val="bottom"/>
          </w:tcPr>
          <w:p>
            <w:pPr>
              <w:jc w:val="center"/>
              <w:ind w:left="2292"/>
              <w:spacing w:after="0"/>
              <w:rPr>
                <w:sz w:val="20"/>
                <w:szCs w:val="20"/>
                <w:color w:val="auto"/>
              </w:rPr>
            </w:pPr>
            <w:r>
              <w:rPr>
                <w:rFonts w:ascii="Times New Roman" w:cs="Times New Roman" w:eastAsia="Times New Roman" w:hAnsi="Times New Roman"/>
                <w:sz w:val="14"/>
                <w:szCs w:val="14"/>
                <w:b w:val="1"/>
                <w:bCs w:val="1"/>
                <w:color w:val="auto"/>
                <w:w w:val="95"/>
              </w:rPr>
              <w:t>Ty Howton</w:t>
            </w:r>
          </w:p>
        </w:tc>
      </w:tr>
      <w:tr>
        <w:trPr>
          <w:trHeight w:val="140"/>
        </w:trPr>
        <w:tc>
          <w:tcPr>
            <w:tcW w:w="3100" w:type="dxa"/>
            <w:vAlign w:val="bottom"/>
          </w:tcPr>
          <w:p>
            <w:pPr>
              <w:jc w:val="center"/>
              <w:ind w:right="432"/>
              <w:spacing w:after="0" w:line="140" w:lineRule="exact"/>
              <w:rPr>
                <w:sz w:val="20"/>
                <w:szCs w:val="20"/>
                <w:color w:val="auto"/>
              </w:rPr>
            </w:pPr>
            <w:r>
              <w:rPr>
                <w:rFonts w:ascii="Times New Roman" w:cs="Times New Roman" w:eastAsia="Times New Roman" w:hAnsi="Times New Roman"/>
                <w:sz w:val="14"/>
                <w:szCs w:val="14"/>
                <w:b w:val="1"/>
                <w:bCs w:val="1"/>
                <w:color w:val="auto"/>
                <w:w w:val="96"/>
              </w:rPr>
              <w:t>Wilmer Cutler Pickering Hale and Dorr LLP</w:t>
            </w:r>
          </w:p>
        </w:tc>
        <w:tc>
          <w:tcPr>
            <w:tcW w:w="4480" w:type="dxa"/>
            <w:vAlign w:val="bottom"/>
          </w:tcPr>
          <w:p>
            <w:pPr>
              <w:jc w:val="center"/>
              <w:ind w:left="2312"/>
              <w:spacing w:after="0" w:line="140" w:lineRule="exact"/>
              <w:rPr>
                <w:sz w:val="20"/>
                <w:szCs w:val="20"/>
                <w:color w:val="auto"/>
              </w:rPr>
            </w:pPr>
            <w:r>
              <w:rPr>
                <w:rFonts w:ascii="Times New Roman" w:cs="Times New Roman" w:eastAsia="Times New Roman" w:hAnsi="Times New Roman"/>
                <w:sz w:val="14"/>
                <w:szCs w:val="14"/>
                <w:b w:val="1"/>
                <w:bCs w:val="1"/>
                <w:color w:val="auto"/>
                <w:w w:val="95"/>
              </w:rPr>
              <w:t>Chief Operating Officer</w:t>
            </w:r>
          </w:p>
        </w:tc>
      </w:tr>
      <w:tr>
        <w:trPr>
          <w:trHeight w:val="140"/>
        </w:trPr>
        <w:tc>
          <w:tcPr>
            <w:tcW w:w="3100" w:type="dxa"/>
            <w:vAlign w:val="bottom"/>
          </w:tcPr>
          <w:p>
            <w:pPr>
              <w:jc w:val="center"/>
              <w:ind w:right="432"/>
              <w:spacing w:after="0" w:line="140" w:lineRule="exact"/>
              <w:rPr>
                <w:sz w:val="20"/>
                <w:szCs w:val="20"/>
                <w:color w:val="auto"/>
              </w:rPr>
            </w:pPr>
            <w:r>
              <w:rPr>
                <w:rFonts w:ascii="Times New Roman" w:cs="Times New Roman" w:eastAsia="Times New Roman" w:hAnsi="Times New Roman"/>
                <w:sz w:val="14"/>
                <w:szCs w:val="14"/>
                <w:b w:val="1"/>
                <w:bCs w:val="1"/>
                <w:color w:val="auto"/>
                <w:w w:val="96"/>
              </w:rPr>
              <w:t>60 State Street</w:t>
            </w:r>
          </w:p>
        </w:tc>
        <w:tc>
          <w:tcPr>
            <w:tcW w:w="4480" w:type="dxa"/>
            <w:vAlign w:val="bottom"/>
          </w:tcPr>
          <w:p>
            <w:pPr>
              <w:jc w:val="center"/>
              <w:ind w:left="2312"/>
              <w:spacing w:after="0" w:line="140" w:lineRule="exact"/>
              <w:rPr>
                <w:sz w:val="20"/>
                <w:szCs w:val="20"/>
                <w:color w:val="auto"/>
              </w:rPr>
            </w:pPr>
            <w:r>
              <w:rPr>
                <w:rFonts w:ascii="Times New Roman" w:cs="Times New Roman" w:eastAsia="Times New Roman" w:hAnsi="Times New Roman"/>
                <w:sz w:val="14"/>
                <w:szCs w:val="14"/>
                <w:b w:val="1"/>
                <w:bCs w:val="1"/>
                <w:color w:val="auto"/>
                <w:w w:val="95"/>
              </w:rPr>
              <w:t>Solid Biosciences Inc.</w:t>
            </w:r>
          </w:p>
        </w:tc>
      </w:tr>
      <w:tr>
        <w:trPr>
          <w:trHeight w:val="140"/>
        </w:trPr>
        <w:tc>
          <w:tcPr>
            <w:tcW w:w="3100" w:type="dxa"/>
            <w:vAlign w:val="bottom"/>
          </w:tcPr>
          <w:p>
            <w:pPr>
              <w:jc w:val="center"/>
              <w:ind w:right="432"/>
              <w:spacing w:after="0" w:line="140" w:lineRule="exact"/>
              <w:rPr>
                <w:sz w:val="20"/>
                <w:szCs w:val="20"/>
                <w:color w:val="auto"/>
              </w:rPr>
            </w:pPr>
            <w:r>
              <w:rPr>
                <w:rFonts w:ascii="Times New Roman" w:cs="Times New Roman" w:eastAsia="Times New Roman" w:hAnsi="Times New Roman"/>
                <w:sz w:val="14"/>
                <w:szCs w:val="14"/>
                <w:b w:val="1"/>
                <w:bCs w:val="1"/>
                <w:color w:val="auto"/>
                <w:w w:val="98"/>
              </w:rPr>
              <w:t>Boston, MA 02109</w:t>
            </w:r>
          </w:p>
        </w:tc>
        <w:tc>
          <w:tcPr>
            <w:tcW w:w="4480" w:type="dxa"/>
            <w:vAlign w:val="bottom"/>
          </w:tcPr>
          <w:p>
            <w:pPr>
              <w:jc w:val="center"/>
              <w:ind w:left="2312"/>
              <w:spacing w:after="0" w:line="140" w:lineRule="exact"/>
              <w:rPr>
                <w:sz w:val="20"/>
                <w:szCs w:val="20"/>
                <w:color w:val="auto"/>
              </w:rPr>
            </w:pPr>
            <w:r>
              <w:rPr>
                <w:rFonts w:ascii="Times New Roman" w:cs="Times New Roman" w:eastAsia="Times New Roman" w:hAnsi="Times New Roman"/>
                <w:sz w:val="14"/>
                <w:szCs w:val="14"/>
                <w:b w:val="1"/>
                <w:bCs w:val="1"/>
                <w:color w:val="auto"/>
                <w:w w:val="95"/>
              </w:rPr>
              <w:t>500 Rutherford Avenue, Third Floor</w:t>
            </w:r>
          </w:p>
        </w:tc>
      </w:tr>
      <w:tr>
        <w:trPr>
          <w:trHeight w:val="140"/>
        </w:trPr>
        <w:tc>
          <w:tcPr>
            <w:tcW w:w="3100" w:type="dxa"/>
            <w:vAlign w:val="bottom"/>
          </w:tcPr>
          <w:p>
            <w:pPr>
              <w:jc w:val="center"/>
              <w:ind w:right="432"/>
              <w:spacing w:after="0" w:line="140" w:lineRule="exact"/>
              <w:rPr>
                <w:sz w:val="20"/>
                <w:szCs w:val="20"/>
                <w:color w:val="auto"/>
              </w:rPr>
            </w:pPr>
            <w:r>
              <w:rPr>
                <w:rFonts w:ascii="Times New Roman" w:cs="Times New Roman" w:eastAsia="Times New Roman" w:hAnsi="Times New Roman"/>
                <w:sz w:val="14"/>
                <w:szCs w:val="14"/>
                <w:b w:val="1"/>
                <w:bCs w:val="1"/>
                <w:color w:val="auto"/>
                <w:w w:val="96"/>
              </w:rPr>
              <w:t>Telephone: (617) 526-6000</w:t>
            </w:r>
          </w:p>
        </w:tc>
        <w:tc>
          <w:tcPr>
            <w:tcW w:w="4480" w:type="dxa"/>
            <w:vAlign w:val="bottom"/>
          </w:tcPr>
          <w:p>
            <w:pPr>
              <w:jc w:val="center"/>
              <w:ind w:left="2292"/>
              <w:spacing w:after="0" w:line="140" w:lineRule="exact"/>
              <w:rPr>
                <w:sz w:val="20"/>
                <w:szCs w:val="20"/>
                <w:color w:val="auto"/>
              </w:rPr>
            </w:pPr>
            <w:r>
              <w:rPr>
                <w:rFonts w:ascii="Times New Roman" w:cs="Times New Roman" w:eastAsia="Times New Roman" w:hAnsi="Times New Roman"/>
                <w:sz w:val="14"/>
                <w:szCs w:val="14"/>
                <w:b w:val="1"/>
                <w:bCs w:val="1"/>
                <w:color w:val="auto"/>
                <w:w w:val="96"/>
              </w:rPr>
              <w:t>Charlestown, MA 02129</w:t>
            </w:r>
          </w:p>
        </w:tc>
      </w:tr>
      <w:tr>
        <w:trPr>
          <w:trHeight w:val="179"/>
        </w:trPr>
        <w:tc>
          <w:tcPr>
            <w:tcW w:w="3100" w:type="dxa"/>
            <w:vAlign w:val="bottom"/>
          </w:tcPr>
          <w:p>
            <w:pPr>
              <w:jc w:val="center"/>
              <w:ind w:right="432"/>
              <w:spacing w:after="0"/>
              <w:rPr>
                <w:sz w:val="20"/>
                <w:szCs w:val="20"/>
                <w:color w:val="auto"/>
              </w:rPr>
            </w:pPr>
            <w:r>
              <w:rPr>
                <w:rFonts w:ascii="Times New Roman" w:cs="Times New Roman" w:eastAsia="Times New Roman" w:hAnsi="Times New Roman"/>
                <w:sz w:val="14"/>
                <w:szCs w:val="14"/>
                <w:b w:val="1"/>
                <w:bCs w:val="1"/>
                <w:color w:val="auto"/>
                <w:w w:val="96"/>
              </w:rPr>
              <w:t>Telecopy: (617) 526-5000</w:t>
            </w:r>
          </w:p>
        </w:tc>
        <w:tc>
          <w:tcPr>
            <w:tcW w:w="44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2878455</wp:posOffset>
            </wp:positionH>
            <wp:positionV relativeFrom="paragraph">
              <wp:posOffset>200025</wp:posOffset>
            </wp:positionV>
            <wp:extent cx="1386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4"/>
          <w:szCs w:val="14"/>
          <w:b w:val="1"/>
          <w:bCs w:val="1"/>
          <w:color w:val="auto"/>
        </w:rPr>
        <w:t>Approximate date of commencement of proposed sale to the public</w:t>
      </w:r>
      <w:r>
        <w:rPr>
          <w:rFonts w:ascii="Times New Roman" w:cs="Times New Roman" w:eastAsia="Times New Roman" w:hAnsi="Times New Roman"/>
          <w:sz w:val="14"/>
          <w:szCs w:val="14"/>
          <w:color w:val="auto"/>
        </w:rPr>
        <w:t>: From time to time after this registration statement becomes effective.</w:t>
      </w:r>
    </w:p>
    <w:p>
      <w:pPr>
        <w:spacing w:after="0" w:line="167" w:lineRule="exact"/>
        <w:rPr>
          <w:sz w:val="24"/>
          <w:szCs w:val="24"/>
          <w:color w:val="auto"/>
        </w:rPr>
      </w:pPr>
    </w:p>
    <w:p>
      <w:pPr>
        <w:ind w:left="440"/>
        <w:spacing w:after="0" w:line="161" w:lineRule="exact"/>
        <w:rPr>
          <w:sz w:val="20"/>
          <w:szCs w:val="20"/>
          <w:color w:val="auto"/>
        </w:rPr>
      </w:pPr>
      <w:r>
        <w:rPr>
          <w:rFonts w:ascii="Times New Roman" w:cs="Times New Roman" w:eastAsia="Times New Roman" w:hAnsi="Times New Roman"/>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225" w:lineRule="exact"/>
        <w:rPr>
          <w:sz w:val="24"/>
          <w:szCs w:val="24"/>
          <w:color w:val="auto"/>
        </w:rPr>
      </w:pPr>
    </w:p>
    <w:p>
      <w:pPr>
        <w:ind w:left="440" w:right="280"/>
        <w:spacing w:after="0" w:line="175"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59" w:lineRule="exact"/>
        <w:rPr>
          <w:sz w:val="24"/>
          <w:szCs w:val="24"/>
          <w:color w:val="auto"/>
        </w:rPr>
      </w:pPr>
    </w:p>
    <w:p>
      <w:pPr>
        <w:ind w:left="440" w:right="300"/>
        <w:spacing w:after="0" w:line="175"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9" w:lineRule="exact"/>
        <w:rPr>
          <w:sz w:val="24"/>
          <w:szCs w:val="24"/>
          <w:color w:val="auto"/>
        </w:rPr>
      </w:pPr>
    </w:p>
    <w:p>
      <w:pPr>
        <w:ind w:left="440" w:right="320"/>
        <w:spacing w:after="0" w:line="175"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59" w:lineRule="exact"/>
        <w:rPr>
          <w:sz w:val="24"/>
          <w:szCs w:val="24"/>
          <w:color w:val="auto"/>
        </w:rPr>
      </w:pPr>
    </w:p>
    <w:p>
      <w:pPr>
        <w:ind w:left="440"/>
        <w:spacing w:after="0" w:line="175" w:lineRule="exact"/>
        <w:rPr>
          <w:sz w:val="20"/>
          <w:szCs w:val="20"/>
          <w:color w:val="auto"/>
        </w:rPr>
      </w:pPr>
      <w:r>
        <w:rPr>
          <w:rFonts w:ascii="Times New Roman" w:cs="Times New Roman" w:eastAsia="Times New Roman" w:hAnsi="Times New Roman"/>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59" w:lineRule="exact"/>
        <w:rPr>
          <w:sz w:val="24"/>
          <w:szCs w:val="24"/>
          <w:color w:val="auto"/>
        </w:rPr>
      </w:pPr>
    </w:p>
    <w:p>
      <w:pPr>
        <w:ind w:left="440" w:right="60"/>
        <w:spacing w:after="0" w:line="175"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59" w:lineRule="exact"/>
        <w:rPr>
          <w:sz w:val="24"/>
          <w:szCs w:val="24"/>
          <w:color w:val="auto"/>
        </w:rPr>
      </w:pPr>
    </w:p>
    <w:p>
      <w:pPr>
        <w:ind w:left="440" w:right="200"/>
        <w:spacing w:after="0" w:line="234"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40" w:type="dxa"/>
        <w:tblCellMar>
          <w:top w:w="0" w:type="dxa"/>
          <w:left w:w="0" w:type="dxa"/>
          <w:bottom w:w="0" w:type="dxa"/>
          <w:right w:w="0" w:type="dxa"/>
        </w:tblCellMar>
      </w:tblPr>
      <w:tr>
        <w:trPr>
          <w:trHeight w:val="241"/>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4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Accelerated filer</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9"/>
        </w:trPr>
        <w:tc>
          <w:tcPr>
            <w:tcW w:w="15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42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90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9"/>
        </w:trPr>
        <w:tc>
          <w:tcPr>
            <w:tcW w:w="15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00" w:type="dxa"/>
            <w:vAlign w:val="bottom"/>
          </w:tcPr>
          <w:p>
            <w:pPr>
              <w:ind w:left="3020"/>
              <w:spacing w:after="0"/>
              <w:rPr>
                <w:sz w:val="20"/>
                <w:szCs w:val="20"/>
                <w:color w:val="auto"/>
              </w:rPr>
            </w:pPr>
            <w:r>
              <w:rPr>
                <w:rFonts w:ascii="Times New Roman" w:cs="Times New Roman" w:eastAsia="Times New Roman" w:hAnsi="Times New Roman"/>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5" w:lineRule="exact"/>
        <w:rPr>
          <w:sz w:val="24"/>
          <w:szCs w:val="24"/>
          <w:color w:val="auto"/>
        </w:rPr>
      </w:pPr>
    </w:p>
    <w:p>
      <w:pPr>
        <w:ind w:left="440" w:right="340"/>
        <w:spacing w:after="0" w:line="175"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2878455</wp:posOffset>
            </wp:positionH>
            <wp:positionV relativeFrom="paragraph">
              <wp:posOffset>194310</wp:posOffset>
            </wp:positionV>
            <wp:extent cx="1386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ind w:left="440" w:right="120"/>
        <w:spacing w:after="0" w:line="313" w:lineRule="auto"/>
        <w:rPr>
          <w:sz w:val="20"/>
          <w:szCs w:val="20"/>
          <w:color w:val="auto"/>
        </w:rPr>
      </w:pPr>
      <w:r>
        <w:rPr>
          <w:rFonts w:ascii="Times New Roman" w:cs="Times New Roman" w:eastAsia="Times New Roman" w:hAnsi="Times New Roman"/>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w:t>
      </w:r>
    </w:p>
    <w:p>
      <w:pPr>
        <w:sectPr>
          <w:pgSz w:w="11900" w:h="16870" w:orient="portrait"/>
          <w:cols w:equalWidth="0" w:num="1">
            <w:col w:w="10800"/>
          </w:cols>
          <w:pgMar w:left="320" w:top="221" w:right="77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6576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66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137160</wp:posOffset>
            </wp:positionV>
            <wp:extent cx="6576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6695" cy="8255"/>
                    </a:xfrm>
                    <a:prstGeom prst="rect">
                      <a:avLst/>
                    </a:prstGeom>
                    <a:noFill/>
                  </pic:spPr>
                </pic:pic>
              </a:graphicData>
            </a:graphic>
          </wp:anchor>
        </w:drawing>
      </w:r>
    </w:p>
    <w:p>
      <w:pPr>
        <w:sectPr>
          <w:pgSz w:w="11900" w:h="16838" w:orient="portrait"/>
          <w:cols w:equalWidth="0" w:num="1">
            <w:col w:w="9699"/>
          </w:cols>
          <w:pgMar w:left="760" w:top="116"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15" w:lineRule="exact"/>
        <w:rPr>
          <w:sz w:val="20"/>
          <w:szCs w:val="20"/>
          <w:color w:val="auto"/>
        </w:rPr>
      </w:pPr>
    </w:p>
    <w:p>
      <w:pPr>
        <w:ind w:left="440"/>
        <w:spacing w:after="0" w:line="263" w:lineRule="auto"/>
        <w:rPr>
          <w:sz w:val="20"/>
          <w:szCs w:val="20"/>
          <w:color w:val="auto"/>
        </w:rPr>
      </w:pPr>
      <w:r>
        <w:rPr>
          <w:rFonts w:ascii="Times New Roman" w:cs="Times New Roman" w:eastAsia="Times New Roman" w:hAnsi="Times New Roman"/>
          <w:sz w:val="17"/>
          <w:szCs w:val="17"/>
          <w:color w:val="auto"/>
        </w:rPr>
        <w:t>The Registrant is filing this Amendment No. 1 to the Registration Statement to update the amount of unsold securities from its Registration Statement on Form S-3 (File No. 333-277871) to be included in this registration statement pursuant to Rule 415(a)(6) under the Securities Act of 1933, as amended, and to update the amount of new securities to be registered on this registration statement.</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registration statement contains two prospectuses:</w:t>
      </w:r>
    </w:p>
    <w:p>
      <w:pPr>
        <w:spacing w:after="0" w:line="122" w:lineRule="exact"/>
        <w:rPr>
          <w:sz w:val="20"/>
          <w:szCs w:val="20"/>
          <w:color w:val="auto"/>
        </w:rPr>
      </w:pPr>
    </w:p>
    <w:p>
      <w:pPr>
        <w:ind w:left="1360" w:right="460" w:hanging="407"/>
        <w:spacing w:after="0" w:line="277" w:lineRule="auto"/>
        <w:tabs>
          <w:tab w:leader="none" w:pos="13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base prospectus covering the offering, issuance and sale by the Registrant of up to $300,000,000 of the Registrant’s debt securities, common stock, preferred stock, depositary shares, warrants and/or units from time to time in one or more offerings; and</w:t>
      </w:r>
    </w:p>
    <w:p>
      <w:pPr>
        <w:spacing w:after="0" w:line="69" w:lineRule="exact"/>
        <w:rPr>
          <w:rFonts w:ascii="Times New Roman" w:cs="Times New Roman" w:eastAsia="Times New Roman" w:hAnsi="Times New Roman"/>
          <w:sz w:val="17"/>
          <w:szCs w:val="17"/>
          <w:color w:val="auto"/>
        </w:rPr>
      </w:pPr>
    </w:p>
    <w:p>
      <w:pPr>
        <w:ind w:left="1360" w:right="200" w:hanging="407"/>
        <w:spacing w:after="0" w:line="277" w:lineRule="auto"/>
        <w:tabs>
          <w:tab w:leader="none" w:pos="136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sales agreement prospectus covering the offering, issuance and sale by the Registrant of up to $75,000,000 of the Registrant’s common stock that may be issued and sold from time to time under a sales agreement with Jefferies LLC.</w:t>
      </w:r>
    </w:p>
    <w:p>
      <w:pPr>
        <w:spacing w:after="0" w:line="158"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7"/>
          <w:szCs w:val="17"/>
          <w:color w:val="auto"/>
        </w:rPr>
        <w:t>The base prospectus immediately follows this explanatory note. The specific terms of any securities to be offered pursuant to the base prospectus will be specified in a prospectus supplement to the base prospectus. The sales agreement prospectus immediately follows the base prospectus. The common stock that may be offered, issued and sold by the Registrant under the sales agreement prospectus is included in the $300,000,000 of securities that may be offered, issued and sold by the Registrant under the base prospectus.</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800"/>
          </w:cols>
          <w:pgMar w:left="320" w:top="437"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40" w:right="80"/>
        <w:spacing w:after="0" w:line="266" w:lineRule="auto"/>
        <w:rPr>
          <w:sz w:val="20"/>
          <w:szCs w:val="20"/>
          <w:color w:val="auto"/>
        </w:rPr>
      </w:pPr>
      <w:r>
        <w:rPr>
          <w:rFonts w:ascii="Times New Roman" w:cs="Times New Roman" w:eastAsia="Times New Roman" w:hAnsi="Times New Roman"/>
          <w:sz w:val="17"/>
          <w:szCs w:val="17"/>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9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FF4338"/>
        </w:rPr>
        <w:t>Subject to completion, dated May 15, 2024</w:t>
      </w:r>
    </w:p>
    <w:p>
      <w:pPr>
        <w:spacing w:after="0" w:line="18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30"/>
          <w:szCs w:val="30"/>
          <w:b w:val="1"/>
          <w:bCs w:val="1"/>
          <w:color w:val="auto"/>
        </w:rPr>
        <w:t>$300,000,000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162560</wp:posOffset>
            </wp:positionV>
            <wp:extent cx="2369185" cy="7416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69185" cy="74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3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4"/>
          <w:szCs w:val="24"/>
          <w:b w:val="1"/>
          <w:bCs w:val="1"/>
          <w:color w:val="auto"/>
        </w:rPr>
        <w:t>Depositary Shares</w:t>
      </w:r>
    </w:p>
    <w:p>
      <w:pPr>
        <w:spacing w:after="0" w:line="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4"/>
          <w:szCs w:val="24"/>
          <w:b w:val="1"/>
          <w:bCs w:val="1"/>
          <w:color w:val="auto"/>
        </w:rPr>
        <w:t>Warrants</w:t>
      </w:r>
    </w:p>
    <w:p>
      <w:pPr>
        <w:spacing w:after="0" w:line="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216535</wp:posOffset>
            </wp:positionV>
            <wp:extent cx="13862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40" w:right="40"/>
        <w:spacing w:after="0" w:line="256" w:lineRule="auto"/>
        <w:rPr>
          <w:sz w:val="20"/>
          <w:szCs w:val="20"/>
          <w:color w:val="auto"/>
        </w:rPr>
      </w:pPr>
      <w:r>
        <w:rPr>
          <w:rFonts w:ascii="Times New Roman" w:cs="Times New Roman" w:eastAsia="Times New Roman" w:hAnsi="Times New Roman"/>
          <w:sz w:val="17"/>
          <w:szCs w:val="17"/>
          <w:color w:val="auto"/>
        </w:rPr>
        <w:t>We may offer and sell securities from time to time in one or more offerings of up to $300,000,000 in aggregate offering price. This prospectus describes the general terms of these securities and the general manner in which these securities will be offered. We will provide the specific terms of these securities in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before you invest.</w:t>
      </w:r>
    </w:p>
    <w:p>
      <w:pPr>
        <w:spacing w:after="0" w:line="176" w:lineRule="exact"/>
        <w:rPr>
          <w:sz w:val="20"/>
          <w:szCs w:val="20"/>
          <w:color w:val="auto"/>
        </w:rPr>
      </w:pPr>
    </w:p>
    <w:p>
      <w:pPr>
        <w:ind w:left="440" w:right="100"/>
        <w:spacing w:after="0" w:line="263" w:lineRule="auto"/>
        <w:rPr>
          <w:sz w:val="20"/>
          <w:szCs w:val="20"/>
          <w:color w:val="auto"/>
        </w:rPr>
      </w:pPr>
      <w:r>
        <w:rPr>
          <w:rFonts w:ascii="Times New Roman" w:cs="Times New Roman" w:eastAsia="Times New Roman" w:hAnsi="Times New Roman"/>
          <w:sz w:val="17"/>
          <w:szCs w:val="17"/>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“SLDB.”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224790</wp:posOffset>
            </wp:positionV>
            <wp:extent cx="13862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40" w:right="140"/>
        <w:spacing w:after="0" w:line="251" w:lineRule="auto"/>
        <w:rPr>
          <w:sz w:val="20"/>
          <w:szCs w:val="20"/>
          <w:color w:val="auto"/>
        </w:rPr>
      </w:pPr>
      <w:r>
        <w:rPr>
          <w:rFonts w:ascii="Times New Roman" w:cs="Times New Roman" w:eastAsia="Times New Roman" w:hAnsi="Times New Roman"/>
          <w:sz w:val="20"/>
          <w:szCs w:val="20"/>
          <w:b w:val="1"/>
          <w:bCs w:val="1"/>
          <w:color w:val="auto"/>
        </w:rPr>
        <w:t>Investing in these securities involves significant risks. See the information included under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on page 5 of this prospectus and in any accompanying prospectus supplement, and under similar headings in the documents incorporated by reference in this prospectus or any prospectus supplement, for a discussion of the factors you should carefully consider before deciding to purchase these securities.</w:t>
      </w:r>
    </w:p>
    <w:p>
      <w:pPr>
        <w:spacing w:after="0" w:line="164"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188595</wp:posOffset>
            </wp:positionV>
            <wp:extent cx="13862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b w:val="1"/>
          <w:bCs w:val="1"/>
          <w:color w:val="auto"/>
        </w:rPr>
        <w:t>The date of this prospectus is                , 2024</w:t>
      </w:r>
    </w:p>
    <w:p>
      <w:pPr>
        <w:sectPr>
          <w:pgSz w:w="11900" w:h="16838" w:orient="portrait"/>
          <w:cols w:equalWidth="0" w:num="1">
            <w:col w:w="10760"/>
          </w:cols>
          <w:pgMar w:left="320" w:top="437" w:right="8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8560" w:type="dxa"/>
            <w:vAlign w:val="bottom"/>
            <w:gridSpan w:val="19"/>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200" w:type="dxa"/>
            <w:vAlign w:val="bottom"/>
          </w:tcPr>
          <w:p>
            <w:pPr>
              <w:spacing w:after="0"/>
              <w:rPr>
                <w:sz w:val="17"/>
                <w:szCs w:val="17"/>
                <w:color w:val="auto"/>
              </w:rPr>
            </w:pPr>
          </w:p>
        </w:tc>
      </w:tr>
      <w:tr>
        <w:trPr>
          <w:trHeight w:val="500"/>
        </w:trPr>
        <w:tc>
          <w:tcPr>
            <w:tcW w:w="4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20" w:type="dxa"/>
            <w:vAlign w:val="bottom"/>
            <w:gridSpan w:val="2"/>
          </w:tcPr>
          <w:p>
            <w:pPr>
              <w:ind w:left="6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200" w:type="dxa"/>
            <w:vAlign w:val="bottom"/>
          </w:tcPr>
          <w:p>
            <w:pPr>
              <w:spacing w:after="0"/>
              <w:rPr>
                <w:sz w:val="24"/>
                <w:szCs w:val="24"/>
                <w:color w:val="auto"/>
              </w:rPr>
            </w:pPr>
          </w:p>
        </w:tc>
      </w:tr>
      <w:tr>
        <w:trPr>
          <w:trHeight w:val="394"/>
        </w:trPr>
        <w:tc>
          <w:tcPr>
            <w:tcW w:w="440" w:type="dxa"/>
            <w:vAlign w:val="bottom"/>
          </w:tcPr>
          <w:p>
            <w:pPr>
              <w:spacing w:after="0"/>
              <w:rPr>
                <w:sz w:val="24"/>
                <w:szCs w:val="24"/>
                <w:color w:val="auto"/>
              </w:rPr>
            </w:pPr>
          </w:p>
        </w:tc>
        <w:tc>
          <w:tcPr>
            <w:tcW w:w="812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2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3600" w:type="dxa"/>
            <w:vAlign w:val="bottom"/>
            <w:tcBorders>
              <w:bottom w:val="single" w:sz="8" w:color="0000EE"/>
            </w:tcBorders>
            <w:gridSpan w:val="16"/>
          </w:tcPr>
          <w:p>
            <w:pPr>
              <w:spacing w:after="0" w:line="183" w:lineRule="exact"/>
              <w:rPr>
                <w:sz w:val="20"/>
                <w:szCs w:val="20"/>
                <w:color w:val="auto"/>
              </w:rPr>
            </w:pPr>
            <w:r>
              <w:rPr>
                <w:rFonts w:ascii="Times New Roman" w:cs="Times New Roman" w:eastAsia="Times New Roman" w:hAnsi="Times New Roman"/>
                <w:sz w:val="17"/>
                <w:szCs w:val="17"/>
                <w:color w:val="0000EE"/>
                <w:w w:val="98"/>
              </w:rPr>
              <w:t>WHERE YOU CAN FIND MORE INFORMATION</w:t>
            </w:r>
          </w:p>
        </w:tc>
        <w:tc>
          <w:tcPr>
            <w:tcW w:w="4520" w:type="dxa"/>
            <w:vAlign w:val="bottom"/>
            <w:gridSpan w:val="2"/>
          </w:tcPr>
          <w:p>
            <w:pPr>
              <w:spacing w:after="0"/>
              <w:rPr>
                <w:sz w:val="15"/>
                <w:szCs w:val="15"/>
                <w:color w:val="auto"/>
              </w:rPr>
            </w:pP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w:t>
            </w:r>
          </w:p>
        </w:tc>
      </w:tr>
      <w:tr>
        <w:trPr>
          <w:trHeight w:val="183"/>
        </w:trPr>
        <w:tc>
          <w:tcPr>
            <w:tcW w:w="440" w:type="dxa"/>
            <w:vAlign w:val="bottom"/>
          </w:tcPr>
          <w:p>
            <w:pPr>
              <w:spacing w:after="0"/>
              <w:rPr>
                <w:sz w:val="15"/>
                <w:szCs w:val="15"/>
                <w:color w:val="auto"/>
              </w:rPr>
            </w:pPr>
          </w:p>
        </w:tc>
        <w:tc>
          <w:tcPr>
            <w:tcW w:w="2660" w:type="dxa"/>
            <w:vAlign w:val="bottom"/>
            <w:tcBorders>
              <w:bottom w:val="single" w:sz="8" w:color="0000EE"/>
            </w:tcBorders>
            <w:gridSpan w:val="12"/>
          </w:tcPr>
          <w:p>
            <w:pPr>
              <w:spacing w:after="0" w:line="183" w:lineRule="exact"/>
              <w:rPr>
                <w:sz w:val="20"/>
                <w:szCs w:val="20"/>
                <w:color w:val="auto"/>
              </w:rPr>
            </w:pPr>
            <w:r>
              <w:rPr>
                <w:rFonts w:ascii="Times New Roman" w:cs="Times New Roman" w:eastAsia="Times New Roman" w:hAnsi="Times New Roman"/>
                <w:sz w:val="17"/>
                <w:szCs w:val="17"/>
                <w:color w:val="0000EE"/>
                <w:w w:val="98"/>
              </w:rPr>
              <w:t>INCORPORATION BY REFERENCE</w:t>
            </w:r>
          </w:p>
        </w:tc>
        <w:tc>
          <w:tcPr>
            <w:tcW w:w="5460" w:type="dxa"/>
            <w:vAlign w:val="bottom"/>
            <w:gridSpan w:val="6"/>
          </w:tcPr>
          <w:p>
            <w:pPr>
              <w:spacing w:after="0"/>
              <w:rPr>
                <w:sz w:val="15"/>
                <w:szCs w:val="15"/>
                <w:color w:val="auto"/>
              </w:rPr>
            </w:pP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w:t>
            </w:r>
          </w:p>
        </w:tc>
      </w:tr>
      <w:tr>
        <w:trPr>
          <w:trHeight w:val="183"/>
        </w:trPr>
        <w:tc>
          <w:tcPr>
            <w:tcW w:w="440" w:type="dxa"/>
            <w:vAlign w:val="bottom"/>
          </w:tcPr>
          <w:p>
            <w:pPr>
              <w:spacing w:after="0"/>
              <w:rPr>
                <w:sz w:val="15"/>
                <w:szCs w:val="15"/>
                <w:color w:val="auto"/>
              </w:rPr>
            </w:pPr>
          </w:p>
        </w:tc>
        <w:tc>
          <w:tcPr>
            <w:tcW w:w="8120" w:type="dxa"/>
            <w:vAlign w:val="bottom"/>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3</w:t>
            </w:r>
          </w:p>
        </w:tc>
      </w:tr>
      <w:tr>
        <w:trPr>
          <w:trHeight w:val="183"/>
        </w:trPr>
        <w:tc>
          <w:tcPr>
            <w:tcW w:w="44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3"/>
          </w:tcPr>
          <w:p>
            <w:pPr>
              <w:spacing w:after="0" w:line="183" w:lineRule="exact"/>
              <w:rPr>
                <w:sz w:val="20"/>
                <w:szCs w:val="20"/>
                <w:color w:val="auto"/>
              </w:rPr>
            </w:pPr>
            <w:r>
              <w:rPr>
                <w:rFonts w:ascii="Times New Roman" w:cs="Times New Roman" w:eastAsia="Times New Roman" w:hAnsi="Times New Roman"/>
                <w:sz w:val="17"/>
                <w:szCs w:val="17"/>
                <w:color w:val="0000EE"/>
                <w:w w:val="97"/>
              </w:rPr>
              <w:t>RISK FACTORS</w:t>
            </w:r>
          </w:p>
        </w:tc>
        <w:tc>
          <w:tcPr>
            <w:tcW w:w="4260" w:type="dxa"/>
            <w:vAlign w:val="bottom"/>
            <w:tcBorders>
              <w:top w:val="single" w:sz="8" w:color="0000EE"/>
            </w:tcBorders>
            <w:gridSpan w:val="14"/>
          </w:tcPr>
          <w:p>
            <w:pPr>
              <w:spacing w:after="0"/>
              <w:rPr>
                <w:sz w:val="15"/>
                <w:szCs w:val="15"/>
                <w:color w:val="auto"/>
              </w:rPr>
            </w:pPr>
          </w:p>
        </w:tc>
        <w:tc>
          <w:tcPr>
            <w:tcW w:w="2680" w:type="dxa"/>
            <w:vAlign w:val="bottom"/>
          </w:tcPr>
          <w:p>
            <w:pPr>
              <w:spacing w:after="0"/>
              <w:rPr>
                <w:sz w:val="15"/>
                <w:szCs w:val="15"/>
                <w:color w:val="auto"/>
              </w:rPr>
            </w:pP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5</w:t>
            </w:r>
          </w:p>
        </w:tc>
      </w:tr>
      <w:tr>
        <w:trPr>
          <w:trHeight w:val="183"/>
        </w:trPr>
        <w:tc>
          <w:tcPr>
            <w:tcW w:w="440" w:type="dxa"/>
            <w:vAlign w:val="bottom"/>
          </w:tcPr>
          <w:p>
            <w:pPr>
              <w:spacing w:after="0"/>
              <w:rPr>
                <w:sz w:val="15"/>
                <w:szCs w:val="15"/>
                <w:color w:val="auto"/>
              </w:rPr>
            </w:pPr>
          </w:p>
        </w:tc>
        <w:tc>
          <w:tcPr>
            <w:tcW w:w="2020" w:type="dxa"/>
            <w:vAlign w:val="bottom"/>
            <w:tcBorders>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7"/>
                <w:szCs w:val="17"/>
                <w:color w:val="0000EE"/>
                <w:w w:val="99"/>
              </w:rPr>
              <w:t>SOLID BIOSCIENCES INC.</w:t>
            </w:r>
          </w:p>
        </w:tc>
        <w:tc>
          <w:tcPr>
            <w:tcW w:w="6100" w:type="dxa"/>
            <w:vAlign w:val="bottom"/>
            <w:gridSpan w:val="9"/>
          </w:tcPr>
          <w:p>
            <w:pPr>
              <w:spacing w:after="0"/>
              <w:rPr>
                <w:sz w:val="15"/>
                <w:szCs w:val="15"/>
                <w:color w:val="auto"/>
              </w:rPr>
            </w:pP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6</w:t>
            </w:r>
          </w:p>
        </w:tc>
      </w:tr>
      <w:tr>
        <w:trPr>
          <w:trHeight w:val="183"/>
        </w:trPr>
        <w:tc>
          <w:tcPr>
            <w:tcW w:w="440" w:type="dxa"/>
            <w:vAlign w:val="bottom"/>
          </w:tcPr>
          <w:p>
            <w:pPr>
              <w:spacing w:after="0"/>
              <w:rPr>
                <w:sz w:val="15"/>
                <w:szCs w:val="15"/>
                <w:color w:val="auto"/>
              </w:rPr>
            </w:pPr>
          </w:p>
        </w:tc>
        <w:tc>
          <w:tcPr>
            <w:tcW w:w="1500" w:type="dxa"/>
            <w:vAlign w:val="bottom"/>
            <w:tcBorders>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7"/>
                <w:szCs w:val="17"/>
                <w:color w:val="0000EE"/>
                <w:w w:val="99"/>
              </w:rPr>
              <w:t>USE OF PROCEEDS</w:t>
            </w:r>
          </w:p>
        </w:tc>
        <w:tc>
          <w:tcPr>
            <w:tcW w:w="6620" w:type="dxa"/>
            <w:vAlign w:val="bottom"/>
            <w:gridSpan w:val="13"/>
          </w:tcPr>
          <w:p>
            <w:pPr>
              <w:spacing w:after="0"/>
              <w:rPr>
                <w:sz w:val="15"/>
                <w:szCs w:val="15"/>
                <w:color w:val="auto"/>
              </w:rPr>
            </w:pP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7</w:t>
            </w:r>
          </w:p>
        </w:tc>
      </w:tr>
      <w:tr>
        <w:trPr>
          <w:trHeight w:val="183"/>
        </w:trPr>
        <w:tc>
          <w:tcPr>
            <w:tcW w:w="440" w:type="dxa"/>
            <w:vAlign w:val="bottom"/>
          </w:tcPr>
          <w:p>
            <w:pPr>
              <w:spacing w:after="0"/>
              <w:rPr>
                <w:sz w:val="15"/>
                <w:szCs w:val="15"/>
                <w:color w:val="auto"/>
              </w:rPr>
            </w:pPr>
          </w:p>
        </w:tc>
        <w:tc>
          <w:tcPr>
            <w:tcW w:w="8120" w:type="dxa"/>
            <w:vAlign w:val="bottom"/>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DESCRIPTION OF DEBT SECURITIES</w:t>
            </w: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8</w:t>
            </w:r>
          </w:p>
        </w:tc>
      </w:tr>
      <w:tr>
        <w:trPr>
          <w:trHeight w:val="183"/>
        </w:trPr>
        <w:tc>
          <w:tcPr>
            <w:tcW w:w="440" w:type="dxa"/>
            <w:vAlign w:val="bottom"/>
          </w:tcPr>
          <w:p>
            <w:pPr>
              <w:spacing w:after="0"/>
              <w:rPr>
                <w:sz w:val="15"/>
                <w:szCs w:val="15"/>
                <w:color w:val="auto"/>
              </w:rPr>
            </w:pPr>
          </w:p>
        </w:tc>
        <w:tc>
          <w:tcPr>
            <w:tcW w:w="2840" w:type="dxa"/>
            <w:vAlign w:val="bottom"/>
            <w:tcBorders>
              <w:top w:val="single" w:sz="8" w:color="0000EE"/>
            </w:tcBorders>
            <w:gridSpan w:val="14"/>
          </w:tcPr>
          <w:p>
            <w:pPr>
              <w:spacing w:after="0" w:line="183"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5280" w:type="dxa"/>
            <w:vAlign w:val="bottom"/>
            <w:gridSpan w:val="4"/>
          </w:tcPr>
          <w:p>
            <w:pPr>
              <w:spacing w:after="0"/>
              <w:rPr>
                <w:sz w:val="15"/>
                <w:szCs w:val="15"/>
                <w:color w:val="auto"/>
              </w:rPr>
            </w:pP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18</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000" w:type="dxa"/>
            <w:vAlign w:val="bottom"/>
            <w:gridSpan w:val="3"/>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120" w:type="dxa"/>
            <w:vAlign w:val="bottom"/>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DESCRIPTION OF DEPOSITARY SHARES</w:t>
            </w: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26</w:t>
            </w:r>
          </w:p>
        </w:tc>
      </w:tr>
      <w:tr>
        <w:trPr>
          <w:trHeight w:val="183"/>
        </w:trPr>
        <w:tc>
          <w:tcPr>
            <w:tcW w:w="440" w:type="dxa"/>
            <w:vAlign w:val="bottom"/>
          </w:tcPr>
          <w:p>
            <w:pPr>
              <w:spacing w:after="0"/>
              <w:rPr>
                <w:sz w:val="15"/>
                <w:szCs w:val="15"/>
                <w:color w:val="auto"/>
              </w:rPr>
            </w:pPr>
          </w:p>
        </w:tc>
        <w:tc>
          <w:tcPr>
            <w:tcW w:w="2340" w:type="dxa"/>
            <w:vAlign w:val="bottom"/>
            <w:tcBorders>
              <w:top w:val="single" w:sz="8" w:color="0000EE"/>
              <w:bottom w:val="single" w:sz="8" w:color="0000EE"/>
            </w:tcBorders>
            <w:gridSpan w:val="11"/>
          </w:tcPr>
          <w:p>
            <w:pPr>
              <w:spacing w:after="0" w:line="183" w:lineRule="exact"/>
              <w:rPr>
                <w:sz w:val="20"/>
                <w:szCs w:val="20"/>
                <w:color w:val="auto"/>
              </w:rPr>
            </w:pPr>
            <w:r>
              <w:rPr>
                <w:rFonts w:ascii="Times New Roman" w:cs="Times New Roman" w:eastAsia="Times New Roman" w:hAnsi="Times New Roman"/>
                <w:sz w:val="17"/>
                <w:szCs w:val="17"/>
                <w:color w:val="0000EE"/>
                <w:w w:val="98"/>
              </w:rPr>
              <w:t>DESCRIPTION OF WARRANTS</w:t>
            </w:r>
          </w:p>
        </w:tc>
        <w:tc>
          <w:tcPr>
            <w:tcW w:w="780" w:type="dxa"/>
            <w:vAlign w:val="bottom"/>
            <w:tcBorders>
              <w:top w:val="single" w:sz="8" w:color="0000EE"/>
            </w:tcBorders>
            <w:gridSpan w:val="4"/>
          </w:tcPr>
          <w:p>
            <w:pPr>
              <w:spacing w:after="0"/>
              <w:rPr>
                <w:sz w:val="15"/>
                <w:szCs w:val="15"/>
                <w:color w:val="auto"/>
              </w:rPr>
            </w:pPr>
          </w:p>
        </w:tc>
        <w:tc>
          <w:tcPr>
            <w:tcW w:w="5000" w:type="dxa"/>
            <w:vAlign w:val="bottom"/>
            <w:gridSpan w:val="3"/>
          </w:tcPr>
          <w:p>
            <w:pPr>
              <w:spacing w:after="0"/>
              <w:rPr>
                <w:sz w:val="15"/>
                <w:szCs w:val="15"/>
                <w:color w:val="auto"/>
              </w:rPr>
            </w:pP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29</w:t>
            </w:r>
          </w:p>
        </w:tc>
      </w:tr>
      <w:tr>
        <w:trPr>
          <w:trHeight w:val="183"/>
        </w:trPr>
        <w:tc>
          <w:tcPr>
            <w:tcW w:w="440" w:type="dxa"/>
            <w:vAlign w:val="bottom"/>
          </w:tcPr>
          <w:p>
            <w:pPr>
              <w:spacing w:after="0"/>
              <w:rPr>
                <w:sz w:val="15"/>
                <w:szCs w:val="15"/>
                <w:color w:val="auto"/>
              </w:rPr>
            </w:pPr>
          </w:p>
        </w:tc>
        <w:tc>
          <w:tcPr>
            <w:tcW w:w="8120" w:type="dxa"/>
            <w:vAlign w:val="bottom"/>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DESCRIPTION OF UNITS</w:t>
            </w: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31</w:t>
            </w:r>
          </w:p>
        </w:tc>
      </w:tr>
      <w:tr>
        <w:trPr>
          <w:trHeight w:val="183"/>
        </w:trPr>
        <w:tc>
          <w:tcPr>
            <w:tcW w:w="440" w:type="dxa"/>
            <w:vAlign w:val="bottom"/>
          </w:tcPr>
          <w:p>
            <w:pPr>
              <w:spacing w:after="0"/>
              <w:rPr>
                <w:sz w:val="15"/>
                <w:szCs w:val="15"/>
                <w:color w:val="auto"/>
              </w:rPr>
            </w:pPr>
          </w:p>
        </w:tc>
        <w:tc>
          <w:tcPr>
            <w:tcW w:w="1840" w:type="dxa"/>
            <w:vAlign w:val="bottom"/>
            <w:tcBorders>
              <w:top w:val="single" w:sz="8" w:color="0000EE"/>
              <w:bottom w:val="single" w:sz="8" w:color="0000EE"/>
            </w:tcBorders>
            <w:gridSpan w:val="6"/>
          </w:tcPr>
          <w:p>
            <w:pPr>
              <w:spacing w:after="0" w:line="183" w:lineRule="exact"/>
              <w:rPr>
                <w:sz w:val="20"/>
                <w:szCs w:val="20"/>
                <w:color w:val="auto"/>
              </w:rPr>
            </w:pPr>
            <w:r>
              <w:rPr>
                <w:rFonts w:ascii="Times New Roman" w:cs="Times New Roman" w:eastAsia="Times New Roman" w:hAnsi="Times New Roman"/>
                <w:sz w:val="17"/>
                <w:szCs w:val="17"/>
                <w:color w:val="0000EE"/>
                <w:w w:val="98"/>
              </w:rPr>
              <w:t>FORMS OF SECURITIES</w:t>
            </w:r>
          </w:p>
        </w:tc>
        <w:tc>
          <w:tcPr>
            <w:tcW w:w="60" w:type="dxa"/>
            <w:vAlign w:val="bottom"/>
            <w:tcBorders>
              <w:top w:val="single" w:sz="8" w:color="0000EE"/>
            </w:tcBorders>
          </w:tcPr>
          <w:p>
            <w:pPr>
              <w:spacing w:after="0"/>
              <w:rPr>
                <w:sz w:val="15"/>
                <w:szCs w:val="15"/>
                <w:color w:val="auto"/>
              </w:rPr>
            </w:pPr>
          </w:p>
        </w:tc>
        <w:tc>
          <w:tcPr>
            <w:tcW w:w="6220" w:type="dxa"/>
            <w:vAlign w:val="bottom"/>
            <w:gridSpan w:val="11"/>
          </w:tcPr>
          <w:p>
            <w:pPr>
              <w:spacing w:after="0"/>
              <w:rPr>
                <w:sz w:val="15"/>
                <w:szCs w:val="15"/>
                <w:color w:val="auto"/>
              </w:rPr>
            </w:pP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32</w:t>
            </w:r>
          </w:p>
        </w:tc>
      </w:tr>
      <w:tr>
        <w:trPr>
          <w:trHeight w:val="183"/>
        </w:trPr>
        <w:tc>
          <w:tcPr>
            <w:tcW w:w="440" w:type="dxa"/>
            <w:vAlign w:val="bottom"/>
          </w:tcPr>
          <w:p>
            <w:pPr>
              <w:spacing w:after="0"/>
              <w:rPr>
                <w:sz w:val="15"/>
                <w:szCs w:val="15"/>
                <w:color w:val="auto"/>
              </w:rPr>
            </w:pPr>
          </w:p>
        </w:tc>
        <w:tc>
          <w:tcPr>
            <w:tcW w:w="1940" w:type="dxa"/>
            <w:vAlign w:val="bottom"/>
            <w:tcBorders>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7"/>
                <w:szCs w:val="17"/>
                <w:color w:val="0000EE"/>
                <w:w w:val="99"/>
              </w:rPr>
              <w:t>PLAN OF DISTRIBUTION</w:t>
            </w:r>
          </w:p>
        </w:tc>
        <w:tc>
          <w:tcPr>
            <w:tcW w:w="6180" w:type="dxa"/>
            <w:vAlign w:val="bottom"/>
            <w:gridSpan w:val="10"/>
          </w:tcPr>
          <w:p>
            <w:pPr>
              <w:spacing w:after="0"/>
              <w:rPr>
                <w:sz w:val="15"/>
                <w:szCs w:val="15"/>
                <w:color w:val="auto"/>
              </w:rPr>
            </w:pP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34</w:t>
            </w:r>
          </w:p>
        </w:tc>
      </w:tr>
      <w:tr>
        <w:trPr>
          <w:trHeight w:val="183"/>
        </w:trPr>
        <w:tc>
          <w:tcPr>
            <w:tcW w:w="440" w:type="dxa"/>
            <w:vAlign w:val="bottom"/>
          </w:tcPr>
          <w:p>
            <w:pPr>
              <w:spacing w:after="0"/>
              <w:rPr>
                <w:sz w:val="15"/>
                <w:szCs w:val="15"/>
                <w:color w:val="auto"/>
              </w:rPr>
            </w:pPr>
          </w:p>
        </w:tc>
        <w:tc>
          <w:tcPr>
            <w:tcW w:w="1380" w:type="dxa"/>
            <w:vAlign w:val="bottom"/>
            <w:tcBorders>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EE"/>
                <w:w w:val="97"/>
              </w:rPr>
              <w:t>LEGAL MATTERS</w:t>
            </w:r>
          </w:p>
        </w:tc>
        <w:tc>
          <w:tcPr>
            <w:tcW w:w="6740" w:type="dxa"/>
            <w:vAlign w:val="bottom"/>
            <w:gridSpan w:val="14"/>
          </w:tcPr>
          <w:p>
            <w:pPr>
              <w:spacing w:after="0"/>
              <w:rPr>
                <w:sz w:val="15"/>
                <w:szCs w:val="15"/>
                <w:color w:val="auto"/>
              </w:rPr>
            </w:pP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37</w:t>
            </w:r>
          </w:p>
        </w:tc>
      </w:tr>
      <w:tr>
        <w:trPr>
          <w:trHeight w:val="183"/>
        </w:trPr>
        <w:tc>
          <w:tcPr>
            <w:tcW w:w="440" w:type="dxa"/>
            <w:vAlign w:val="bottom"/>
          </w:tcPr>
          <w:p>
            <w:pPr>
              <w:spacing w:after="0"/>
              <w:rPr>
                <w:sz w:val="15"/>
                <w:szCs w:val="15"/>
                <w:color w:val="auto"/>
              </w:rPr>
            </w:pPr>
          </w:p>
        </w:tc>
        <w:tc>
          <w:tcPr>
            <w:tcW w:w="8120" w:type="dxa"/>
            <w:vAlign w:val="bottom"/>
            <w:gridSpan w:val="18"/>
          </w:tcPr>
          <w:p>
            <w:pPr>
              <w:spacing w:after="0" w:line="183" w:lineRule="exact"/>
              <w:rPr>
                <w:sz w:val="20"/>
                <w:szCs w:val="20"/>
                <w:color w:val="auto"/>
              </w:rPr>
            </w:pPr>
            <w:r>
              <w:rPr>
                <w:rFonts w:ascii="Times New Roman" w:cs="Times New Roman" w:eastAsia="Times New Roman" w:hAnsi="Times New Roman"/>
                <w:sz w:val="17"/>
                <w:szCs w:val="17"/>
                <w:color w:val="0000EE"/>
              </w:rPr>
              <w:t>EXPERTS</w:t>
            </w:r>
          </w:p>
        </w:tc>
        <w:tc>
          <w:tcPr>
            <w:tcW w:w="220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37</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bl>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p>
    <w:p>
      <w:pPr>
        <w:jc w:val="center"/>
        <w:ind w:right="-479"/>
        <w:spacing w:after="0"/>
        <w:rPr>
          <w:sz w:val="20"/>
          <w:szCs w:val="20"/>
          <w:color w:val="auto"/>
        </w:rPr>
      </w:pPr>
      <w:r>
        <w:rPr>
          <w:rFonts w:ascii="Times New Roman" w:cs="Times New Roman" w:eastAsia="Times New Roman" w:hAnsi="Times New Roman"/>
          <w:sz w:val="17"/>
          <w:szCs w:val="17"/>
          <w:color w:val="auto"/>
        </w:rPr>
        <w:t>i</w:t>
      </w:r>
    </w:p>
    <w:p>
      <w:pPr>
        <w:sectPr>
          <w:pgSz w:w="11900" w:h="16838" w:orient="portrait"/>
          <w:cols w:equalWidth="0" w:num="1">
            <w:col w:w="10760"/>
          </w:cols>
          <w:pgMar w:left="320" w:top="426" w:right="8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5" w:lineRule="exact"/>
        <w:rPr>
          <w:sz w:val="20"/>
          <w:szCs w:val="20"/>
          <w:color w:val="auto"/>
        </w:rPr>
      </w:pPr>
    </w:p>
    <w:p>
      <w:pPr>
        <w:ind w:left="440"/>
        <w:spacing w:after="0" w:line="263"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Securities and Exchange Commission, which we refer to as the “SEC,” utilizing a “shelf” registration process. Under this shelf registration process, we may from time to time sell any combination of the securities described in this prospectus in one or more offerings for an aggregate initial offering price of up to $300,000,000.</w:t>
      </w:r>
    </w:p>
    <w:p>
      <w:pPr>
        <w:spacing w:after="0" w:line="170" w:lineRule="exact"/>
        <w:rPr>
          <w:sz w:val="20"/>
          <w:szCs w:val="20"/>
          <w:color w:val="auto"/>
        </w:rPr>
      </w:pPr>
    </w:p>
    <w:p>
      <w:pPr>
        <w:ind w:left="440" w:right="60"/>
        <w:spacing w:after="0" w:line="258"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any accompanying prospectus supplement together with the additional information described under the heading “Where You Can Find More Information” in this prospectus.</w:t>
      </w:r>
    </w:p>
    <w:p>
      <w:pPr>
        <w:spacing w:after="0" w:line="175"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7"/>
          <w:szCs w:val="17"/>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this prospectus or such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6" w:lineRule="exact"/>
        <w:rPr>
          <w:sz w:val="20"/>
          <w:szCs w:val="20"/>
          <w:color w:val="auto"/>
        </w:rPr>
      </w:pPr>
    </w:p>
    <w:p>
      <w:pPr>
        <w:ind w:left="440" w:right="200"/>
        <w:spacing w:after="0" w:line="277" w:lineRule="auto"/>
        <w:rPr>
          <w:sz w:val="20"/>
          <w:szCs w:val="20"/>
          <w:color w:val="auto"/>
        </w:rPr>
      </w:pPr>
      <w:r>
        <w:rPr>
          <w:rFonts w:ascii="Times New Roman" w:cs="Times New Roman" w:eastAsia="Times New Roman" w:hAnsi="Times New Roman"/>
          <w:sz w:val="17"/>
          <w:szCs w:val="17"/>
          <w:color w:val="auto"/>
        </w:rPr>
        <w:t>Unless the context otherwise indicates, references in this prospectus to “the Company,” “we,” “our” and “us” refer, collectively, to Solid Biosciences Inc., a Delaware corporation, and its consolidated subsidiaries.</w:t>
      </w:r>
    </w:p>
    <w:p>
      <w:pPr>
        <w:spacing w:after="0" w:line="95"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0720"/>
          </w:cols>
          <w:pgMar w:left="320" w:top="437" w:right="8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5" w:lineRule="exact"/>
        <w:rPr>
          <w:sz w:val="20"/>
          <w:szCs w:val="20"/>
          <w:color w:val="auto"/>
        </w:rPr>
      </w:pPr>
    </w:p>
    <w:p>
      <w:pPr>
        <w:ind w:left="440" w:right="80"/>
        <w:spacing w:after="0" w:line="258"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www.solidbio.com. Our website is not a part of this prospectus and information contained on, or that can be accessed through, our website is not incorporated by reference in this prospectus.</w:t>
      </w:r>
    </w:p>
    <w:p>
      <w:pPr>
        <w:spacing w:after="0" w:line="175" w:lineRule="exact"/>
        <w:rPr>
          <w:sz w:val="20"/>
          <w:szCs w:val="20"/>
          <w:color w:val="auto"/>
        </w:rPr>
      </w:pPr>
    </w:p>
    <w:p>
      <w:pPr>
        <w:ind w:left="440" w:right="20"/>
        <w:spacing w:after="0" w:line="256" w:lineRule="auto"/>
        <w:rPr>
          <w:sz w:val="20"/>
          <w:szCs w:val="20"/>
          <w:color w:val="auto"/>
        </w:rPr>
      </w:pPr>
      <w:r>
        <w:rPr>
          <w:rFonts w:ascii="Times New Roman" w:cs="Times New Roman" w:eastAsia="Times New Roman" w:hAnsi="Times New Roman"/>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w:t>
      </w:r>
    </w:p>
    <w:p>
      <w:pPr>
        <w:spacing w:after="0" w:line="37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p>
      <w:pPr>
        <w:spacing w:after="0" w:line="215"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001-38360) and any future filings we make with the SEC under Sections 13(a), 13(c), 14 or 15(d) of the Securities Exchange Act of 1934, as amended, or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92" w:lineRule="exact"/>
        <w:rPr>
          <w:sz w:val="20"/>
          <w:szCs w:val="20"/>
          <w:color w:val="auto"/>
        </w:rPr>
      </w:pPr>
    </w:p>
    <w:p>
      <w:pPr>
        <w:ind w:left="1360" w:right="80" w:hanging="407"/>
        <w:spacing w:after="0" w:line="263" w:lineRule="auto"/>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Annual Report on </w:t>
      </w:r>
      <w:hyperlink r:id="rId26">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fiscal year ended December 31, 2023, as filed with the SEC on March 13, 2024, including the information specifically incorporated by reference into the Annual Report on Form 10-K from our </w:t>
      </w:r>
      <w:hyperlink r:id="rId27">
        <w:r>
          <w:rPr>
            <w:rFonts w:ascii="Times New Roman" w:cs="Times New Roman" w:eastAsia="Times New Roman" w:hAnsi="Times New Roman"/>
            <w:sz w:val="17"/>
            <w:szCs w:val="17"/>
            <w:u w:val="single" w:color="auto"/>
            <w:color w:val="0000EE"/>
          </w:rPr>
          <w:t>definitive proxy statement</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2024 Annual Meeting of Stockholders, as filed with the SEC on April 26, 2024;</w:t>
      </w:r>
    </w:p>
    <w:p>
      <w:pPr>
        <w:spacing w:after="0" w:line="80"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Quarterly Report on </w:t>
      </w:r>
      <w:hyperlink r:id="rId28">
        <w:r>
          <w:rPr>
            <w:rFonts w:ascii="Times New Roman" w:cs="Times New Roman" w:eastAsia="Times New Roman" w:hAnsi="Times New Roman"/>
            <w:sz w:val="17"/>
            <w:szCs w:val="17"/>
            <w:u w:val="single" w:color="auto"/>
            <w:color w:val="0000EE"/>
          </w:rPr>
          <w:t>Form 10-Q</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quarterly period ended March 31, 2024, as filed with the SEC on May 15, 2024;</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Current Report on Form 8-K as filed with the SEC on </w:t>
      </w:r>
      <w:hyperlink r:id="rId29">
        <w:r>
          <w:rPr>
            <w:rFonts w:ascii="Times New Roman" w:cs="Times New Roman" w:eastAsia="Times New Roman" w:hAnsi="Times New Roman"/>
            <w:sz w:val="17"/>
            <w:szCs w:val="17"/>
            <w:u w:val="single" w:color="auto"/>
            <w:color w:val="0000EE"/>
          </w:rPr>
          <w:t>January 8,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(except for Items 2.02 and 7.01); and</w:t>
      </w:r>
    </w:p>
    <w:p>
      <w:pPr>
        <w:spacing w:after="0" w:line="121" w:lineRule="exact"/>
        <w:rPr>
          <w:rFonts w:ascii="Times New Roman" w:cs="Times New Roman" w:eastAsia="Times New Roman" w:hAnsi="Times New Roman"/>
          <w:sz w:val="17"/>
          <w:szCs w:val="17"/>
          <w:color w:val="auto"/>
        </w:rPr>
      </w:pPr>
    </w:p>
    <w:p>
      <w:pPr>
        <w:ind w:left="1360" w:right="60" w:hanging="407"/>
        <w:spacing w:after="0" w:line="258" w:lineRule="auto"/>
        <w:tabs>
          <w:tab w:leader="none" w:pos="13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contained in our Registration Statement on </w:t>
      </w:r>
      <w:hyperlink r:id="rId30">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as filed with the SEC on January 22, 2018, as the description therein has been updated and superseded by the description of our capital stock contained in </w:t>
      </w:r>
      <w:hyperlink r:id="rId31">
        <w:r>
          <w:rPr>
            <w:rFonts w:ascii="Times New Roman" w:cs="Times New Roman" w:eastAsia="Times New Roman" w:hAnsi="Times New Roman"/>
            <w:sz w:val="17"/>
            <w:szCs w:val="17"/>
            <w:u w:val="single" w:color="auto"/>
            <w:color w:val="0000EE"/>
          </w:rPr>
          <w:t>Exhibit 4.2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our Annual Report on Form 10-K for the fiscal year ended December 31, 2022, as filed with the SEC on March 23, 2023, and including any amendments and reports filed for the purpose of updating such description.</w:t>
      </w:r>
    </w:p>
    <w:p>
      <w:pPr>
        <w:spacing w:after="0" w:line="175" w:lineRule="exact"/>
        <w:rPr>
          <w:rFonts w:ascii="Times New Roman" w:cs="Times New Roman" w:eastAsia="Times New Roman" w:hAnsi="Times New Roman"/>
          <w:sz w:val="17"/>
          <w:szCs w:val="17"/>
          <w:color w:val="auto"/>
        </w:rPr>
      </w:pPr>
    </w:p>
    <w:p>
      <w:pPr>
        <w:ind w:left="440"/>
        <w:spacing w:after="0"/>
        <w:rPr>
          <w:sz w:val="20"/>
          <w:szCs w:val="20"/>
          <w:color w:val="auto"/>
        </w:rPr>
      </w:pPr>
      <w:r>
        <w:rPr>
          <w:rFonts w:ascii="Times New Roman" w:cs="Times New Roman" w:eastAsia="Times New Roman" w:hAnsi="Times New Roman"/>
          <w:sz w:val="17"/>
          <w:szCs w:val="17"/>
          <w:color w:val="auto"/>
        </w:rPr>
        <w:t>You may request a copy of these filings, at no cost, by writing or calling us at the following address or telephone number:</w:t>
      </w:r>
    </w:p>
    <w:p>
      <w:pPr>
        <w:spacing w:after="0" w:line="109" w:lineRule="exact"/>
        <w:rPr>
          <w:rFonts w:ascii="Times New Roman" w:cs="Times New Roman" w:eastAsia="Times New Roman" w:hAnsi="Times New Roman"/>
          <w:sz w:val="17"/>
          <w:szCs w:val="17"/>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Solid Biosciences Inc.</w:t>
      </w:r>
    </w:p>
    <w:p>
      <w:pPr>
        <w:spacing w:after="0" w:line="23" w:lineRule="exact"/>
        <w:rPr>
          <w:rFonts w:ascii="Times New Roman" w:cs="Times New Roman" w:eastAsia="Times New Roman" w:hAnsi="Times New Roman"/>
          <w:sz w:val="17"/>
          <w:szCs w:val="17"/>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Attn: Investor Relations</w:t>
      </w:r>
    </w:p>
    <w:p>
      <w:pPr>
        <w:spacing w:after="0" w:line="8" w:lineRule="exact"/>
        <w:rPr>
          <w:rFonts w:ascii="Times New Roman" w:cs="Times New Roman" w:eastAsia="Times New Roman" w:hAnsi="Times New Roman"/>
          <w:sz w:val="17"/>
          <w:szCs w:val="17"/>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500 Rutherford Avenue, Third Floor</w:t>
      </w:r>
    </w:p>
    <w:p>
      <w:pPr>
        <w:spacing w:after="0" w:line="8" w:lineRule="exact"/>
        <w:rPr>
          <w:rFonts w:ascii="Times New Roman" w:cs="Times New Roman" w:eastAsia="Times New Roman" w:hAnsi="Times New Roman"/>
          <w:sz w:val="17"/>
          <w:szCs w:val="17"/>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Charlestown, MA 02129</w:t>
      </w:r>
    </w:p>
    <w:p>
      <w:pPr>
        <w:spacing w:after="0" w:line="8" w:lineRule="exact"/>
        <w:rPr>
          <w:rFonts w:ascii="Times New Roman" w:cs="Times New Roman" w:eastAsia="Times New Roman" w:hAnsi="Times New Roman"/>
          <w:sz w:val="17"/>
          <w:szCs w:val="17"/>
          <w:color w:val="auto"/>
        </w:rPr>
      </w:pPr>
    </w:p>
    <w:p>
      <w:pPr>
        <w:ind w:left="5500" w:hanging="404"/>
        <w:spacing w:after="0"/>
        <w:tabs>
          <w:tab w:leader="none" w:pos="5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337-4680</w:t>
      </w:r>
    </w:p>
    <w:p>
      <w:pPr>
        <w:spacing w:after="0" w:line="131"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w:t>
      </w:r>
    </w:p>
    <w:p>
      <w:pPr>
        <w:sectPr>
          <w:pgSz w:w="11900" w:h="16838" w:orient="portrait"/>
          <w:cols w:equalWidth="0" w:num="1">
            <w:col w:w="10780"/>
          </w:cols>
          <w:pgMar w:left="320" w:top="437" w:right="7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5"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7"/>
          <w:szCs w:val="17"/>
          <w:color w:val="auto"/>
        </w:rPr>
        <w:t>This prospectus and the documents incorporated by reference in this prospectus include “forward-looking statements” within the meaning of Section 27A of the Securities Act of 1933, as amended, or the Securities Act, and Section 21E of the Exchange Act. All statements, other than statements of historical fact, contained in or incorporated by reference in this prospectus, including statements regarding our strategy, future operations, future financial position, future revenue, projected costs, prospects, plans and objectives of management, are forward-looking statements. The words “anticipate,” “believe,” “continue,” “could,” “estimate,” “expect,” “intend,” “may,” “might,” “plan,” “predict,” “project,” “should,” “target,” “potential,” “would,” and similar expressions are intended to identify forward-looking statements, although not all forward-looking statements contain these identifying words.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forward-looking statements in this prospectus and the documents incorporated by reference herein include, among other things, statements about:</w:t>
      </w:r>
    </w:p>
    <w:p>
      <w:pPr>
        <w:spacing w:after="0" w:line="122" w:lineRule="exact"/>
        <w:rPr>
          <w:sz w:val="20"/>
          <w:szCs w:val="20"/>
          <w:color w:val="auto"/>
        </w:rPr>
      </w:pPr>
    </w:p>
    <w:p>
      <w:pPr>
        <w:ind w:left="1360" w:right="100" w:hanging="407"/>
        <w:spacing w:after="0" w:line="277"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progress and results of ongoing and planned preclinical studies and clinical trials for our neuromuscular (e.g., SGT-003, AVB-202-TT), cardiac (e.g., AVB-401, SGT-501) or other future candidates;</w:t>
      </w:r>
    </w:p>
    <w:p>
      <w:pPr>
        <w:spacing w:after="0" w:line="69" w:lineRule="exact"/>
        <w:rPr>
          <w:rFonts w:ascii="Times New Roman" w:cs="Times New Roman" w:eastAsia="Times New Roman" w:hAnsi="Times New Roman"/>
          <w:sz w:val="17"/>
          <w:szCs w:val="17"/>
          <w:color w:val="auto"/>
        </w:rPr>
      </w:pPr>
    </w:p>
    <w:p>
      <w:pPr>
        <w:ind w:left="1360" w:right="240" w:hanging="407"/>
        <w:spacing w:after="0" w:line="277"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or maintain collaborations or strategic relationships, including our collaboration with Ultragenyx Pharmaceutical Inc., or Ultragenyx;</w:t>
      </w:r>
    </w:p>
    <w:p>
      <w:pPr>
        <w:spacing w:after="0" w:line="69" w:lineRule="exact"/>
        <w:rPr>
          <w:rFonts w:ascii="Times New Roman" w:cs="Times New Roman" w:eastAsia="Times New Roman" w:hAnsi="Times New Roman"/>
          <w:sz w:val="17"/>
          <w:szCs w:val="17"/>
          <w:color w:val="auto"/>
        </w:rPr>
      </w:pPr>
    </w:p>
    <w:p>
      <w:pPr>
        <w:ind w:left="1360" w:right="100" w:hanging="407"/>
        <w:spacing w:after="0" w:line="277"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U.S. and foreign regulatory approval of our neuromuscular (e.g., SGT-003, AVB-202-TT), cardiac (e.g., AVB-401, SGT-501) or other future candidates, and the timing and scope thereof;</w:t>
      </w:r>
    </w:p>
    <w:p>
      <w:pPr>
        <w:spacing w:after="0" w:line="69" w:lineRule="exact"/>
        <w:rPr>
          <w:rFonts w:ascii="Times New Roman" w:cs="Times New Roman" w:eastAsia="Times New Roman" w:hAnsi="Times New Roman"/>
          <w:sz w:val="17"/>
          <w:szCs w:val="17"/>
          <w:color w:val="auto"/>
        </w:rPr>
      </w:pPr>
    </w:p>
    <w:p>
      <w:pPr>
        <w:ind w:left="1360" w:right="280" w:hanging="407"/>
        <w:spacing w:after="0" w:line="277"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patient populations and potential market opportunity for our neuromuscular (e.g., SGT-003, AVB-202-TT), cardiac (e.g., AVB-401, SGT-501) or other future candidates, if approved for commercial use;</w:t>
      </w:r>
    </w:p>
    <w:p>
      <w:pPr>
        <w:spacing w:after="0" w:line="69" w:lineRule="exact"/>
        <w:rPr>
          <w:rFonts w:ascii="Times New Roman" w:cs="Times New Roman" w:eastAsia="Times New Roman" w:hAnsi="Times New Roman"/>
          <w:sz w:val="17"/>
          <w:szCs w:val="17"/>
          <w:color w:val="auto"/>
        </w:rPr>
      </w:pPr>
    </w:p>
    <w:p>
      <w:pPr>
        <w:ind w:left="1360" w:right="680" w:hanging="407"/>
        <w:spacing w:after="0" w:line="277"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capabilities and strategy, including the scalability and commercial viability of our manufacturing methods and processes;</w:t>
      </w:r>
    </w:p>
    <w:p>
      <w:pPr>
        <w:spacing w:after="0" w:line="69" w:lineRule="exact"/>
        <w:rPr>
          <w:rFonts w:ascii="Times New Roman" w:cs="Times New Roman" w:eastAsia="Times New Roman" w:hAnsi="Times New Roman"/>
          <w:sz w:val="17"/>
          <w:szCs w:val="17"/>
          <w:color w:val="auto"/>
        </w:rPr>
      </w:pPr>
    </w:p>
    <w:p>
      <w:pPr>
        <w:ind w:left="1360" w:right="340" w:hanging="407"/>
        <w:spacing w:after="0" w:line="277"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develop and commercialize our neuromuscular (e.g., SGT-003, AVB-202-TT), cardiac (e.g., AVB-401, SGT-501) or other future candidates, if approved;</w:t>
      </w:r>
    </w:p>
    <w:p>
      <w:pPr>
        <w:spacing w:after="0" w:line="69" w:lineRule="exact"/>
        <w:rPr>
          <w:rFonts w:ascii="Times New Roman" w:cs="Times New Roman" w:eastAsia="Times New Roman" w:hAnsi="Times New Roman"/>
          <w:sz w:val="17"/>
          <w:szCs w:val="17"/>
          <w:color w:val="auto"/>
        </w:rPr>
      </w:pPr>
    </w:p>
    <w:p>
      <w:pPr>
        <w:ind w:left="1360" w:right="340" w:hanging="407"/>
        <w:spacing w:after="0" w:line="277"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and reimbursement of our neuromuscular (e.g., SGT-003, AVB-202-TT), cardiac (e.g., AVB-401, SGT-501) or other future candidates we may develop, if approved;</w:t>
      </w:r>
    </w:p>
    <w:p>
      <w:pPr>
        <w:spacing w:after="0" w:line="69" w:lineRule="exact"/>
        <w:rPr>
          <w:rFonts w:ascii="Times New Roman" w:cs="Times New Roman" w:eastAsia="Times New Roman" w:hAnsi="Times New Roman"/>
          <w:sz w:val="17"/>
          <w:szCs w:val="17"/>
          <w:color w:val="auto"/>
        </w:rPr>
      </w:pPr>
    </w:p>
    <w:p>
      <w:pPr>
        <w:ind w:left="1360" w:right="480" w:hanging="407"/>
        <w:spacing w:after="0" w:line="277"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sales, marketing and distribution capabilities and entry into agreements with third parties to market and sell our neuromuscular (e.g., SGT-003, AVB-202-TT), cardiac (e.g., AVB-401, SGT-501) or other future candidates, if approved;</w:t>
      </w:r>
    </w:p>
    <w:p>
      <w:pPr>
        <w:spacing w:after="0" w:line="69" w:lineRule="exact"/>
        <w:rPr>
          <w:rFonts w:ascii="Times New Roman" w:cs="Times New Roman" w:eastAsia="Times New Roman" w:hAnsi="Times New Roman"/>
          <w:sz w:val="17"/>
          <w:szCs w:val="17"/>
          <w:color w:val="auto"/>
        </w:rPr>
      </w:pPr>
    </w:p>
    <w:p>
      <w:pPr>
        <w:ind w:left="1360" w:right="100" w:hanging="407"/>
        <w:spacing w:after="0" w:line="277"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neuromuscular (e.g., SGT-003, AVB-202-TT), cardiac (e.g., AVB-401, SGT-501) or other future candidates if approved;</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develop our platform technologies;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related to our use of capital resources;</w:t>
      </w:r>
    </w:p>
    <w:p>
      <w:pPr>
        <w:spacing w:after="0" w:line="121" w:lineRule="exact"/>
        <w:rPr>
          <w:rFonts w:ascii="Times New Roman" w:cs="Times New Roman" w:eastAsia="Times New Roman" w:hAnsi="Times New Roman"/>
          <w:sz w:val="17"/>
          <w:szCs w:val="17"/>
          <w:color w:val="auto"/>
        </w:rPr>
      </w:pPr>
    </w:p>
    <w:p>
      <w:pPr>
        <w:ind w:left="1360" w:right="560" w:hanging="407"/>
        <w:spacing w:after="0" w:line="277"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ongoing losses, future revenue, capital requirements and need for and ability to obtain additional financing;</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and market position;</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relating to our competitors and our industry;</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as a going concern; and</w:t>
      </w:r>
    </w:p>
    <w:p>
      <w:pPr>
        <w:spacing w:after="0" w:line="147"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0780"/>
          </w:cols>
          <w:pgMar w:left="320" w:top="437" w:right="7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1360" w:hanging="407"/>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laws, regulations and global economic developments on our business, operations, strategy and goals.</w:t>
      </w:r>
    </w:p>
    <w:p>
      <w:pPr>
        <w:spacing w:after="0" w:line="211" w:lineRule="exact"/>
        <w:rPr>
          <w:sz w:val="20"/>
          <w:szCs w:val="20"/>
          <w:color w:val="auto"/>
        </w:rPr>
      </w:pPr>
    </w:p>
    <w:p>
      <w:pPr>
        <w:ind w:left="440" w:right="40"/>
        <w:spacing w:after="0" w:line="254" w:lineRule="auto"/>
        <w:rPr>
          <w:sz w:val="20"/>
          <w:szCs w:val="20"/>
          <w:color w:val="auto"/>
        </w:rPr>
      </w:pPr>
      <w:r>
        <w:rPr>
          <w:rFonts w:ascii="Times New Roman" w:cs="Times New Roman" w:eastAsia="Times New Roman" w:hAnsi="Times New Roman"/>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are cautioned that these forward-looking statements are only predictions and are subject to risks, uncertainties and assumptions that are referenced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collaborations, joint ventures or investments that we may make or enter into.</w:t>
      </w:r>
    </w:p>
    <w:p>
      <w:pPr>
        <w:spacing w:after="0" w:line="176" w:lineRule="exact"/>
        <w:rPr>
          <w:sz w:val="20"/>
          <w:szCs w:val="20"/>
          <w:color w:val="auto"/>
        </w:rPr>
      </w:pPr>
    </w:p>
    <w:p>
      <w:pPr>
        <w:jc w:val="both"/>
        <w:ind w:left="440"/>
        <w:spacing w:after="0" w:line="263" w:lineRule="auto"/>
        <w:rPr>
          <w:sz w:val="20"/>
          <w:szCs w:val="20"/>
          <w:color w:val="auto"/>
        </w:rPr>
      </w:pPr>
      <w:r>
        <w:rPr>
          <w:rFonts w:ascii="Times New Roman" w:cs="Times New Roman" w:eastAsia="Times New Roman" w:hAnsi="Times New Roman"/>
          <w:sz w:val="17"/>
          <w:szCs w:val="17"/>
          <w:color w:val="auto"/>
        </w:rPr>
        <w:t>You should read this prospectus and the documents incorporated by reference 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170" w:lineRule="exact"/>
        <w:rPr>
          <w:sz w:val="20"/>
          <w:szCs w:val="20"/>
          <w:color w:val="auto"/>
        </w:rPr>
      </w:pPr>
    </w:p>
    <w:p>
      <w:pPr>
        <w:ind w:left="440" w:right="220"/>
        <w:spacing w:after="0" w:line="287" w:lineRule="auto"/>
        <w:rPr>
          <w:sz w:val="20"/>
          <w:szCs w:val="20"/>
          <w:color w:val="auto"/>
        </w:rPr>
      </w:pPr>
      <w:r>
        <w:rPr>
          <w:rFonts w:ascii="Times New Roman" w:cs="Times New Roman" w:eastAsia="Times New Roman" w:hAnsi="Times New Roman"/>
          <w:sz w:val="16"/>
          <w:szCs w:val="16"/>
          <w:color w:val="auto"/>
        </w:rPr>
        <w:t>This prospectus incorporates by reference statistical and other industry and market data that we obtained from industry publications and research, surveys and studies conducted by third parties. Industry publications and third-party research, surveys and studies generally indicate that their information has been obtained from sources believed to be reliable, although they do not guarantee the accuracy or completeness of such information.</w:t>
      </w:r>
    </w:p>
    <w:p>
      <w:pPr>
        <w:spacing w:after="0" w:line="8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800"/>
          </w:cols>
          <w:pgMar w:left="320" w:top="437" w:right="7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5"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7"/>
          <w:szCs w:val="17"/>
          <w:color w:val="auto"/>
        </w:rPr>
        <w:t>Investing in our securities involves a high degree of risk. You should carefully consider the risks and uncertainties described in this prospectus and any accompanying prospectus supplement, including the risk factors set forth in our most recent Annual Report on Form 10-K, our most recent Quarterly Report on Form 10-Q and other filings we make with the SEC from time to time, which are incorporated by reference herein, before making an investment decision pursuant to this prospectus and any accompanying prospectus supplement relating to a specific offering.</w:t>
      </w:r>
    </w:p>
    <w:p>
      <w:pPr>
        <w:spacing w:after="0" w:line="175" w:lineRule="exact"/>
        <w:rPr>
          <w:sz w:val="20"/>
          <w:szCs w:val="20"/>
          <w:color w:val="auto"/>
        </w:rPr>
      </w:pPr>
    </w:p>
    <w:p>
      <w:pPr>
        <w:ind w:left="440" w:right="60"/>
        <w:spacing w:after="0" w:line="277" w:lineRule="auto"/>
        <w:rPr>
          <w:sz w:val="20"/>
          <w:szCs w:val="20"/>
          <w:color w:val="auto"/>
        </w:rPr>
      </w:pPr>
      <w:r>
        <w:rPr>
          <w:rFonts w:ascii="Times New Roman" w:cs="Times New Roman" w:eastAsia="Times New Roman" w:hAnsi="Times New Roman"/>
          <w:sz w:val="17"/>
          <w:szCs w:val="17"/>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0660"/>
          </w:cols>
          <w:pgMar w:left="320" w:top="437" w:right="9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SOLID BIOSCIENCES INC.</w:t>
      </w:r>
    </w:p>
    <w:p>
      <w:pPr>
        <w:spacing w:after="0" w:line="215" w:lineRule="exact"/>
        <w:rPr>
          <w:sz w:val="20"/>
          <w:szCs w:val="20"/>
          <w:color w:val="auto"/>
        </w:rPr>
      </w:pPr>
    </w:p>
    <w:p>
      <w:pPr>
        <w:ind w:left="440"/>
        <w:spacing w:after="0" w:line="276" w:lineRule="auto"/>
        <w:rPr>
          <w:sz w:val="20"/>
          <w:szCs w:val="20"/>
          <w:color w:val="auto"/>
        </w:rPr>
      </w:pPr>
      <w:r>
        <w:rPr>
          <w:rFonts w:ascii="Times New Roman" w:cs="Times New Roman" w:eastAsia="Times New Roman" w:hAnsi="Times New Roman"/>
          <w:sz w:val="16"/>
          <w:szCs w:val="16"/>
          <w:color w:val="auto"/>
        </w:rPr>
        <w:t>We are a life sciences company focused on advancing a portfolio of current and future gene therapy candidates, including SGT-003 for the treatment of Duchenne muscular dystrophy, or Duchenne, SGT-501 for the treatment of catecholaminergic polymorphic ventricular tachycardia and additional assets for the treatment of cardiac and other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w:t>
      </w:r>
    </w:p>
    <w:p>
      <w:pPr>
        <w:spacing w:after="0" w:line="160" w:lineRule="exact"/>
        <w:rPr>
          <w:sz w:val="20"/>
          <w:szCs w:val="20"/>
          <w:color w:val="auto"/>
        </w:rPr>
      </w:pPr>
    </w:p>
    <w:p>
      <w:pPr>
        <w:ind w:left="440" w:right="120"/>
        <w:spacing w:after="0" w:line="277" w:lineRule="auto"/>
        <w:rPr>
          <w:sz w:val="20"/>
          <w:szCs w:val="20"/>
          <w:color w:val="auto"/>
        </w:rPr>
      </w:pPr>
      <w:r>
        <w:rPr>
          <w:rFonts w:ascii="Times New Roman" w:cs="Times New Roman" w:eastAsia="Times New Roman" w:hAnsi="Times New Roman"/>
          <w:sz w:val="17"/>
          <w:szCs w:val="17"/>
          <w:color w:val="auto"/>
        </w:rPr>
        <w:t>Our principal executive offices are located at 500 Rutherford Avenue, Third Floor, Charlestown, MA 02129. Our main telephone number is (617) 337-4680.</w:t>
      </w:r>
    </w:p>
    <w:p>
      <w:pPr>
        <w:spacing w:after="0" w:line="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0780"/>
          </w:cols>
          <w:pgMar w:left="320" w:top="437" w:right="7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5"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7"/>
          <w:szCs w:val="17"/>
          <w:color w:val="auto"/>
        </w:rPr>
        <w:t>We intend to use the net proceeds from the sale of any securities offered under this prospectus for general corporate purposes unless otherwise indicated in the applicable prospectus supplement. General corporate purposes may include research and development costs, preclinical and clinical development, the acquisition or in-license of products, product candidates, companies, businesses or technologies, repayment and refinancing of debt, working capital and capital expenditures. We have not determined the amount of net proceeds to be used specifically for such purposes. As a result, management will retain broad discretion over the allocation of the net proceeds of any offering.</w:t>
      </w:r>
    </w:p>
    <w:p>
      <w:pPr>
        <w:spacing w:after="0" w:line="1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0740"/>
          </w:cols>
          <w:pgMar w:left="320" w:top="437" w:right="8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7"/>
          <w:szCs w:val="17"/>
          <w:b w:val="1"/>
          <w:bCs w:val="1"/>
          <w:color w:val="auto"/>
        </w:rPr>
        <w:t>DESCRIPTION OF DEBT SECURITIES</w:t>
      </w:r>
    </w:p>
    <w:p>
      <w:pPr>
        <w:spacing w:after="0" w:line="215"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7"/>
          <w:szCs w:val="17"/>
          <w:color w:val="auto"/>
        </w:rPr>
        <w:t>The following description summarizes the general terms and provisions of the debt securities that we may offer and sell from time to time. We will describe in a prospectus supplement the specific terms of the debt securities offered through that prospectus supplement, as well as any general terms and provisions described in this section that will not apply to those debt securities. As used in this “Description of Debt Securities”, the term “debt securities” means the senior and subordinated debt securities that we issue and the trustee authenticates and delivers under the applicable indenture. When we refer to “the Company,” “we,” “our,” and “us” in this section, we mean Solid Biosciences Inc. excluding, unless the context otherwise requires or as otherwise expressly stated, its subsidiaries.</w:t>
      </w:r>
    </w:p>
    <w:p>
      <w:pPr>
        <w:spacing w:after="0" w:line="175" w:lineRule="exact"/>
        <w:rPr>
          <w:sz w:val="20"/>
          <w:szCs w:val="20"/>
          <w:color w:val="auto"/>
        </w:rPr>
      </w:pPr>
    </w:p>
    <w:p>
      <w:pPr>
        <w:ind w:left="440" w:right="100"/>
        <w:spacing w:after="0" w:line="252" w:lineRule="auto"/>
        <w:rPr>
          <w:sz w:val="20"/>
          <w:szCs w:val="20"/>
          <w:color w:val="auto"/>
        </w:rPr>
      </w:pPr>
      <w:r>
        <w:rPr>
          <w:rFonts w:ascii="Times New Roman" w:cs="Times New Roman" w:eastAsia="Times New Roman" w:hAnsi="Times New Roman"/>
          <w:sz w:val="17"/>
          <w:szCs w:val="17"/>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The senior indenture and the subordinated indenture are referred to individually as an indenture and together as the indentures and the senior trustee and the subordinated trustee are referred to individually as a trustee and together as the trustees. This section summarizes some of the provisions of the indentures and is qualified in its entirety by the specific text of the indentures, including definitions of terms used in the indentures. Wherever we refer to particular sections of, or defined terms in,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w:t>
      </w:r>
    </w:p>
    <w:p>
      <w:pPr>
        <w:spacing w:after="0" w:line="181" w:lineRule="exact"/>
        <w:rPr>
          <w:sz w:val="20"/>
          <w:szCs w:val="20"/>
          <w:color w:val="auto"/>
        </w:rPr>
      </w:pPr>
    </w:p>
    <w:p>
      <w:pPr>
        <w:ind w:left="440" w:right="100"/>
        <w:spacing w:after="0" w:line="263" w:lineRule="auto"/>
        <w:rPr>
          <w:sz w:val="20"/>
          <w:szCs w:val="20"/>
          <w:color w:val="auto"/>
        </w:rPr>
      </w:pPr>
      <w:r>
        <w:rPr>
          <w:rFonts w:ascii="Times New Roman" w:cs="Times New Roman" w:eastAsia="Times New Roman" w:hAnsi="Times New Roman"/>
          <w:sz w:val="17"/>
          <w:szCs w:val="17"/>
          <w:color w:val="auto"/>
        </w:rPr>
        <w:t>Neither indenture will limit the amount of debt securities that we may issue. The applicable indenture will provide that debt securities may be issued up to an aggregate principal amount authorized from time to time by us and may be payable in any currency or currency unit designated by us or in amounts determined by reference to an index.</w:t>
      </w:r>
    </w:p>
    <w:p>
      <w:pPr>
        <w:spacing w:after="0" w:line="2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3"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7"/>
          <w:szCs w:val="17"/>
          <w:color w:val="auto"/>
        </w:rPr>
        <w:t>The senior debt securities will constitute our unsecured and unsubordinated general obligations and will rank equally in right of payment with our other unsecured and unsubordinated obligations. The subordinated debt securities will constitute our unsecured and subordinated general obligations and will be junior in right of payment to our senior indebtedness (including senior debt securities), as described under the heading “—Certain Terms of the Subordinated Debt Securities—Subordination.” The debt securities will be structurally subordinated to all existing and future indebtedness and other liabilities of our subsidiaries unless such subsidiaries expressly guarantee such debt securities.</w:t>
      </w:r>
    </w:p>
    <w:p>
      <w:pPr>
        <w:spacing w:after="0" w:line="176" w:lineRule="exact"/>
        <w:rPr>
          <w:sz w:val="20"/>
          <w:szCs w:val="20"/>
          <w:color w:val="auto"/>
        </w:rPr>
      </w:pPr>
    </w:p>
    <w:p>
      <w:pPr>
        <w:ind w:left="440"/>
        <w:spacing w:after="0" w:line="263" w:lineRule="auto"/>
        <w:rPr>
          <w:sz w:val="20"/>
          <w:szCs w:val="20"/>
          <w:color w:val="auto"/>
        </w:rPr>
      </w:pPr>
      <w:r>
        <w:rPr>
          <w:rFonts w:ascii="Times New Roman" w:cs="Times New Roman" w:eastAsia="Times New Roman" w:hAnsi="Times New Roman"/>
          <w:sz w:val="17"/>
          <w:szCs w:val="17"/>
          <w:color w:val="auto"/>
        </w:rPr>
        <w:t>The debt securities will be our unsecured obligations. Any secured debt or other secured obligations will be effectively senior to the debt securities to the extent of the value of the assets securing such debt or other obligations. Unless otherwise indicated in the applicable prospectus supplement, the debt securities will not be guaranteed by any of our subsidiaries.</w:t>
      </w:r>
    </w:p>
    <w:p>
      <w:pPr>
        <w:spacing w:after="0" w:line="170" w:lineRule="exact"/>
        <w:rPr>
          <w:sz w:val="20"/>
          <w:szCs w:val="20"/>
          <w:color w:val="auto"/>
        </w:rPr>
      </w:pPr>
    </w:p>
    <w:p>
      <w:pPr>
        <w:ind w:left="440" w:right="280"/>
        <w:spacing w:after="0" w:line="277" w:lineRule="auto"/>
        <w:rPr>
          <w:sz w:val="20"/>
          <w:szCs w:val="20"/>
          <w:color w:val="auto"/>
        </w:rPr>
      </w:pPr>
      <w:r>
        <w:rPr>
          <w:rFonts w:ascii="Times New Roman" w:cs="Times New Roman" w:eastAsia="Times New Roman" w:hAnsi="Times New Roman"/>
          <w:sz w:val="17"/>
          <w:szCs w:val="17"/>
          <w:color w:val="auto"/>
        </w:rPr>
        <w:t>The applicable prospectus supplement and/or free writing prospectus will include any additional or different terms of the debt securities of any series being offered, including the following terms:</w:t>
      </w:r>
    </w:p>
    <w:p>
      <w:pPr>
        <w:spacing w:after="0" w:line="69" w:lineRule="exact"/>
        <w:rPr>
          <w:sz w:val="20"/>
          <w:szCs w:val="20"/>
          <w:color w:val="auto"/>
        </w:rPr>
      </w:pPr>
    </w:p>
    <w:p>
      <w:pPr>
        <w:ind w:left="1360" w:hanging="407"/>
        <w:spacing w:after="0"/>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type of the debt securities;</w:t>
      </w:r>
    </w:p>
    <w:p>
      <w:pPr>
        <w:spacing w:after="0" w:line="121" w:lineRule="exact"/>
        <w:rPr>
          <w:rFonts w:ascii="Times New Roman" w:cs="Times New Roman" w:eastAsia="Times New Roman" w:hAnsi="Times New Roman"/>
          <w:sz w:val="17"/>
          <w:szCs w:val="17"/>
          <w:color w:val="auto"/>
        </w:rPr>
      </w:pPr>
    </w:p>
    <w:p>
      <w:pPr>
        <w:ind w:left="1360" w:right="60" w:hanging="407"/>
        <w:spacing w:after="0" w:line="277" w:lineRule="auto"/>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senior or subordinated debt securities, and, with respect to any subordinated debt securities the terms on which they are subordinated;</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aggregate principal amount of the debt securities;</w:t>
      </w:r>
    </w:p>
    <w:p>
      <w:pPr>
        <w:spacing w:after="0" w:line="14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0800"/>
          </w:cols>
          <w:pgMar w:left="320" w:top="437" w:right="7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or prices at which we will sell the debt securities;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maturity date or dates of the debt securities and the right, if any, to extend such date or dates;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or rates, if any, at which the debt securities will bear interest, or the method of determining such rate or rates;</w:t>
      </w:r>
    </w:p>
    <w:p>
      <w:pPr>
        <w:spacing w:after="0" w:line="121" w:lineRule="exact"/>
        <w:rPr>
          <w:rFonts w:ascii="Times New Roman" w:cs="Times New Roman" w:eastAsia="Times New Roman" w:hAnsi="Times New Roman"/>
          <w:sz w:val="17"/>
          <w:szCs w:val="17"/>
          <w:color w:val="auto"/>
        </w:rPr>
      </w:pPr>
    </w:p>
    <w:p>
      <w:pPr>
        <w:ind w:left="1360" w:right="160" w:hanging="407"/>
        <w:spacing w:after="0" w:line="277" w:lineRule="auto"/>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or dates from which such interest will accrue, the interest payment dates on which such interest will be payable or the method of determination of such dates;</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 if any, to extend the interest payment periods and the duration of that extension;</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manner of paying principal and interest and the place or places where principal and interest will be payable;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denominations of the debt securities if other than $2,000 or multiples of $1,000;</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provisions for a sinking fund, purchase fund or other analogous fund, if any;</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redemption dates, prices, obligations and restrictions on the debt securities;</w:t>
      </w:r>
    </w:p>
    <w:p>
      <w:pPr>
        <w:spacing w:after="0" w:line="121" w:lineRule="exact"/>
        <w:rPr>
          <w:rFonts w:ascii="Times New Roman" w:cs="Times New Roman" w:eastAsia="Times New Roman" w:hAnsi="Times New Roman"/>
          <w:sz w:val="17"/>
          <w:szCs w:val="17"/>
          <w:color w:val="auto"/>
        </w:rPr>
      </w:pPr>
    </w:p>
    <w:p>
      <w:pPr>
        <w:ind w:left="1360" w:hanging="407"/>
        <w:spacing w:after="0" w:line="277" w:lineRule="auto"/>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currencies or currency units in which the debt securities will be denominated and the currency, currencies or currency units in which principal and interest, if any, on the debt securities may be payable;</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conversion or exchange features of the debt securities;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subject to the defeasance provisions in the indenture;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issued in definitive or global form or in definitive form only upon satisfaction of certain conditions;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debt securities will be guaranteed as to payment or performance;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special tax implications of the debt securities;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of defaults or covenants in addition to or in lieu of those set forth in the indenture; and</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material terms of the debt securities.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When we refer to “principal” in this section with reference to the debt securities, we are also referring to “premium, if any.”</w:t>
      </w:r>
    </w:p>
    <w:p>
      <w:pPr>
        <w:spacing w:after="0" w:line="211" w:lineRule="exact"/>
        <w:rPr>
          <w:sz w:val="20"/>
          <w:szCs w:val="20"/>
          <w:color w:val="auto"/>
        </w:rPr>
      </w:pPr>
    </w:p>
    <w:p>
      <w:pPr>
        <w:ind w:left="440" w:right="20"/>
        <w:spacing w:after="0" w:line="256" w:lineRule="auto"/>
        <w:rPr>
          <w:sz w:val="20"/>
          <w:szCs w:val="20"/>
          <w:color w:val="auto"/>
        </w:rPr>
      </w:pPr>
      <w:r>
        <w:rPr>
          <w:rFonts w:ascii="Times New Roman" w:cs="Times New Roman" w:eastAsia="Times New Roman" w:hAnsi="Times New Roman"/>
          <w:sz w:val="17"/>
          <w:szCs w:val="17"/>
          <w:color w:val="auto"/>
        </w:rPr>
        <w:t>We may from time to time, without notice to or the consent of the holders of any series of debt securities, create and issue further debt securities of any such series ranking equally with the debt securities of such series in all respects (or in all respects other than (1) the payment of interest accruing prior to the issue date of such further debt securities or (2) the first payment of interest following the issue date of such further debt securities). Such further debt securities may be consolidated and form a single series with the debt securities of such series and have the same terms as to status, redemption or otherwise as the debt securities of such series.</w:t>
      </w:r>
    </w:p>
    <w:p>
      <w:pPr>
        <w:spacing w:after="0" w:line="176" w:lineRule="exact"/>
        <w:rPr>
          <w:sz w:val="20"/>
          <w:szCs w:val="20"/>
          <w:color w:val="auto"/>
        </w:rPr>
      </w:pPr>
    </w:p>
    <w:p>
      <w:pPr>
        <w:jc w:val="both"/>
        <w:ind w:left="440" w:right="80"/>
        <w:spacing w:after="0" w:line="263" w:lineRule="auto"/>
        <w:rPr>
          <w:sz w:val="20"/>
          <w:szCs w:val="20"/>
          <w:color w:val="auto"/>
        </w:rPr>
      </w:pPr>
      <w:r>
        <w:rPr>
          <w:rFonts w:ascii="Times New Roman" w:cs="Times New Roman" w:eastAsia="Times New Roman" w:hAnsi="Times New Roman"/>
          <w:sz w:val="17"/>
          <w:szCs w:val="17"/>
          <w:color w:val="auto"/>
        </w:rPr>
        <w:t>You may present debt securities for exchange and you may present debt securities for transfer in the manner, at the places and subject to the restrictions set forth in the debt securities and the applicable prospectus supplement. We will provide you those services without charge, although you may have to pay any tax or other governmental charge payable in connection with any exchange or transfer, as set forth in the indenture.</w:t>
      </w:r>
    </w:p>
    <w:p>
      <w:pPr>
        <w:spacing w:after="0" w:line="170"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7"/>
          <w:szCs w:val="17"/>
          <w:color w:val="auto"/>
        </w:rPr>
        <w:t>Debt securities may bear interest at a fixed rate or a floating rate. Debt securities bearing no interest or interest at a rate that at the time of issuance is below the prevailing market rate (original issue discount securities) may be sold at a discount below their stated principal amount. U.S. federal income tax considerations applicable to any such discounted debt securities or to certain debt securities issued at par which are treated as having been issued at a discount for U.S. federal income tax purposes will be described in the applicable prospectus supplement.</w:t>
      </w:r>
    </w:p>
    <w:p>
      <w:pPr>
        <w:spacing w:after="0" w:line="11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0780"/>
          </w:cols>
          <w:pgMar w:left="320" w:top="437" w:right="7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right="60"/>
        <w:spacing w:after="0" w:line="254" w:lineRule="auto"/>
        <w:rPr>
          <w:sz w:val="20"/>
          <w:szCs w:val="20"/>
          <w:color w:val="auto"/>
        </w:rPr>
      </w:pPr>
      <w:r>
        <w:rPr>
          <w:rFonts w:ascii="Times New Roman" w:cs="Times New Roman" w:eastAsia="Times New Roman" w:hAnsi="Times New Roman"/>
          <w:sz w:val="17"/>
          <w:szCs w:val="17"/>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related tax considerations will be set forth in the applicable prospectus supplement.</w:t>
      </w: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Certain Terms of the Senior Debt Securities</w:t>
      </w:r>
    </w:p>
    <w:p>
      <w:pPr>
        <w:spacing w:after="0" w:line="109" w:lineRule="exact"/>
        <w:rPr>
          <w:sz w:val="20"/>
          <w:szCs w:val="20"/>
          <w:color w:val="auto"/>
        </w:rPr>
      </w:pPr>
    </w:p>
    <w:p>
      <w:pPr>
        <w:ind w:left="440" w:right="2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Covenants. </w:t>
      </w:r>
      <w:r>
        <w:rPr>
          <w:rFonts w:ascii="Times New Roman" w:cs="Times New Roman" w:eastAsia="Times New Roman" w:hAnsi="Times New Roman"/>
          <w:sz w:val="17"/>
          <w:szCs w:val="17"/>
          <w:color w:val="auto"/>
        </w:rPr>
        <w:t>Unless we indicate otherwise in a prospectus supplement with respect to a particular series of senior debt securities, the senior debt securities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not contain any financial or restrictive covenants, including covenants restricting either us or any of our subsidiaries from incurring, issuing, assuming or guaranteeing any indebtedness secured by a lien on any of our or our subsidiaries’ property or capital stock, or restricting either us or any of our subsidiaries from entering into sale and leaseback transactions.</w:t>
      </w:r>
    </w:p>
    <w:p>
      <w:pPr>
        <w:spacing w:after="0" w:line="168" w:lineRule="exact"/>
        <w:rPr>
          <w:sz w:val="20"/>
          <w:szCs w:val="20"/>
          <w:color w:val="auto"/>
        </w:rPr>
      </w:pPr>
    </w:p>
    <w:p>
      <w:pPr>
        <w:ind w:left="440" w:right="36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Consolidation, Merger and Sale of Assets. </w:t>
      </w:r>
      <w:r>
        <w:rPr>
          <w:rFonts w:ascii="Times New Roman" w:cs="Times New Roman" w:eastAsia="Times New Roman" w:hAnsi="Times New Roman"/>
          <w:sz w:val="17"/>
          <w:szCs w:val="17"/>
          <w:color w:val="auto"/>
        </w:rPr>
        <w:t>Unless we indicate otherwise in a prospectus supplement with respect to a particular series of senior debt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securities, we may not consolidate with or merge into any other person, in a transaction in which we are not the surviving corporation, or convey, transfer or lease our properties and assets substantially as an entirety to any person, in either case, unless:</w:t>
      </w:r>
    </w:p>
    <w:p>
      <w:pPr>
        <w:spacing w:after="0" w:line="77" w:lineRule="exact"/>
        <w:rPr>
          <w:sz w:val="20"/>
          <w:szCs w:val="20"/>
          <w:color w:val="auto"/>
        </w:rPr>
      </w:pPr>
    </w:p>
    <w:p>
      <w:pPr>
        <w:ind w:left="1360" w:hanging="407"/>
        <w:spacing w:after="0"/>
        <w:tabs>
          <w:tab w:leader="none" w:pos="13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successor entity, if any, is a U.S. corporation, limited liability company, partnership or trust;</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successor entity assumes our obligations on the senior debt securities and under the senior indenture;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after giving effect to the transaction, no default or event of default shall have occurred and be continuing; and</w:t>
      </w:r>
    </w:p>
    <w:p>
      <w:pPr>
        <w:spacing w:after="0" w:line="121" w:lineRule="exact"/>
        <w:rPr>
          <w:rFonts w:ascii="Times New Roman" w:cs="Times New Roman" w:eastAsia="Times New Roman" w:hAnsi="Times New Roman"/>
          <w:sz w:val="17"/>
          <w:szCs w:val="17"/>
          <w:color w:val="auto"/>
        </w:rPr>
      </w:pPr>
    </w:p>
    <w:p>
      <w:pPr>
        <w:ind w:left="1360" w:hanging="407"/>
        <w:spacing w:after="0" w:line="258" w:lineRule="auto"/>
        <w:tabs>
          <w:tab w:leader="none" w:pos="136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delivered to the senior trustee an officer’s certificate and an opinion of counsel, each stating that the consolidation, merger, conveyance, transfer or lease and, if a supplemental indenture is required in connection with such transaction, such supplemental indenture, comply with the senior indenture and all conditions precedent provided for in the senior indenture relating to such transaction have been complied with.</w:t>
      </w:r>
    </w:p>
    <w:p>
      <w:pPr>
        <w:spacing w:after="0" w:line="175" w:lineRule="exact"/>
        <w:rPr>
          <w:sz w:val="20"/>
          <w:szCs w:val="20"/>
          <w:color w:val="auto"/>
        </w:rPr>
      </w:pPr>
    </w:p>
    <w:p>
      <w:pPr>
        <w:ind w:left="440" w:right="40"/>
        <w:spacing w:after="0" w:line="263" w:lineRule="auto"/>
        <w:rPr>
          <w:sz w:val="20"/>
          <w:szCs w:val="20"/>
          <w:color w:val="auto"/>
        </w:rPr>
      </w:pPr>
      <w:r>
        <w:rPr>
          <w:rFonts w:ascii="Times New Roman" w:cs="Times New Roman" w:eastAsia="Times New Roman" w:hAnsi="Times New Roman"/>
          <w:sz w:val="17"/>
          <w:szCs w:val="17"/>
          <w:color w:val="auto"/>
        </w:rPr>
        <w:t>The restrictions described in the bullets above do not apply (1) to our consolidation with or merging into one of our affiliates, if our board of directors determines in good faith that the purpose of the consolidation or merger is principally to change our state of incorporation or our form of organization to another form or (2) if we merge with or into a single direct or indirect wholly-owned subsidiary of ours.</w:t>
      </w:r>
    </w:p>
    <w:p>
      <w:pPr>
        <w:spacing w:after="0" w:line="170" w:lineRule="exact"/>
        <w:rPr>
          <w:sz w:val="20"/>
          <w:szCs w:val="20"/>
          <w:color w:val="auto"/>
        </w:rPr>
      </w:pPr>
    </w:p>
    <w:p>
      <w:pPr>
        <w:ind w:left="440" w:right="140"/>
        <w:spacing w:after="0" w:line="277" w:lineRule="auto"/>
        <w:rPr>
          <w:sz w:val="20"/>
          <w:szCs w:val="20"/>
          <w:color w:val="auto"/>
        </w:rPr>
      </w:pPr>
      <w:r>
        <w:rPr>
          <w:rFonts w:ascii="Times New Roman" w:cs="Times New Roman" w:eastAsia="Times New Roman" w:hAnsi="Times New Roman"/>
          <w:sz w:val="17"/>
          <w:szCs w:val="17"/>
          <w:color w:val="auto"/>
        </w:rPr>
        <w:t>The surviving business entity will succeed to, and be substituted for, us under the senior indenture and the senior debt securities and, except in the case of a lease, we shall be released from all obligations under the senior indenture and the senior debt securities.</w:t>
      </w:r>
    </w:p>
    <w:p>
      <w:pPr>
        <w:spacing w:after="0" w:line="154" w:lineRule="exact"/>
        <w:rPr>
          <w:sz w:val="20"/>
          <w:szCs w:val="20"/>
          <w:color w:val="auto"/>
        </w:rPr>
      </w:pPr>
    </w:p>
    <w:p>
      <w:pPr>
        <w:jc w:val="both"/>
        <w:ind w:left="440" w:right="10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No Protection in the Event of a Change in Control. </w:t>
      </w:r>
      <w:r>
        <w:rPr>
          <w:rFonts w:ascii="Times New Roman" w:cs="Times New Roman" w:eastAsia="Times New Roman" w:hAnsi="Times New Roman"/>
          <w:sz w:val="17"/>
          <w:szCs w:val="17"/>
          <w:color w:val="auto"/>
        </w:rPr>
        <w:t>Unless we indicate otherwise in a prospectus supplement with respect to a particular series of senior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debt securities, the senior debt securities will not contain any provisions that may afford holders of the senior debt securities protection in the event we have a change in control or in the event of a highly leveraged transaction (whether or not such transaction results in a change in control).</w:t>
      </w:r>
    </w:p>
    <w:p>
      <w:pPr>
        <w:spacing w:after="0" w:line="10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0800"/>
          </w:cols>
          <w:pgMar w:left="320" w:top="437" w:right="7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40" w:right="6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Events of Default. </w:t>
      </w:r>
      <w:r>
        <w:rPr>
          <w:rFonts w:ascii="Times New Roman" w:cs="Times New Roman" w:eastAsia="Times New Roman" w:hAnsi="Times New Roman"/>
          <w:sz w:val="17"/>
          <w:szCs w:val="17"/>
          <w:color w:val="auto"/>
        </w:rPr>
        <w:t>Unless we indicate otherwise in a prospectus supplement with respect to a particular series of senior debt securities, the following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events of default under the senior indenture with respect to senior debt securities of each series:</w:t>
      </w:r>
    </w:p>
    <w:p>
      <w:pPr>
        <w:spacing w:after="0" w:line="65" w:lineRule="exact"/>
        <w:rPr>
          <w:sz w:val="20"/>
          <w:szCs w:val="20"/>
          <w:color w:val="auto"/>
        </w:rPr>
      </w:pPr>
    </w:p>
    <w:p>
      <w:pPr>
        <w:ind w:left="1360" w:hanging="407"/>
        <w:spacing w:after="0" w:line="277" w:lineRule="auto"/>
        <w:tabs>
          <w:tab w:leader="none" w:pos="1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interest on any senior debt securities of such series when due and payable, if that default continues for a period of 30 days (or such other period as may be specified for such series);</w:t>
      </w:r>
    </w:p>
    <w:p>
      <w:pPr>
        <w:spacing w:after="0" w:line="69" w:lineRule="exact"/>
        <w:rPr>
          <w:rFonts w:ascii="Times New Roman" w:cs="Times New Roman" w:eastAsia="Times New Roman" w:hAnsi="Times New Roman"/>
          <w:sz w:val="17"/>
          <w:szCs w:val="17"/>
          <w:color w:val="auto"/>
        </w:rPr>
      </w:pPr>
    </w:p>
    <w:p>
      <w:pPr>
        <w:ind w:left="1360" w:right="580" w:hanging="407"/>
        <w:spacing w:after="0" w:line="277" w:lineRule="auto"/>
        <w:tabs>
          <w:tab w:leader="none" w:pos="1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pay principal on the senior debt securities of such series when due and payable whether at maturity, upon redemption, by declaration or otherwise (and, if specified for such series, the continuance of such failure for a specified period);</w:t>
      </w:r>
    </w:p>
    <w:p>
      <w:pPr>
        <w:spacing w:after="0" w:line="69" w:lineRule="exact"/>
        <w:rPr>
          <w:rFonts w:ascii="Times New Roman" w:cs="Times New Roman" w:eastAsia="Times New Roman" w:hAnsi="Times New Roman"/>
          <w:sz w:val="17"/>
          <w:szCs w:val="17"/>
          <w:color w:val="auto"/>
        </w:rPr>
      </w:pPr>
    </w:p>
    <w:p>
      <w:pPr>
        <w:ind w:left="1360" w:right="20" w:hanging="407"/>
        <w:spacing w:after="0" w:line="258" w:lineRule="auto"/>
        <w:tabs>
          <w:tab w:leader="none" w:pos="1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performance of or breach of any of our covenants or agreements in the senior indenture applicable to senior debt securities of such series, other than a covenant breach which is specifically dealt with elsewhere in the senior indenture, and that default or breach continues for a period of 90 days after we receive written notice from the trustee or from the holders of 25% or more in aggregate principal amount of the senior debt securities of such series;</w:t>
      </w:r>
    </w:p>
    <w:p>
      <w:pPr>
        <w:spacing w:after="0" w:line="85"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events of bankruptcy or insolvency, whether or not voluntary; and</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other event of default provided for in such series of senior debt securities as may be specified in the applicable prospectus supplement.</w:t>
      </w:r>
    </w:p>
    <w:p>
      <w:pPr>
        <w:spacing w:after="0" w:line="222" w:lineRule="exact"/>
        <w:rPr>
          <w:sz w:val="20"/>
          <w:szCs w:val="20"/>
          <w:color w:val="auto"/>
        </w:rPr>
      </w:pPr>
    </w:p>
    <w:p>
      <w:pPr>
        <w:ind w:left="440" w:right="240"/>
        <w:spacing w:after="0" w:line="277" w:lineRule="auto"/>
        <w:rPr>
          <w:sz w:val="20"/>
          <w:szCs w:val="20"/>
          <w:color w:val="auto"/>
        </w:rPr>
      </w:pPr>
      <w:r>
        <w:rPr>
          <w:rFonts w:ascii="Times New Roman" w:cs="Times New Roman" w:eastAsia="Times New Roman" w:hAnsi="Times New Roman"/>
          <w:sz w:val="17"/>
          <w:szCs w:val="17"/>
          <w:color w:val="auto"/>
        </w:rPr>
        <w:t>Unless we indicate otherwise in a prospectus supplement with respect to a particular series of senior debt securities, the default by us under any other debt, including any other series of our debt securities, is not a default under the senior indenture.</w:t>
      </w:r>
    </w:p>
    <w:p>
      <w:pPr>
        <w:spacing w:after="0" w:line="158" w:lineRule="exact"/>
        <w:rPr>
          <w:sz w:val="20"/>
          <w:szCs w:val="20"/>
          <w:color w:val="auto"/>
        </w:rPr>
      </w:pPr>
    </w:p>
    <w:p>
      <w:pPr>
        <w:ind w:left="440" w:right="60"/>
        <w:spacing w:after="0" w:line="276" w:lineRule="auto"/>
        <w:rPr>
          <w:sz w:val="20"/>
          <w:szCs w:val="20"/>
          <w:color w:val="auto"/>
        </w:rPr>
      </w:pPr>
      <w:r>
        <w:rPr>
          <w:rFonts w:ascii="Times New Roman" w:cs="Times New Roman" w:eastAsia="Times New Roman" w:hAnsi="Times New Roman"/>
          <w:sz w:val="16"/>
          <w:szCs w:val="16"/>
          <w:color w:val="auto"/>
        </w:rPr>
        <w:t>If an event of default other than an event of default specified in the fourth bullet point above occurs with respect to a series of senior debt securities and is continuing under the senior indenture, then, and in each such case, either the trustee or the holders of not less than 25% in aggregate principal amount of such series then outstanding under the senior indenture (each such series voting as a separate class) by written notice to us and to the trustee, if such notice is given by the holders, may, and the trustee at the request of such holders shall, declare the principal amount of and accrued interest on such series of senior debt securities to be immediately due and payable, and upon this declaration, the same shall become immediately due and payable.</w:t>
      </w:r>
    </w:p>
    <w:p>
      <w:pPr>
        <w:spacing w:after="0" w:line="160" w:lineRule="exact"/>
        <w:rPr>
          <w:sz w:val="20"/>
          <w:szCs w:val="20"/>
          <w:color w:val="auto"/>
        </w:rPr>
      </w:pPr>
    </w:p>
    <w:p>
      <w:pPr>
        <w:ind w:left="440" w:right="380"/>
        <w:spacing w:after="0" w:line="277" w:lineRule="auto"/>
        <w:rPr>
          <w:sz w:val="20"/>
          <w:szCs w:val="20"/>
          <w:color w:val="auto"/>
        </w:rPr>
      </w:pPr>
      <w:r>
        <w:rPr>
          <w:rFonts w:ascii="Times New Roman" w:cs="Times New Roman" w:eastAsia="Times New Roman" w:hAnsi="Times New Roman"/>
          <w:sz w:val="17"/>
          <w:szCs w:val="17"/>
          <w:color w:val="auto"/>
        </w:rPr>
        <w:t>If an event of default specified in the fourth bullet point above occurs and is continuing, the entire principal amount of and accrued interest on each series of senior debt securities then outstanding shall automatically become immediately due and payable.</w:t>
      </w:r>
    </w:p>
    <w:p>
      <w:pPr>
        <w:spacing w:after="0" w:line="158" w:lineRule="exact"/>
        <w:rPr>
          <w:sz w:val="20"/>
          <w:szCs w:val="20"/>
          <w:color w:val="auto"/>
        </w:rPr>
      </w:pPr>
    </w:p>
    <w:p>
      <w:pPr>
        <w:ind w:left="440"/>
        <w:spacing w:after="0" w:line="263" w:lineRule="auto"/>
        <w:rPr>
          <w:sz w:val="20"/>
          <w:szCs w:val="20"/>
          <w:color w:val="auto"/>
        </w:rPr>
      </w:pPr>
      <w:r>
        <w:rPr>
          <w:rFonts w:ascii="Times New Roman" w:cs="Times New Roman" w:eastAsia="Times New Roman" w:hAnsi="Times New Roman"/>
          <w:sz w:val="17"/>
          <w:szCs w:val="17"/>
          <w:color w:val="auto"/>
        </w:rPr>
        <w:t>Unless otherwise specified in the prospectus supplement relating to a series of senior debt securities originally issued at a discount, the amount due upon acceleration shall include only the original issue price of the senior debt securities, the amount of original issue discount accrued to the date of acceleration and accrued interest, if any.</w:t>
      </w:r>
    </w:p>
    <w:p>
      <w:pPr>
        <w:spacing w:after="0" w:line="170" w:lineRule="exact"/>
        <w:rPr>
          <w:sz w:val="20"/>
          <w:szCs w:val="20"/>
          <w:color w:val="auto"/>
        </w:rPr>
      </w:pPr>
    </w:p>
    <w:p>
      <w:pPr>
        <w:ind w:left="440" w:right="20"/>
        <w:spacing w:after="0" w:line="252" w:lineRule="auto"/>
        <w:rPr>
          <w:sz w:val="20"/>
          <w:szCs w:val="20"/>
          <w:color w:val="auto"/>
        </w:rPr>
      </w:pPr>
      <w:r>
        <w:rPr>
          <w:rFonts w:ascii="Times New Roman" w:cs="Times New Roman" w:eastAsia="Times New Roman" w:hAnsi="Times New Roman"/>
          <w:sz w:val="17"/>
          <w:szCs w:val="17"/>
          <w:color w:val="auto"/>
        </w:rPr>
        <w:t>Upon certain conditions, declarations of acceleration may be rescinded and annulled and past defaults may be waived by the holders of a majority in aggregate principal amount of all the senior debt securities of such series affected by the default, each series voting as a separate class. Furthermore, subject to various provisions in the senior indenture, the holders of a majority in aggregate principal amount of a series of senior debt securities, by notice to the trustee, may waive a continuing default or event of default with respect to such senior debt securities and its consequences, except a default in the payment of principal of or interest on such senior debt securities (other than any such default in payment resulting solely from an acceleration of the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w:t>
      </w:r>
    </w:p>
    <w:p>
      <w:pPr>
        <w:spacing w:after="0" w:line="1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0780"/>
          </w:cols>
          <w:pgMar w:left="320" w:top="437" w:right="7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right="100"/>
        <w:spacing w:after="0" w:line="273" w:lineRule="auto"/>
        <w:rPr>
          <w:sz w:val="20"/>
          <w:szCs w:val="20"/>
          <w:color w:val="auto"/>
        </w:rPr>
      </w:pPr>
      <w:r>
        <w:rPr>
          <w:rFonts w:ascii="Times New Roman" w:cs="Times New Roman" w:eastAsia="Times New Roman" w:hAnsi="Times New Roman"/>
          <w:sz w:val="16"/>
          <w:szCs w:val="16"/>
          <w:color w:val="auto"/>
        </w:rPr>
        <w:t>The holders of a majority in aggregate principal amount of a series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may be unduly prejudicial to the rights of holders of such series of senior debt securities not joining in the giving of such direction and may take any other action it deems proper that is not inconsistent with any such direction received from holders of such series of senior debt securities. A holder may not pursue any remedy with respect to the senior indenture or any series of senior debt securities unless:</w:t>
      </w:r>
    </w:p>
    <w:p>
      <w:pPr>
        <w:spacing w:after="0" w:line="77" w:lineRule="exact"/>
        <w:rPr>
          <w:sz w:val="20"/>
          <w:szCs w:val="20"/>
          <w:color w:val="auto"/>
        </w:rPr>
      </w:pPr>
    </w:p>
    <w:p>
      <w:pPr>
        <w:ind w:left="1360" w:hanging="407"/>
        <w:spacing w:after="0"/>
        <w:tabs>
          <w:tab w:leader="none" w:pos="13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gives the trustee written notice of a continuing event of default;</w:t>
      </w:r>
    </w:p>
    <w:p>
      <w:pPr>
        <w:spacing w:after="0" w:line="121" w:lineRule="exact"/>
        <w:rPr>
          <w:rFonts w:ascii="Times New Roman" w:cs="Times New Roman" w:eastAsia="Times New Roman" w:hAnsi="Times New Roman"/>
          <w:sz w:val="17"/>
          <w:szCs w:val="17"/>
          <w:color w:val="auto"/>
        </w:rPr>
      </w:pPr>
    </w:p>
    <w:p>
      <w:pPr>
        <w:ind w:left="1360" w:right="240" w:hanging="407"/>
        <w:spacing w:after="0" w:line="277" w:lineRule="auto"/>
        <w:tabs>
          <w:tab w:leader="none" w:pos="13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of at least 25% in aggregate principal amount of such series of senior debt securities make a written request to the trustee to pursue the remedy in respect of such event of default;</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requesting holder or holders offer the trustee indemnity satisfactory to the trustee against any costs, liability or expense;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does not comply with the request within 60 days after receipt of the request and the offer of indemnity; and</w:t>
      </w:r>
    </w:p>
    <w:p>
      <w:pPr>
        <w:spacing w:after="0" w:line="121" w:lineRule="exact"/>
        <w:rPr>
          <w:rFonts w:ascii="Times New Roman" w:cs="Times New Roman" w:eastAsia="Times New Roman" w:hAnsi="Times New Roman"/>
          <w:sz w:val="17"/>
          <w:szCs w:val="17"/>
          <w:color w:val="auto"/>
        </w:rPr>
      </w:pPr>
    </w:p>
    <w:p>
      <w:pPr>
        <w:ind w:left="1360" w:right="140" w:hanging="407"/>
        <w:spacing w:after="0" w:line="277" w:lineRule="auto"/>
        <w:tabs>
          <w:tab w:leader="none" w:pos="13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such 60-day period, the holders of a majority in aggregate principal amount of such series of senior debt securities do not give the trustee a direction that is inconsistent with the request.</w:t>
      </w:r>
    </w:p>
    <w:p>
      <w:pPr>
        <w:spacing w:after="0" w:line="158" w:lineRule="exact"/>
        <w:rPr>
          <w:sz w:val="20"/>
          <w:szCs w:val="20"/>
          <w:color w:val="auto"/>
        </w:rPr>
      </w:pPr>
    </w:p>
    <w:p>
      <w:pPr>
        <w:ind w:left="440" w:right="80"/>
        <w:spacing w:after="0" w:line="258" w:lineRule="auto"/>
        <w:rPr>
          <w:sz w:val="20"/>
          <w:szCs w:val="20"/>
          <w:color w:val="auto"/>
        </w:rPr>
      </w:pPr>
      <w:r>
        <w:rPr>
          <w:rFonts w:ascii="Times New Roman" w:cs="Times New Roman" w:eastAsia="Times New Roman" w:hAnsi="Times New Roman"/>
          <w:sz w:val="17"/>
          <w:szCs w:val="17"/>
          <w:color w:val="auto"/>
        </w:rPr>
        <w:t>These limitations, however, do not apply to the right of any holder of a senior debt security of any affected series to receive payment of the principal of and interest on such senior debt security in accordance with the terms of such debt security, or to bring suit for the enforcement of any such payment in accordance with the terms of such debt security, on or after the due date for the senior debt securities, which right shall not be impaired or affected without the consent of the holder.</w:t>
      </w:r>
    </w:p>
    <w:p>
      <w:pPr>
        <w:spacing w:after="0" w:line="175" w:lineRule="exact"/>
        <w:rPr>
          <w:sz w:val="20"/>
          <w:szCs w:val="20"/>
          <w:color w:val="auto"/>
        </w:rPr>
      </w:pPr>
    </w:p>
    <w:p>
      <w:pPr>
        <w:ind w:left="440" w:right="80"/>
        <w:spacing w:after="0" w:line="277" w:lineRule="auto"/>
        <w:rPr>
          <w:sz w:val="20"/>
          <w:szCs w:val="20"/>
          <w:color w:val="auto"/>
        </w:rPr>
      </w:pPr>
      <w:r>
        <w:rPr>
          <w:rFonts w:ascii="Times New Roman" w:cs="Times New Roman" w:eastAsia="Times New Roman" w:hAnsi="Times New Roman"/>
          <w:sz w:val="17"/>
          <w:szCs w:val="17"/>
          <w:color w:val="auto"/>
        </w:rPr>
        <w:t>The senior indenture requires certain of our officers to certify, on or before a fixed date in each year in which any senior debt security is outstanding, as to their knowledge of our compliance with all covenants, agreements and conditions under the senior indenture.</w:t>
      </w:r>
    </w:p>
    <w:p>
      <w:pPr>
        <w:spacing w:after="0" w:line="1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Satisfaction and Discharge</w:t>
      </w:r>
      <w:r>
        <w:rPr>
          <w:rFonts w:ascii="Times New Roman" w:cs="Times New Roman" w:eastAsia="Times New Roman" w:hAnsi="Times New Roman"/>
          <w:sz w:val="17"/>
          <w:szCs w:val="17"/>
          <w:color w:val="auto"/>
        </w:rPr>
        <w:t>. We can satisfy and discharge our obligations to holders of any series of debt securities if:</w:t>
      </w:r>
    </w:p>
    <w:p>
      <w:pPr>
        <w:spacing w:after="0" w:line="126" w:lineRule="exact"/>
        <w:rPr>
          <w:sz w:val="20"/>
          <w:szCs w:val="20"/>
          <w:color w:val="auto"/>
        </w:rPr>
      </w:pPr>
    </w:p>
    <w:p>
      <w:pPr>
        <w:ind w:left="1360" w:right="100" w:hanging="407"/>
        <w:spacing w:after="0" w:line="277" w:lineRule="auto"/>
        <w:tabs>
          <w:tab w:leader="none" w:pos="1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paid or caused to be paid the principal of and interest on all senior debt securities of such series (with certain limited exceptions) when due and payable; or</w:t>
      </w:r>
    </w:p>
    <w:p>
      <w:pPr>
        <w:spacing w:after="0" w:line="69" w:lineRule="exact"/>
        <w:rPr>
          <w:rFonts w:ascii="Times New Roman" w:cs="Times New Roman" w:eastAsia="Times New Roman" w:hAnsi="Times New Roman"/>
          <w:sz w:val="17"/>
          <w:szCs w:val="17"/>
          <w:color w:val="auto"/>
        </w:rPr>
      </w:pPr>
    </w:p>
    <w:p>
      <w:pPr>
        <w:ind w:left="1360" w:right="40" w:hanging="407"/>
        <w:spacing w:after="0" w:line="277" w:lineRule="auto"/>
        <w:tabs>
          <w:tab w:leader="none" w:pos="1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senior trustee for cancellation all senior debt securities of such series theretofore authenticated under the senior indenture (with certain limited exceptions); or</w:t>
      </w:r>
    </w:p>
    <w:p>
      <w:pPr>
        <w:spacing w:after="0" w:line="69" w:lineRule="exact"/>
        <w:rPr>
          <w:rFonts w:ascii="Times New Roman" w:cs="Times New Roman" w:eastAsia="Times New Roman" w:hAnsi="Times New Roman"/>
          <w:sz w:val="17"/>
          <w:szCs w:val="17"/>
          <w:color w:val="auto"/>
        </w:rPr>
      </w:pPr>
    </w:p>
    <w:p>
      <w:pPr>
        <w:ind w:left="1360" w:hanging="407"/>
        <w:spacing w:after="0" w:line="256" w:lineRule="auto"/>
        <w:tabs>
          <w:tab w:leader="none" w:pos="13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senior debt securities of such series have become due and payable or will become due and payable within one year (or are to be called for redemption within one year under arrangements satisfactory to the senior trustee) and we deposit in trust an amount of cash or a combination of cash and U.S. government or U.S. government agency obligations (or in the case of senior debt securities denominated in a foreign currency, foreign government securities or foreign government agency securities) sufficient to make interest, principal and any other payments on the debt securities of that series on their various due dates;</w:t>
      </w:r>
    </w:p>
    <w:p>
      <w:pPr>
        <w:spacing w:after="0" w:line="176" w:lineRule="exact"/>
        <w:rPr>
          <w:sz w:val="20"/>
          <w:szCs w:val="20"/>
          <w:color w:val="auto"/>
        </w:rPr>
      </w:pPr>
    </w:p>
    <w:p>
      <w:pPr>
        <w:ind w:left="440" w:right="360"/>
        <w:spacing w:after="0" w:line="310" w:lineRule="auto"/>
        <w:rPr>
          <w:sz w:val="20"/>
          <w:szCs w:val="20"/>
          <w:color w:val="auto"/>
        </w:rPr>
      </w:pPr>
      <w:r>
        <w:rPr>
          <w:rFonts w:ascii="Times New Roman" w:cs="Times New Roman" w:eastAsia="Times New Roman" w:hAnsi="Times New Roman"/>
          <w:sz w:val="16"/>
          <w:szCs w:val="16"/>
          <w:color w:val="auto"/>
        </w:rPr>
        <w:t>and if, in any such case, we also pay or cause to be paid all other sums payable under the senior indenture, as and when the same shall be due and payable and we deliver to the senior trustee an officer’s certificate and an opinion of counsel, each stating that these conditions have been satisfied.</w:t>
      </w:r>
    </w:p>
    <w:p>
      <w:pPr>
        <w:spacing w:after="0" w:line="134" w:lineRule="exact"/>
        <w:rPr>
          <w:sz w:val="20"/>
          <w:szCs w:val="20"/>
          <w:color w:val="auto"/>
        </w:rPr>
      </w:pPr>
    </w:p>
    <w:p>
      <w:pPr>
        <w:ind w:left="440" w:right="60"/>
        <w:spacing w:after="0" w:line="277" w:lineRule="auto"/>
        <w:rPr>
          <w:sz w:val="20"/>
          <w:szCs w:val="20"/>
          <w:color w:val="auto"/>
        </w:rPr>
      </w:pPr>
      <w:r>
        <w:rPr>
          <w:rFonts w:ascii="Times New Roman" w:cs="Times New Roman" w:eastAsia="Times New Roman" w:hAnsi="Times New Roman"/>
          <w:sz w:val="17"/>
          <w:szCs w:val="17"/>
          <w:color w:val="auto"/>
        </w:rPr>
        <w:t>Under current U.S. federal income tax law, the deposit and our legal release from the debt securities would be treated as though we took back your debt securities and gave you your share of the cash and debt securities or</w:t>
      </w:r>
    </w:p>
    <w:p>
      <w:pPr>
        <w:spacing w:after="0" w:line="95"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0760"/>
          </w:cols>
          <w:pgMar w:left="320" w:top="437" w:right="8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right="220"/>
        <w:spacing w:after="0" w:line="263" w:lineRule="auto"/>
        <w:rPr>
          <w:sz w:val="20"/>
          <w:szCs w:val="20"/>
          <w:color w:val="auto"/>
        </w:rPr>
      </w:pPr>
      <w:r>
        <w:rPr>
          <w:rFonts w:ascii="Times New Roman" w:cs="Times New Roman" w:eastAsia="Times New Roman" w:hAnsi="Times New Roman"/>
          <w:sz w:val="17"/>
          <w:szCs w:val="17"/>
          <w:color w:val="auto"/>
        </w:rPr>
        <w:t>bonds deposited in trust. In that event, you could recognize gain or loss on the debt securities you give back to us. Purchasers of the debt securities should consult their own advisers with respect to the tax consequences to them of such deposit and discharge, including the applicability and effect of tax laws other than the U.S. federal income tax law.</w:t>
      </w:r>
    </w:p>
    <w:p>
      <w:pPr>
        <w:spacing w:after="0" w:line="166"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Defeasance. </w:t>
      </w:r>
      <w:r>
        <w:rPr>
          <w:rFonts w:ascii="Times New Roman" w:cs="Times New Roman" w:eastAsia="Times New Roman" w:hAnsi="Times New Roman"/>
          <w:sz w:val="17"/>
          <w:szCs w:val="17"/>
          <w:color w:val="auto"/>
        </w:rPr>
        <w:t>Unless the applicable prospectus supplement provides otherwise, the following discussion of legal defeasance and covenant defeasance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apply to any series of debt securities issued under the indentures.</w:t>
      </w:r>
    </w:p>
    <w:p>
      <w:pPr>
        <w:spacing w:after="0" w:line="150" w:lineRule="exact"/>
        <w:rPr>
          <w:sz w:val="20"/>
          <w:szCs w:val="20"/>
          <w:color w:val="auto"/>
        </w:rPr>
      </w:pPr>
    </w:p>
    <w:p>
      <w:pPr>
        <w:ind w:left="440" w:right="860"/>
        <w:spacing w:after="0" w:line="282" w:lineRule="auto"/>
        <w:rPr>
          <w:sz w:val="20"/>
          <w:szCs w:val="20"/>
          <w:color w:val="auto"/>
        </w:rPr>
      </w:pPr>
      <w:r>
        <w:rPr>
          <w:rFonts w:ascii="Times New Roman" w:cs="Times New Roman" w:eastAsia="Times New Roman" w:hAnsi="Times New Roman"/>
          <w:sz w:val="17"/>
          <w:szCs w:val="17"/>
          <w:i w:val="1"/>
          <w:iCs w:val="1"/>
          <w:color w:val="auto"/>
        </w:rPr>
        <w:t>Legal Defeasance</w:t>
      </w:r>
      <w:r>
        <w:rPr>
          <w:rFonts w:ascii="Times New Roman" w:cs="Times New Roman" w:eastAsia="Times New Roman" w:hAnsi="Times New Roman"/>
          <w:sz w:val="17"/>
          <w:szCs w:val="17"/>
          <w:color w:val="auto"/>
        </w:rPr>
        <w:t>. We can legally release ourselves from any payment or other obligations on the debt securities of any series (called “legal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defeasance”) if certain conditions are met, including the following:</w:t>
      </w:r>
    </w:p>
    <w:p>
      <w:pPr>
        <w:spacing w:after="0" w:line="65" w:lineRule="exact"/>
        <w:rPr>
          <w:sz w:val="20"/>
          <w:szCs w:val="20"/>
          <w:color w:val="auto"/>
        </w:rPr>
      </w:pPr>
    </w:p>
    <w:p>
      <w:pPr>
        <w:ind w:left="1360" w:hanging="407"/>
        <w:spacing w:after="0" w:line="258" w:lineRule="auto"/>
        <w:tabs>
          <w:tab w:leader="none" w:pos="13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5" w:lineRule="exact"/>
        <w:rPr>
          <w:rFonts w:ascii="Times New Roman" w:cs="Times New Roman" w:eastAsia="Times New Roman" w:hAnsi="Times New Roman"/>
          <w:sz w:val="17"/>
          <w:szCs w:val="17"/>
          <w:color w:val="auto"/>
        </w:rPr>
      </w:pPr>
    </w:p>
    <w:p>
      <w:pPr>
        <w:ind w:left="1360" w:right="160" w:hanging="407"/>
        <w:spacing w:after="0" w:line="256" w:lineRule="auto"/>
        <w:tabs>
          <w:tab w:leader="none" w:pos="13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change in current U.S. federal income tax law or an IRS ruling that lets us make the above deposit without causing you to be taxed on the debt securities any differently than if we did not make the deposit and instead repaid the debt securities ourselves when due. Under current U.S. federal income tax law, the deposit and our legal release from the debt securities would be treated as though we took back your debt securities and gave you your share of the cash and debt securities or bonds deposited in trust. In that event, you could recognize gain or loss on the debt securities you give back to us.</w:t>
      </w:r>
    </w:p>
    <w:p>
      <w:pPr>
        <w:spacing w:after="0" w:line="86"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deliver to the trustee a legal opinion of our counsel confirming the tax law change or ruling described above.</w:t>
      </w:r>
    </w:p>
    <w:p>
      <w:pPr>
        <w:spacing w:after="0" w:line="211" w:lineRule="exact"/>
        <w:rPr>
          <w:sz w:val="20"/>
          <w:szCs w:val="20"/>
          <w:color w:val="auto"/>
        </w:rPr>
      </w:pPr>
    </w:p>
    <w:p>
      <w:pPr>
        <w:ind w:left="440"/>
        <w:spacing w:after="0" w:line="277" w:lineRule="auto"/>
        <w:rPr>
          <w:sz w:val="20"/>
          <w:szCs w:val="20"/>
          <w:color w:val="auto"/>
        </w:rPr>
      </w:pPr>
      <w:r>
        <w:rPr>
          <w:rFonts w:ascii="Times New Roman" w:cs="Times New Roman" w:eastAsia="Times New Roman" w:hAnsi="Times New Roman"/>
          <w:sz w:val="17"/>
          <w:szCs w:val="17"/>
          <w:color w:val="auto"/>
        </w:rPr>
        <w:t>If we accomplish legal defeasance, as described above, you would have to rely solely on the trust deposit for repayment of the debt securities. You could not look to us for repayment in the event of any shortfall.</w:t>
      </w:r>
    </w:p>
    <w:p>
      <w:pPr>
        <w:spacing w:after="0" w:line="154" w:lineRule="exact"/>
        <w:rPr>
          <w:sz w:val="20"/>
          <w:szCs w:val="20"/>
          <w:color w:val="auto"/>
        </w:rPr>
      </w:pPr>
    </w:p>
    <w:p>
      <w:pPr>
        <w:ind w:left="440"/>
        <w:spacing w:after="0" w:line="260" w:lineRule="auto"/>
        <w:rPr>
          <w:sz w:val="20"/>
          <w:szCs w:val="20"/>
          <w:color w:val="auto"/>
        </w:rPr>
      </w:pPr>
      <w:r>
        <w:rPr>
          <w:rFonts w:ascii="Times New Roman" w:cs="Times New Roman" w:eastAsia="Times New Roman" w:hAnsi="Times New Roman"/>
          <w:sz w:val="17"/>
          <w:szCs w:val="17"/>
          <w:i w:val="1"/>
          <w:iCs w:val="1"/>
          <w:color w:val="auto"/>
        </w:rPr>
        <w:t>Covenant Defeasance</w:t>
      </w:r>
      <w:r>
        <w:rPr>
          <w:rFonts w:ascii="Times New Roman" w:cs="Times New Roman" w:eastAsia="Times New Roman" w:hAnsi="Times New Roman"/>
          <w:sz w:val="17"/>
          <w:szCs w:val="17"/>
          <w:color w:val="auto"/>
        </w:rPr>
        <w:t>. Without any change in current U.S. federal tax law, we can make the same type of deposit described above and be released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some of the covenants in the debt securities (called “covenant defeasance”). In that event, you would lose the protection of those covenants but would gain the protection of having money and securities set aside in trust to repay the debt securities. In order to achieve covenant defeasance, we must do the following (among other things):</w:t>
      </w:r>
    </w:p>
    <w:p>
      <w:pPr>
        <w:spacing w:after="0" w:line="83" w:lineRule="exact"/>
        <w:rPr>
          <w:sz w:val="20"/>
          <w:szCs w:val="20"/>
          <w:color w:val="auto"/>
        </w:rPr>
      </w:pPr>
    </w:p>
    <w:p>
      <w:pPr>
        <w:ind w:left="1360" w:hanging="407"/>
        <w:spacing w:after="0" w:line="258" w:lineRule="auto"/>
        <w:tabs>
          <w:tab w:leader="none" w:pos="13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in trust for your benefit and the benefit of all other direct holders of the debt securities of the same series cash or a combination of cash and U.S. government or U.S. government agency obligations (or, in the case of senior debt securities denominated in a foreign currency, foreign government or foreign government agency obligations) that will generate enough cash to make interest, principal and any other payments on the debt securities of that series on their various due dates.</w:t>
      </w:r>
    </w:p>
    <w:p>
      <w:pPr>
        <w:spacing w:after="0" w:line="85" w:lineRule="exact"/>
        <w:rPr>
          <w:rFonts w:ascii="Times New Roman" w:cs="Times New Roman" w:eastAsia="Times New Roman" w:hAnsi="Times New Roman"/>
          <w:sz w:val="17"/>
          <w:szCs w:val="17"/>
          <w:color w:val="auto"/>
        </w:rPr>
      </w:pPr>
    </w:p>
    <w:p>
      <w:pPr>
        <w:jc w:val="both"/>
        <w:ind w:left="1360" w:right="280" w:hanging="407"/>
        <w:spacing w:after="0" w:line="263" w:lineRule="auto"/>
        <w:tabs>
          <w:tab w:leader="none" w:pos="13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 to the trustee a legal opinion of our counsel confirming that under current U.S. federal income tax law we may make the above deposit without causing you to be taxed on the debt securities any differently than if we did not make the deposit and instead repaid the debt securities ourselves when due.</w:t>
      </w:r>
    </w:p>
    <w:p>
      <w:pPr>
        <w:spacing w:after="0" w:line="170" w:lineRule="exact"/>
        <w:rPr>
          <w:sz w:val="20"/>
          <w:szCs w:val="20"/>
          <w:color w:val="auto"/>
        </w:rPr>
      </w:pPr>
    </w:p>
    <w:p>
      <w:pPr>
        <w:ind w:left="440" w:right="40"/>
        <w:spacing w:after="0" w:line="263" w:lineRule="auto"/>
        <w:rPr>
          <w:sz w:val="20"/>
          <w:szCs w:val="20"/>
          <w:color w:val="auto"/>
        </w:rPr>
      </w:pPr>
      <w:r>
        <w:rPr>
          <w:rFonts w:ascii="Times New Roman" w:cs="Times New Roman" w:eastAsia="Times New Roman" w:hAnsi="Times New Roman"/>
          <w:sz w:val="17"/>
          <w:szCs w:val="17"/>
          <w:color w:val="auto"/>
        </w:rPr>
        <w:t>If we accomplish covenant defeasance, you could still look to us for repayment of the debt securities if there were a shortfall in the trust deposit. In fact, if one of the events of default occurred (such as our bankruptcy) and the debt securities become immediately due and payable, there may be such a shortfall. Depending on the events causing the default, you may not be able to obtain payment of the shortfall.</w:t>
      </w:r>
    </w:p>
    <w:p>
      <w:pPr>
        <w:spacing w:after="0" w:line="10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0780"/>
          </w:cols>
          <w:pgMar w:left="320" w:top="437" w:right="7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40" w:right="50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Modification and Waiver. </w:t>
      </w:r>
      <w:r>
        <w:rPr>
          <w:rFonts w:ascii="Times New Roman" w:cs="Times New Roman" w:eastAsia="Times New Roman" w:hAnsi="Times New Roman"/>
          <w:sz w:val="17"/>
          <w:szCs w:val="17"/>
          <w:color w:val="auto"/>
        </w:rPr>
        <w:t>We and the trustee may amend or supplement the senior indenture or the senior debt securities of any series without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consent of any holder:</w:t>
      </w:r>
    </w:p>
    <w:p>
      <w:pPr>
        <w:spacing w:after="0" w:line="65" w:lineRule="exact"/>
        <w:rPr>
          <w:sz w:val="20"/>
          <w:szCs w:val="20"/>
          <w:color w:val="auto"/>
        </w:rPr>
      </w:pPr>
    </w:p>
    <w:p>
      <w:pPr>
        <w:ind w:left="1360" w:hanging="407"/>
        <w:spacing w:after="0"/>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convey, transfer, assign, mortgage or pledge any assets as security for the senior debt securities of one or more series;</w:t>
      </w:r>
    </w:p>
    <w:p>
      <w:pPr>
        <w:spacing w:after="0" w:line="121" w:lineRule="exact"/>
        <w:rPr>
          <w:rFonts w:ascii="Times New Roman" w:cs="Times New Roman" w:eastAsia="Times New Roman" w:hAnsi="Times New Roman"/>
          <w:sz w:val="17"/>
          <w:szCs w:val="17"/>
          <w:color w:val="auto"/>
        </w:rPr>
      </w:pPr>
    </w:p>
    <w:p>
      <w:pPr>
        <w:ind w:left="1360" w:right="160" w:hanging="407"/>
        <w:spacing w:after="0" w:line="263" w:lineRule="auto"/>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the succession of a corporation, limited liability company, partnership or trust to us, and the assumption by such successor of our covenants, agreements and obligations under the senior indenture or to otherwise comply with the covenant relating to mergers, consolidations and sales of assets;</w:t>
      </w:r>
    </w:p>
    <w:p>
      <w:pPr>
        <w:spacing w:after="0" w:line="80" w:lineRule="exact"/>
        <w:rPr>
          <w:rFonts w:ascii="Times New Roman" w:cs="Times New Roman" w:eastAsia="Times New Roman" w:hAnsi="Times New Roman"/>
          <w:sz w:val="17"/>
          <w:szCs w:val="17"/>
          <w:color w:val="auto"/>
        </w:rPr>
      </w:pPr>
    </w:p>
    <w:p>
      <w:pPr>
        <w:ind w:left="1360" w:right="660" w:hanging="407"/>
        <w:spacing w:after="0" w:line="277" w:lineRule="auto"/>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comply with the requirements of the SEC in order to effect or maintain the qualification of the senior indenture under the Trust Indenture Act of 1939, as amended, or the Trust Indenture Act;</w:t>
      </w:r>
    </w:p>
    <w:p>
      <w:pPr>
        <w:spacing w:after="0" w:line="69" w:lineRule="exact"/>
        <w:rPr>
          <w:rFonts w:ascii="Times New Roman" w:cs="Times New Roman" w:eastAsia="Times New Roman" w:hAnsi="Times New Roman"/>
          <w:sz w:val="17"/>
          <w:szCs w:val="17"/>
          <w:color w:val="auto"/>
        </w:rPr>
      </w:pPr>
    </w:p>
    <w:p>
      <w:pPr>
        <w:ind w:left="1360" w:hanging="407"/>
        <w:spacing w:after="0" w:line="263" w:lineRule="auto"/>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our covenants such new covenants, restrictions, conditions or provisions for the protection of the holders, and to make the occurrence, or the occurrence and continuance, of a default in any such additional covenants, restrictions, conditions or provisions an event of default;</w:t>
      </w:r>
    </w:p>
    <w:p>
      <w:pPr>
        <w:spacing w:after="0" w:line="80" w:lineRule="exact"/>
        <w:rPr>
          <w:rFonts w:ascii="Times New Roman" w:cs="Times New Roman" w:eastAsia="Times New Roman" w:hAnsi="Times New Roman"/>
          <w:sz w:val="17"/>
          <w:szCs w:val="17"/>
          <w:color w:val="auto"/>
        </w:rPr>
      </w:pPr>
    </w:p>
    <w:p>
      <w:pPr>
        <w:ind w:left="1360" w:right="120" w:hanging="407"/>
        <w:spacing w:after="0" w:line="263" w:lineRule="auto"/>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defect or inconsistency in the senior indenture or in any supplemental indenture or to conform the senior indenture or the senior debt securities to the description of senior debt securities of such series set forth in this prospectus or any applicable prospectus supplement;</w:t>
      </w:r>
    </w:p>
    <w:p>
      <w:pPr>
        <w:spacing w:after="0" w:line="80"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for or add guarantors with respect to the senior debt securities of any series;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establish the form or forms or terms of the senior debt securities as permitted by the senior indenture;</w:t>
      </w:r>
    </w:p>
    <w:p>
      <w:pPr>
        <w:spacing w:after="0" w:line="121" w:lineRule="exact"/>
        <w:rPr>
          <w:rFonts w:ascii="Times New Roman" w:cs="Times New Roman" w:eastAsia="Times New Roman" w:hAnsi="Times New Roman"/>
          <w:sz w:val="17"/>
          <w:szCs w:val="17"/>
          <w:color w:val="auto"/>
        </w:rPr>
      </w:pPr>
    </w:p>
    <w:p>
      <w:pPr>
        <w:ind w:left="1360" w:right="200" w:hanging="407"/>
        <w:spacing w:after="0" w:line="277" w:lineRule="auto"/>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evidence and provide for the acceptance of appointment under the senior indenture by a successor trustee, or to make such changes as shall be necessary to provide for or facilitate the administration of the trusts in the senior indenture by more than one trustee;</w:t>
      </w:r>
    </w:p>
    <w:p>
      <w:pPr>
        <w:spacing w:after="0" w:line="69" w:lineRule="exact"/>
        <w:rPr>
          <w:rFonts w:ascii="Times New Roman" w:cs="Times New Roman" w:eastAsia="Times New Roman" w:hAnsi="Times New Roman"/>
          <w:sz w:val="17"/>
          <w:szCs w:val="17"/>
          <w:color w:val="auto"/>
        </w:rPr>
      </w:pPr>
    </w:p>
    <w:p>
      <w:pPr>
        <w:ind w:left="1360" w:right="160" w:hanging="407"/>
        <w:spacing w:after="0" w:line="256" w:lineRule="auto"/>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add to, change or eliminate any of the provisions of the senior indenture in respect of one or more series of senior debt securities, provided that any such addition, change or elimination shall (a) neither (1) apply to any senior debt security of any series created prior to the execution of such supplemental indenture and entitled to the benefit of such provision nor (2) modify the rights of the holder of any such senior debt security with respect to such provision or (b) become effective only when there is no senior debt security described in clause (a)(1) outstanding;</w:t>
      </w:r>
    </w:p>
    <w:p>
      <w:pPr>
        <w:spacing w:after="0" w:line="86"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to the senior debt securities of any series so long as no senior debt securities of such series are outstanding; or</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make any change that does not adversely affect the rights of any holder in any material respect.</w:t>
      </w:r>
    </w:p>
    <w:p>
      <w:pPr>
        <w:spacing w:after="0" w:line="211"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7"/>
          <w:szCs w:val="17"/>
          <w:color w:val="auto"/>
        </w:rPr>
        <w:t>Other amendments and modifications of the senior indenture or the senior debt securities issued may be made, and our compliance with any provision of the senior indenture with respect to any series of senior debt securities may be waived, with the consent of the holders of a majority of the aggregate principal amount of the outstanding senior debt securities of each series affected by the amendment or modification (voting as separate series); provided, however, that each affected holder must consent to any modification, amendment or waiver that:</w:t>
      </w:r>
    </w:p>
    <w:p>
      <w:pPr>
        <w:spacing w:after="0" w:line="86" w:lineRule="exact"/>
        <w:rPr>
          <w:sz w:val="20"/>
          <w:szCs w:val="20"/>
          <w:color w:val="auto"/>
        </w:rPr>
      </w:pPr>
    </w:p>
    <w:p>
      <w:pPr>
        <w:ind w:left="1360" w:hanging="407"/>
        <w:spacing w:after="0"/>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extends the final maturity of any senior debt securities of such series;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reduces the principal amount of any senior debt securities of such series;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reduces the rate, or extends the time for payment of, interest on any senior debt securities of such series;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reduces the amount payable upon the redemption of any senior debt securities of such series;</w:t>
      </w:r>
    </w:p>
    <w:p>
      <w:pPr>
        <w:spacing w:after="0" w:line="121" w:lineRule="exact"/>
        <w:rPr>
          <w:rFonts w:ascii="Times New Roman" w:cs="Times New Roman" w:eastAsia="Times New Roman" w:hAnsi="Times New Roman"/>
          <w:sz w:val="17"/>
          <w:szCs w:val="17"/>
          <w:color w:val="auto"/>
        </w:rPr>
      </w:pPr>
    </w:p>
    <w:p>
      <w:pPr>
        <w:ind w:left="5540" w:right="2480" w:hanging="4587"/>
        <w:spacing w:after="0" w:line="449" w:lineRule="auto"/>
        <w:tabs>
          <w:tab w:leader="none" w:pos="136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the currency of payment of principal of or interest on any senior debt securities of such series; 14</w:t>
      </w:r>
    </w:p>
    <w:p>
      <w:pPr>
        <w:sectPr>
          <w:pgSz w:w="11900" w:h="16838" w:orient="portrait"/>
          <w:cols w:equalWidth="0" w:num="1">
            <w:col w:w="10780"/>
          </w:cols>
          <w:pgMar w:left="320" w:top="437" w:right="7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1360" w:right="660" w:hanging="407"/>
        <w:spacing w:after="0" w:line="277" w:lineRule="auto"/>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reduces the principal amount of original issue discount securities payable upon acceleration of maturity or the amount provable in bankruptcy;</w:t>
      </w:r>
    </w:p>
    <w:p>
      <w:pPr>
        <w:spacing w:after="0" w:line="69" w:lineRule="exact"/>
        <w:rPr>
          <w:rFonts w:ascii="Times New Roman" w:cs="Times New Roman" w:eastAsia="Times New Roman" w:hAnsi="Times New Roman"/>
          <w:sz w:val="17"/>
          <w:szCs w:val="17"/>
          <w:color w:val="auto"/>
        </w:rPr>
      </w:pPr>
    </w:p>
    <w:p>
      <w:pPr>
        <w:ind w:left="1360" w:right="140" w:hanging="407"/>
        <w:spacing w:after="0" w:line="277" w:lineRule="auto"/>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waives a continuing default in the payment of principal of or interest on the senior debt securities (other than any such default in payment resulting solely from an acceleration of the senior debt securities);</w:t>
      </w:r>
    </w:p>
    <w:p>
      <w:pPr>
        <w:spacing w:after="0" w:line="69" w:lineRule="exact"/>
        <w:rPr>
          <w:rFonts w:ascii="Times New Roman" w:cs="Times New Roman" w:eastAsia="Times New Roman" w:hAnsi="Times New Roman"/>
          <w:sz w:val="17"/>
          <w:szCs w:val="17"/>
          <w:color w:val="auto"/>
        </w:rPr>
      </w:pPr>
    </w:p>
    <w:p>
      <w:pPr>
        <w:ind w:left="1360" w:right="220" w:hanging="407"/>
        <w:spacing w:after="0" w:line="277" w:lineRule="auto"/>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the provisions relating to the waiver of past defaults or impairs the right of holders to receive payment or to institute suit for the enforcement of any payment or conversion of any senior debt securities of such series on or after the due date therefor;</w:t>
      </w:r>
    </w:p>
    <w:p>
      <w:pPr>
        <w:spacing w:after="0" w:line="69" w:lineRule="exact"/>
        <w:rPr>
          <w:rFonts w:ascii="Times New Roman" w:cs="Times New Roman" w:eastAsia="Times New Roman" w:hAnsi="Times New Roman"/>
          <w:sz w:val="17"/>
          <w:szCs w:val="17"/>
          <w:color w:val="auto"/>
        </w:rPr>
      </w:pPr>
    </w:p>
    <w:p>
      <w:pPr>
        <w:ind w:left="1360" w:right="220" w:hanging="407"/>
        <w:spacing w:after="0" w:line="263" w:lineRule="auto"/>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modifies any of the provisions of these restrictions on amendments and modifications, except to increase any required percentage or to provide that certain other provisions cannot be modified or waived without the consent of the holder of each senior debt security of such series affected by the modification;</w:t>
      </w:r>
    </w:p>
    <w:p>
      <w:pPr>
        <w:spacing w:after="0" w:line="80" w:lineRule="exact"/>
        <w:rPr>
          <w:rFonts w:ascii="Times New Roman" w:cs="Times New Roman" w:eastAsia="Times New Roman" w:hAnsi="Times New Roman"/>
          <w:sz w:val="17"/>
          <w:szCs w:val="17"/>
          <w:color w:val="auto"/>
        </w:rPr>
      </w:pPr>
    </w:p>
    <w:p>
      <w:pPr>
        <w:ind w:left="1360" w:right="60" w:hanging="407"/>
        <w:spacing w:after="0" w:line="277" w:lineRule="auto"/>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adversely affects the right to convert or exchange senior debt securities into common stock, other securities or property in accordance with the terms of the senior debt securities; or</w:t>
      </w:r>
    </w:p>
    <w:p>
      <w:pPr>
        <w:spacing w:after="0" w:line="69" w:lineRule="exact"/>
        <w:rPr>
          <w:rFonts w:ascii="Times New Roman" w:cs="Times New Roman" w:eastAsia="Times New Roman" w:hAnsi="Times New Roman"/>
          <w:sz w:val="17"/>
          <w:szCs w:val="17"/>
          <w:color w:val="auto"/>
        </w:rPr>
      </w:pPr>
    </w:p>
    <w:p>
      <w:pPr>
        <w:ind w:left="1360" w:right="380" w:hanging="407"/>
        <w:spacing w:after="0" w:line="277" w:lineRule="auto"/>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reduces the above-stated percentage of outstanding senior debt securities of such series whose holders must consent to a supplemental indenture or modifies or amends or waives certain provisions of or defaults under the senior indenture.</w:t>
      </w:r>
    </w:p>
    <w:p>
      <w:pPr>
        <w:spacing w:after="0" w:line="158" w:lineRule="exact"/>
        <w:rPr>
          <w:sz w:val="20"/>
          <w:szCs w:val="20"/>
          <w:color w:val="auto"/>
        </w:rPr>
      </w:pPr>
    </w:p>
    <w:p>
      <w:pPr>
        <w:ind w:left="440" w:right="40"/>
        <w:spacing w:after="0" w:line="256" w:lineRule="auto"/>
        <w:rPr>
          <w:sz w:val="20"/>
          <w:szCs w:val="20"/>
          <w:color w:val="auto"/>
        </w:rPr>
      </w:pPr>
      <w:r>
        <w:rPr>
          <w:rFonts w:ascii="Times New Roman" w:cs="Times New Roman" w:eastAsia="Times New Roman" w:hAnsi="Times New Roman"/>
          <w:sz w:val="17"/>
          <w:szCs w:val="17"/>
          <w:color w:val="auto"/>
        </w:rPr>
        <w:t>It shall not be necessary for the holders to approve the particular form of any proposed amendment, supplement or waiver, but it shall be sufficient if the holders’ consent approves the substance thereof. After an amendment, supplement or waiver of the senior indenture in accordance with the provisions described in this section becomes effective, the trustee must give to the holders affected thereby certain notice briefly describing the amendment, supplement or waiver. Any failure by the trustee to give such notice, or any defect therein, shall not, however, in any way impair or affect the validity of any such amendment, supplemental indenture or waiver.</w:t>
      </w:r>
    </w:p>
    <w:p>
      <w:pPr>
        <w:spacing w:after="0" w:line="172" w:lineRule="exact"/>
        <w:rPr>
          <w:sz w:val="20"/>
          <w:szCs w:val="20"/>
          <w:color w:val="auto"/>
        </w:rPr>
      </w:pPr>
    </w:p>
    <w:p>
      <w:pPr>
        <w:ind w:left="440" w:right="100"/>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Notice of Redemption. </w:t>
      </w:r>
      <w:r>
        <w:rPr>
          <w:rFonts w:ascii="Times New Roman" w:cs="Times New Roman" w:eastAsia="Times New Roman" w:hAnsi="Times New Roman"/>
          <w:sz w:val="17"/>
          <w:szCs w:val="17"/>
          <w:color w:val="auto"/>
        </w:rPr>
        <w:t>Notice of any redemption of senior debt securities will be mailed at least 10 days but not more than 60 days before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redemption date to each holder of senior debt securities of a series to be redeemed. Any notice may, at our discretion, be subject to the satisfaction or waiver of one or more conditions precedent. In that case, such notice shall state the nature of such condition precedent. If we elect to redeem a portion but not all of such senior debt securities, the trustee will select the senior debt securities to be redeemed in a manner that complies with applicable legal and stock exchange requirements, if any. Interest on such debt securities or portions of senior debt securities will cease to accrue on and after the date fixed for redemption, unless we default in the payment of such redemption price and accrued interest with respect to any such senior debt security or portion thereof.</w:t>
      </w:r>
    </w:p>
    <w:p>
      <w:pPr>
        <w:spacing w:after="0" w:line="180" w:lineRule="exact"/>
        <w:rPr>
          <w:sz w:val="20"/>
          <w:szCs w:val="20"/>
          <w:color w:val="auto"/>
        </w:rPr>
      </w:pPr>
    </w:p>
    <w:p>
      <w:pPr>
        <w:jc w:val="both"/>
        <w:ind w:left="440" w:right="200"/>
        <w:spacing w:after="0" w:line="263" w:lineRule="auto"/>
        <w:rPr>
          <w:sz w:val="20"/>
          <w:szCs w:val="20"/>
          <w:color w:val="auto"/>
        </w:rPr>
      </w:pPr>
      <w:r>
        <w:rPr>
          <w:rFonts w:ascii="Times New Roman" w:cs="Times New Roman" w:eastAsia="Times New Roman" w:hAnsi="Times New Roman"/>
          <w:sz w:val="17"/>
          <w:szCs w:val="17"/>
          <w:color w:val="auto"/>
        </w:rPr>
        <w:t>If any date of redemption of any senior debt security is not a business day, then payment of principal and interest may be made on the next succeeding business day with the same force and effect as if made on the nominal date of redemption and no interest will accrue for the period after such nominal date.</w:t>
      </w:r>
    </w:p>
    <w:p>
      <w:pPr>
        <w:spacing w:after="0" w:line="166" w:lineRule="exact"/>
        <w:rPr>
          <w:sz w:val="20"/>
          <w:szCs w:val="20"/>
          <w:color w:val="auto"/>
        </w:rPr>
      </w:pPr>
    </w:p>
    <w:p>
      <w:pPr>
        <w:ind w:left="440"/>
        <w:spacing w:after="0" w:line="257" w:lineRule="auto"/>
        <w:rPr>
          <w:sz w:val="20"/>
          <w:szCs w:val="20"/>
          <w:color w:val="auto"/>
        </w:rPr>
      </w:pPr>
      <w:r>
        <w:rPr>
          <w:rFonts w:ascii="Times New Roman" w:cs="Times New Roman" w:eastAsia="Times New Roman" w:hAnsi="Times New Roman"/>
          <w:sz w:val="17"/>
          <w:szCs w:val="17"/>
          <w:i w:val="1"/>
          <w:iCs w:val="1"/>
          <w:color w:val="auto"/>
        </w:rPr>
        <w:t xml:space="preserve">Conversion Rights. </w:t>
      </w:r>
      <w:r>
        <w:rPr>
          <w:rFonts w:ascii="Times New Roman" w:cs="Times New Roman" w:eastAsia="Times New Roman" w:hAnsi="Times New Roman"/>
          <w:sz w:val="17"/>
          <w:szCs w:val="17"/>
          <w:color w:val="auto"/>
        </w:rPr>
        <w:t>We will describe the terms upon which senior debt securities may be convertible into our common stock or other securities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prospectus supplement. These terms will include the type of securities the senior debt securities are convertible into, the conversion price or manner of calculation thereof, the conversion period, provisions as to whether conversion will be at our option or the option of the holders, the events requiring an adjustment of the conversion price and provisions affecting conversion in the event of the redemption of the senior debt securities and any restrictions on conversion. They may also include provisions adjusting the number of shares of our common stock or other securities issuable upon conversion.</w:t>
      </w:r>
    </w:p>
    <w:p>
      <w:pPr>
        <w:spacing w:after="0" w:line="172" w:lineRule="exact"/>
        <w:rPr>
          <w:sz w:val="20"/>
          <w:szCs w:val="20"/>
          <w:color w:val="auto"/>
        </w:rPr>
      </w:pPr>
    </w:p>
    <w:p>
      <w:pPr>
        <w:ind w:left="440" w:right="46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No Personal Liability of Incorporators, Stockholders, Officers or Directors. </w:t>
      </w:r>
      <w:r>
        <w:rPr>
          <w:rFonts w:ascii="Times New Roman" w:cs="Times New Roman" w:eastAsia="Times New Roman" w:hAnsi="Times New Roman"/>
          <w:sz w:val="17"/>
          <w:szCs w:val="17"/>
          <w:color w:val="auto"/>
        </w:rPr>
        <w:t>The senior indenture provides that no recourse shall be had under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obligation, covenant or agreement of ours in the senior indenture or any</w:t>
      </w:r>
    </w:p>
    <w:p>
      <w:pPr>
        <w:spacing w:after="0" w:line="9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0800"/>
          </w:cols>
          <w:pgMar w:left="320" w:top="437" w:right="7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right="260"/>
        <w:spacing w:after="0" w:line="258" w:lineRule="auto"/>
        <w:rPr>
          <w:sz w:val="20"/>
          <w:szCs w:val="20"/>
          <w:color w:val="auto"/>
        </w:rPr>
      </w:pPr>
      <w:r>
        <w:rPr>
          <w:rFonts w:ascii="Times New Roman" w:cs="Times New Roman" w:eastAsia="Times New Roman" w:hAnsi="Times New Roman"/>
          <w:sz w:val="17"/>
          <w:szCs w:val="17"/>
          <w:color w:val="auto"/>
        </w:rPr>
        <w:t>supplemental indenture, or in any of the senior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171" w:lineRule="exact"/>
        <w:rPr>
          <w:sz w:val="20"/>
          <w:szCs w:val="20"/>
          <w:color w:val="auto"/>
        </w:rPr>
      </w:pPr>
    </w:p>
    <w:p>
      <w:pPr>
        <w:ind w:left="440" w:right="2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Concerning the Trustee. </w:t>
      </w:r>
      <w:r>
        <w:rPr>
          <w:rFonts w:ascii="Times New Roman" w:cs="Times New Roman" w:eastAsia="Times New Roman" w:hAnsi="Times New Roman"/>
          <w:sz w:val="17"/>
          <w:szCs w:val="17"/>
          <w:color w:val="auto"/>
        </w:rPr>
        <w:t>The senior indenture provides that, except during the continuance of an event of default, the trustee will not be liable except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172"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7"/>
          <w:szCs w:val="17"/>
          <w:color w:val="auto"/>
        </w:rPr>
        <w:t>The senior indenture and the provisions of the Trust Indenture Act incorporated by reference therein contain limitations on the rights of the trustee thereunder, should it become a creditor of ours or any of our subsidiaries, to obtain payment of claims in certain cases or to realize on certain property received by it in respect of any such claims, as security or otherwise. The trustee is permitted to engage in other transactions, provided that if it acquires any conflicting interest (as defined in the Trust Indenture Act), it must eliminate such conflict or resign.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may have normal banking relationships with the senior trustee in the ordinary course of business.</w:t>
      </w:r>
    </w:p>
    <w:p>
      <w:pPr>
        <w:spacing w:after="0" w:line="207" w:lineRule="exact"/>
        <w:rPr>
          <w:sz w:val="20"/>
          <w:szCs w:val="20"/>
          <w:color w:val="auto"/>
        </w:rPr>
      </w:pPr>
    </w:p>
    <w:p>
      <w:pPr>
        <w:ind w:left="440" w:right="40"/>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Unclaimed Funds. </w:t>
      </w:r>
      <w:r>
        <w:rPr>
          <w:rFonts w:ascii="Times New Roman" w:cs="Times New Roman" w:eastAsia="Times New Roman" w:hAnsi="Times New Roman"/>
          <w:sz w:val="17"/>
          <w:szCs w:val="17"/>
          <w:color w:val="auto"/>
        </w:rPr>
        <w:t>All funds deposited with the trustee or any paying agent for the payment of principal, premium, interest or additional amounts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respect of the senior debt securities that remain unclaimed for two years after the date upon which such amounts became due and payable will be repaid to us. Thereafter, any right of any holder of senior debt securities to such funds shall be enforceable only against us, and the trustee and paying agents will have no liability therefor.</w:t>
      </w:r>
    </w:p>
    <w:p>
      <w:pPr>
        <w:spacing w:after="0" w:line="168" w:lineRule="exact"/>
        <w:rPr>
          <w:sz w:val="20"/>
          <w:szCs w:val="20"/>
          <w:color w:val="auto"/>
        </w:rPr>
      </w:pPr>
    </w:p>
    <w:p>
      <w:pPr>
        <w:ind w:left="440" w:right="4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Governing Law. </w:t>
      </w:r>
      <w:r>
        <w:rPr>
          <w:rFonts w:ascii="Times New Roman" w:cs="Times New Roman" w:eastAsia="Times New Roman" w:hAnsi="Times New Roman"/>
          <w:sz w:val="17"/>
          <w:szCs w:val="17"/>
          <w:color w:val="auto"/>
        </w:rPr>
        <w:t>The senior indenture and the senior debt securities will be governed by, and construed in accordance with, the internal laws of the State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New York.</w:t>
      </w: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Certain Terms of the Subordinated Debt Securities</w:t>
      </w:r>
    </w:p>
    <w:p>
      <w:pPr>
        <w:spacing w:after="0" w:line="113" w:lineRule="exact"/>
        <w:rPr>
          <w:sz w:val="20"/>
          <w:szCs w:val="20"/>
          <w:color w:val="auto"/>
        </w:rPr>
      </w:pPr>
    </w:p>
    <w:p>
      <w:pPr>
        <w:ind w:left="440" w:right="40"/>
        <w:spacing w:after="0" w:line="263" w:lineRule="auto"/>
        <w:rPr>
          <w:sz w:val="20"/>
          <w:szCs w:val="20"/>
          <w:color w:val="auto"/>
        </w:rPr>
      </w:pPr>
      <w:r>
        <w:rPr>
          <w:rFonts w:ascii="Times New Roman" w:cs="Times New Roman" w:eastAsia="Times New Roman" w:hAnsi="Times New Roman"/>
          <w:sz w:val="17"/>
          <w:szCs w:val="17"/>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Additional or different subordination terms may be specified in the prospectus supplement applicable to a particular series.</w:t>
      </w:r>
    </w:p>
    <w:p>
      <w:pPr>
        <w:spacing w:after="0" w:line="207"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7"/>
          <w:szCs w:val="17"/>
          <w:i w:val="1"/>
          <w:iCs w:val="1"/>
          <w:color w:val="auto"/>
        </w:rPr>
        <w:t xml:space="preserve">Subordination. </w:t>
      </w:r>
      <w:r>
        <w:rPr>
          <w:rFonts w:ascii="Times New Roman" w:cs="Times New Roman" w:eastAsia="Times New Roman" w:hAnsi="Times New Roman"/>
          <w:sz w:val="17"/>
          <w:szCs w:val="17"/>
          <w:color w:val="auto"/>
        </w:rPr>
        <w:t>The indebtedness evidenced by the subordinated debt securities is subordinate to the prior payment in full of all of our senior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indebtedness, as defined in the subordinated indenture. During the continuance beyond any applicable grace period of any default in the payment of principal, premium, interest or any other payment due on any of our senior indebtedness, we may not make any payment of principal of or interest on the subordinated debt securities (except for certain sinking fund payments). In addition, upon any payment or distribution of our assets upon any dissolution, winding-up, liquidation or reorganization, the payment of the principal of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0760"/>
          </w:cols>
          <w:pgMar w:left="320" w:top="437" w:right="8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right="100"/>
        <w:spacing w:after="0" w:line="277" w:lineRule="auto"/>
        <w:rPr>
          <w:sz w:val="20"/>
          <w:szCs w:val="20"/>
          <w:color w:val="auto"/>
        </w:rPr>
      </w:pPr>
      <w:r>
        <w:rPr>
          <w:rFonts w:ascii="Times New Roman" w:cs="Times New Roman" w:eastAsia="Times New Roman" w:hAnsi="Times New Roman"/>
          <w:sz w:val="17"/>
          <w:szCs w:val="17"/>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69" w:lineRule="exact"/>
        <w:rPr>
          <w:sz w:val="20"/>
          <w:szCs w:val="20"/>
          <w:color w:val="auto"/>
        </w:rPr>
      </w:pPr>
    </w:p>
    <w:p>
      <w:pPr>
        <w:ind w:left="1360" w:hanging="407"/>
        <w:spacing w:after="0"/>
        <w:tabs>
          <w:tab w:leader="none" w:pos="1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indebtedness of that person for money borrowed;</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indebtedness of that person evidenced by notes, debentures, bonds or other securities sold by that person for money;</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of the lease obligations that are capitalized on the books of that person in accordance with generally accepted accounting principles;</w:t>
      </w:r>
    </w:p>
    <w:p>
      <w:pPr>
        <w:spacing w:after="0" w:line="121" w:lineRule="exact"/>
        <w:rPr>
          <w:rFonts w:ascii="Times New Roman" w:cs="Times New Roman" w:eastAsia="Times New Roman" w:hAnsi="Times New Roman"/>
          <w:sz w:val="17"/>
          <w:szCs w:val="17"/>
          <w:color w:val="auto"/>
        </w:rPr>
      </w:pPr>
    </w:p>
    <w:p>
      <w:pPr>
        <w:ind w:left="1360" w:right="20" w:hanging="407"/>
        <w:spacing w:after="0" w:line="263" w:lineRule="auto"/>
        <w:tabs>
          <w:tab w:leader="none" w:pos="1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80" w:lineRule="exact"/>
        <w:rPr>
          <w:rFonts w:ascii="Times New Roman" w:cs="Times New Roman" w:eastAsia="Times New Roman" w:hAnsi="Times New Roman"/>
          <w:sz w:val="17"/>
          <w:szCs w:val="17"/>
          <w:color w:val="auto"/>
        </w:rPr>
      </w:pPr>
    </w:p>
    <w:p>
      <w:pPr>
        <w:ind w:left="1360" w:right="540" w:hanging="407"/>
        <w:spacing w:after="0" w:line="277" w:lineRule="auto"/>
        <w:tabs>
          <w:tab w:leader="none" w:pos="13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58" w:lineRule="exact"/>
        <w:rPr>
          <w:sz w:val="20"/>
          <w:szCs w:val="20"/>
          <w:color w:val="auto"/>
        </w:rPr>
      </w:pPr>
    </w:p>
    <w:p>
      <w:pPr>
        <w:ind w:left="440"/>
        <w:spacing w:after="0" w:line="263" w:lineRule="auto"/>
        <w:rPr>
          <w:sz w:val="20"/>
          <w:szCs w:val="20"/>
          <w:color w:val="auto"/>
        </w:rPr>
      </w:pPr>
      <w:r>
        <w:rPr>
          <w:rFonts w:ascii="Times New Roman" w:cs="Times New Roman" w:eastAsia="Times New Roman" w:hAnsi="Times New Roman"/>
          <w:sz w:val="17"/>
          <w:szCs w:val="17"/>
          <w:color w:val="auto"/>
        </w:rPr>
        <w:t>unless, in the case of any particular indebtedness, renewal, extension or refunding, the instrument creating or evidencing it or the assumption or guarantee relating to it expressly provides that such indebtedness, renewal, extension or refunding is not superior in right of payment to the subordinated debt securities. Our senior debt securities constitute senior indebtedness for purposes of the subordinated indenture.</w:t>
      </w:r>
    </w:p>
    <w:p>
      <w:pPr>
        <w:spacing w:after="0" w:line="10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0780"/>
          </w:cols>
          <w:pgMar w:left="320" w:top="437" w:right="7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15" w:lineRule="exact"/>
        <w:rPr>
          <w:sz w:val="20"/>
          <w:szCs w:val="20"/>
          <w:color w:val="auto"/>
        </w:rPr>
      </w:pPr>
    </w:p>
    <w:p>
      <w:pPr>
        <w:ind w:left="440" w:right="180"/>
        <w:spacing w:after="0" w:line="258" w:lineRule="auto"/>
        <w:rPr>
          <w:sz w:val="20"/>
          <w:szCs w:val="20"/>
          <w:color w:val="auto"/>
        </w:rPr>
      </w:pPr>
      <w:r>
        <w:rPr>
          <w:rFonts w:ascii="Times New Roman" w:cs="Times New Roman" w:eastAsia="Times New Roman" w:hAnsi="Times New Roman"/>
          <w:sz w:val="17"/>
          <w:szCs w:val="17"/>
          <w:color w:val="auto"/>
        </w:rPr>
        <w:t>The following description of our capital stock is intended as a summary only and therefore is not a complete description of our capital stock. This description is based upon, and is qualified by reference to, our certificate of incorporation, which we refer to as our charter, our bylaws and applicable provisions of Delaware corporate law. You should read our charter and bylaws, which are filed as exhibits to the registration statement of which this prospectus forms a part, for the provisions that are important to you.</w:t>
      </w:r>
    </w:p>
    <w:p>
      <w:pPr>
        <w:spacing w:after="0" w:line="175" w:lineRule="exact"/>
        <w:rPr>
          <w:sz w:val="20"/>
          <w:szCs w:val="20"/>
          <w:color w:val="auto"/>
        </w:rPr>
      </w:pPr>
    </w:p>
    <w:p>
      <w:pPr>
        <w:ind w:left="440" w:right="140"/>
        <w:spacing w:after="0" w:line="277" w:lineRule="auto"/>
        <w:rPr>
          <w:sz w:val="20"/>
          <w:szCs w:val="20"/>
          <w:color w:val="auto"/>
        </w:rPr>
      </w:pPr>
      <w:r>
        <w:rPr>
          <w:rFonts w:ascii="Times New Roman" w:cs="Times New Roman" w:eastAsia="Times New Roman" w:hAnsi="Times New Roman"/>
          <w:sz w:val="17"/>
          <w:szCs w:val="17"/>
          <w:color w:val="auto"/>
        </w:rPr>
        <w:t>Our charter authorizes 60,000,000 shares of common stock, $0.001 par value per share, and 10,000,000 shares of preferred stock, $0.001 par value per share, all of which preferred stock is undesignated.</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09" w:lineRule="exact"/>
        <w:rPr>
          <w:sz w:val="20"/>
          <w:szCs w:val="20"/>
          <w:color w:val="auto"/>
        </w:rPr>
      </w:pPr>
    </w:p>
    <w:p>
      <w:pPr>
        <w:jc w:val="both"/>
        <w:ind w:left="440" w:right="20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Each holder of our common stock is entitled to one vote for each share on all matters submitted to a vote of the stockholders,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election of directors. Our stockholders do not have cumulative voting rights in the election of directors. Accordingly, holders of a majority of the voting shares are able to elect all of the directors.</w:t>
      </w:r>
    </w:p>
    <w:p>
      <w:pPr>
        <w:spacing w:after="0" w:line="162" w:lineRule="exact"/>
        <w:rPr>
          <w:sz w:val="20"/>
          <w:szCs w:val="20"/>
          <w:color w:val="auto"/>
        </w:rPr>
      </w:pPr>
    </w:p>
    <w:p>
      <w:pPr>
        <w:jc w:val="both"/>
        <w:ind w:left="440" w:right="22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Subject to preferences that may be applicable to any then-outstanding preferred stock, holders of our common stock are entitled to receive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dividends, if any, as may be declared from time to time by our board of directors out of legally available funds.</w:t>
      </w:r>
    </w:p>
    <w:p>
      <w:pPr>
        <w:spacing w:after="0" w:line="150" w:lineRule="exact"/>
        <w:rPr>
          <w:sz w:val="20"/>
          <w:szCs w:val="20"/>
          <w:color w:val="auto"/>
        </w:rPr>
      </w:pPr>
    </w:p>
    <w:p>
      <w:pPr>
        <w:ind w:left="440" w:right="30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Liquidation. </w:t>
      </w:r>
      <w:r>
        <w:rPr>
          <w:rFonts w:ascii="Times New Roman" w:cs="Times New Roman" w:eastAsia="Times New Roman" w:hAnsi="Times New Roman"/>
          <w:sz w:val="17"/>
          <w:szCs w:val="17"/>
          <w:color w:val="auto"/>
        </w:rPr>
        <w:t>In the event of our liquidation, dissolution or winding up, holders of our common stock will be entitled to share ratably in the net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legally available for distribution to stockholders after the payment of all of our debts and other liabilities and the satisfaction of any liquidation preference granted to the holders of any then-outstanding shares of preferred stock.</w:t>
      </w:r>
    </w:p>
    <w:p>
      <w:pPr>
        <w:spacing w:after="0" w:line="162"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Other Rights. </w:t>
      </w:r>
      <w:r>
        <w:rPr>
          <w:rFonts w:ascii="Times New Roman" w:cs="Times New Roman" w:eastAsia="Times New Roman" w:hAnsi="Times New Roman"/>
          <w:sz w:val="17"/>
          <w:szCs w:val="17"/>
          <w:color w:val="auto"/>
        </w:rPr>
        <w:t>Holders of our common stock have no preemptive, conversion, subscription or other similar rights, and there are no redemption or sinking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 xml:space="preserve">Transfer Agent and Registrar. </w:t>
      </w:r>
      <w:r>
        <w:rPr>
          <w:rFonts w:ascii="Times New Roman" w:cs="Times New Roman" w:eastAsia="Times New Roman" w:hAnsi="Times New Roman"/>
          <w:sz w:val="17"/>
          <w:szCs w:val="17"/>
          <w:color w:val="auto"/>
        </w:rPr>
        <w:t>The transfer agent and registrar for the shares of our common stock is Computershare Trust Company, N.A.</w:t>
      </w:r>
    </w:p>
    <w:p>
      <w:pPr>
        <w:spacing w:after="0" w:line="3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3"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7"/>
          <w:szCs w:val="17"/>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6"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7"/>
          <w:szCs w:val="17"/>
          <w:color w:val="auto"/>
        </w:rPr>
        <w:t>A series of our preferred stock could, depending on the terms of such series, impede the completion of a merger, tender offer or other takeover attempt. Our board of directors will make any determination to issue preferred shares based upon its judgment as to the best interests of our stockholders. Our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0780"/>
          </w:cols>
          <w:pgMar w:left="320" w:top="437" w:right="7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right="280"/>
        <w:spacing w:after="0" w:line="310" w:lineRule="auto"/>
        <w:rPr>
          <w:sz w:val="20"/>
          <w:szCs w:val="20"/>
          <w:color w:val="auto"/>
        </w:rPr>
      </w:pPr>
      <w:r>
        <w:rPr>
          <w:rFonts w:ascii="Times New Roman" w:cs="Times New Roman" w:eastAsia="Times New Roman" w:hAnsi="Times New Roman"/>
          <w:sz w:val="16"/>
          <w:szCs w:val="16"/>
          <w:color w:val="auto"/>
        </w:rPr>
        <w:t>The preferred stock has the terms described below unless otherwise provided in the prospectus supplement relating to a particular series of preferred stock. You should read the prospectus supplement relating to the particular series of preferred stock being offered for specific terms, including:</w:t>
      </w:r>
    </w:p>
    <w:p>
      <w:pPr>
        <w:spacing w:after="0" w:line="45" w:lineRule="exact"/>
        <w:rPr>
          <w:sz w:val="20"/>
          <w:szCs w:val="20"/>
          <w:color w:val="auto"/>
        </w:rPr>
      </w:pPr>
    </w:p>
    <w:p>
      <w:pPr>
        <w:ind w:left="1360" w:hanging="407"/>
        <w:spacing w:after="0"/>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stated value per share of the preferred stock and the number of shares offered;</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liquidation preference per share;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 at which the preferred stock will be issued;</w:t>
      </w:r>
    </w:p>
    <w:p>
      <w:pPr>
        <w:spacing w:after="0" w:line="121" w:lineRule="exact"/>
        <w:rPr>
          <w:rFonts w:ascii="Times New Roman" w:cs="Times New Roman" w:eastAsia="Times New Roman" w:hAnsi="Times New Roman"/>
          <w:sz w:val="17"/>
          <w:szCs w:val="17"/>
          <w:color w:val="auto"/>
        </w:rPr>
      </w:pPr>
    </w:p>
    <w:p>
      <w:pPr>
        <w:ind w:left="1360" w:right="680" w:hanging="407"/>
        <w:spacing w:after="0" w:line="277" w:lineRule="auto"/>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redemption or sinking fund provisions;</w:t>
      </w:r>
    </w:p>
    <w:p>
      <w:pPr>
        <w:spacing w:after="0" w:line="121" w:lineRule="exact"/>
        <w:rPr>
          <w:rFonts w:ascii="Times New Roman" w:cs="Times New Roman" w:eastAsia="Times New Roman" w:hAnsi="Times New Roman"/>
          <w:sz w:val="17"/>
          <w:szCs w:val="17"/>
          <w:color w:val="auto"/>
        </w:rPr>
      </w:pPr>
    </w:p>
    <w:p>
      <w:pPr>
        <w:ind w:left="1360" w:right="220" w:hanging="407"/>
        <w:spacing w:after="0" w:line="277" w:lineRule="auto"/>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other than the currency of the United States, the currency or currencies including composite currencies in which the preferred stock is denominated and/or in which payments will or may be payable;</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conversion provisions;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we have elected to offer depositary shares as described under “Description of Depositary Shares;” and</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rights, preferences, privileges, limitations and restrictions on the preferred stock.</w:t>
      </w:r>
    </w:p>
    <w:p>
      <w:pPr>
        <w:spacing w:after="0" w:line="211" w:lineRule="exact"/>
        <w:rPr>
          <w:sz w:val="20"/>
          <w:szCs w:val="20"/>
          <w:color w:val="auto"/>
        </w:rPr>
      </w:pPr>
    </w:p>
    <w:p>
      <w:pPr>
        <w:ind w:left="440" w:right="140"/>
        <w:spacing w:after="0" w:line="263" w:lineRule="auto"/>
        <w:rPr>
          <w:sz w:val="20"/>
          <w:szCs w:val="20"/>
          <w:color w:val="auto"/>
        </w:rPr>
      </w:pPr>
      <w:r>
        <w:rPr>
          <w:rFonts w:ascii="Times New Roman" w:cs="Times New Roman" w:eastAsia="Times New Roman" w:hAnsi="Times New Roman"/>
          <w:sz w:val="17"/>
          <w:szCs w:val="17"/>
          <w:color w:val="auto"/>
        </w:rPr>
        <w:t>The preferred stock will, when issued, be fully paid and non-assessable. Unless otherwise specified in the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70"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7"/>
          <w:szCs w:val="17"/>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71" w:lineRule="exact"/>
        <w:rPr>
          <w:sz w:val="20"/>
          <w:szCs w:val="20"/>
          <w:color w:val="auto"/>
        </w:rPr>
      </w:pPr>
    </w:p>
    <w:p>
      <w:pPr>
        <w:ind w:left="440" w:right="80"/>
        <w:spacing w:after="0" w:line="282" w:lineRule="auto"/>
        <w:rPr>
          <w:sz w:val="20"/>
          <w:szCs w:val="20"/>
          <w:color w:val="auto"/>
        </w:rPr>
      </w:pPr>
      <w:r>
        <w:rPr>
          <w:rFonts w:ascii="Times New Roman" w:cs="Times New Roman" w:eastAsia="Times New Roman" w:hAnsi="Times New Roman"/>
          <w:sz w:val="17"/>
          <w:szCs w:val="17"/>
          <w:i w:val="1"/>
          <w:iCs w:val="1"/>
          <w:color w:val="auto"/>
        </w:rPr>
        <w:t>Rank</w:t>
      </w:r>
      <w:r>
        <w:rPr>
          <w:rFonts w:ascii="Times New Roman" w:cs="Times New Roman" w:eastAsia="Times New Roman" w:hAnsi="Times New Roman"/>
          <w:sz w:val="17"/>
          <w:szCs w:val="17"/>
          <w:color w:val="auto"/>
        </w:rPr>
        <w:t>. Unless otherwise specified in the prospectus supplement, the preferred stock will, with respect to dividend rights and rights upon our liquidation,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dissolution or winding up of our affairs, rank:</w:t>
      </w:r>
    </w:p>
    <w:p>
      <w:pPr>
        <w:spacing w:after="0" w:line="65" w:lineRule="exact"/>
        <w:rPr>
          <w:sz w:val="20"/>
          <w:szCs w:val="20"/>
          <w:color w:val="auto"/>
        </w:rPr>
      </w:pPr>
    </w:p>
    <w:p>
      <w:pPr>
        <w:ind w:left="1360" w:hanging="407"/>
        <w:spacing w:after="0" w:line="277" w:lineRule="auto"/>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senior to our common stock and to all equity securities ranking junior to such preferred stock with respect to dividend rights or rights upon our liquidation, dissolution or winding up of our affairs;</w:t>
      </w:r>
    </w:p>
    <w:p>
      <w:pPr>
        <w:spacing w:after="0" w:line="69" w:lineRule="exact"/>
        <w:rPr>
          <w:rFonts w:ascii="Times New Roman" w:cs="Times New Roman" w:eastAsia="Times New Roman" w:hAnsi="Times New Roman"/>
          <w:sz w:val="17"/>
          <w:szCs w:val="17"/>
          <w:color w:val="auto"/>
        </w:rPr>
      </w:pPr>
    </w:p>
    <w:p>
      <w:pPr>
        <w:ind w:left="1360" w:right="140" w:hanging="407"/>
        <w:spacing w:after="0" w:line="277" w:lineRule="auto"/>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69" w:lineRule="exact"/>
        <w:rPr>
          <w:rFonts w:ascii="Times New Roman" w:cs="Times New Roman" w:eastAsia="Times New Roman" w:hAnsi="Times New Roman"/>
          <w:sz w:val="17"/>
          <w:szCs w:val="17"/>
          <w:color w:val="auto"/>
        </w:rPr>
      </w:pPr>
    </w:p>
    <w:p>
      <w:pPr>
        <w:ind w:left="1360" w:right="180" w:hanging="407"/>
        <w:spacing w:after="0" w:line="277" w:lineRule="auto"/>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term “equity securities” does not include convertible debt securities.</w:t>
      </w:r>
    </w:p>
    <w:p>
      <w:pPr>
        <w:spacing w:after="0" w:line="207" w:lineRule="exact"/>
        <w:rPr>
          <w:sz w:val="20"/>
          <w:szCs w:val="20"/>
          <w:color w:val="auto"/>
        </w:rPr>
      </w:pPr>
    </w:p>
    <w:p>
      <w:pPr>
        <w:jc w:val="both"/>
        <w:ind w:left="440" w:right="20"/>
        <w:spacing w:after="0" w:line="260" w:lineRule="auto"/>
        <w:rPr>
          <w:sz w:val="20"/>
          <w:szCs w:val="20"/>
          <w:color w:val="auto"/>
        </w:rPr>
      </w:pPr>
      <w:r>
        <w:rPr>
          <w:rFonts w:ascii="Times New Roman" w:cs="Times New Roman" w:eastAsia="Times New Roman" w:hAnsi="Times New Roman"/>
          <w:sz w:val="17"/>
          <w:szCs w:val="17"/>
          <w:i w:val="1"/>
          <w:iCs w:val="1"/>
          <w:color w:val="auto"/>
        </w:rPr>
        <w:t>Dividends</w:t>
      </w:r>
      <w:r>
        <w:rPr>
          <w:rFonts w:ascii="Times New Roman" w:cs="Times New Roman" w:eastAsia="Times New Roman" w:hAnsi="Times New Roman"/>
          <w:sz w:val="17"/>
          <w:szCs w:val="17"/>
          <w:color w:val="auto"/>
        </w:rPr>
        <w:t>. Holders of the preferred stock of each series will be entitled to receive, when, as and if declared by our board of directors, cash dividends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0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0760"/>
          </w:cols>
          <w:pgMar w:left="320" w:top="437" w:right="8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right="180"/>
        <w:spacing w:after="0" w:line="255" w:lineRule="auto"/>
        <w:rPr>
          <w:sz w:val="20"/>
          <w:szCs w:val="20"/>
          <w:color w:val="auto"/>
        </w:rPr>
      </w:pPr>
      <w:r>
        <w:rPr>
          <w:rFonts w:ascii="Times New Roman" w:cs="Times New Roman" w:eastAsia="Times New Roman" w:hAnsi="Times New Roman"/>
          <w:sz w:val="17"/>
          <w:szCs w:val="17"/>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75" w:lineRule="exact"/>
        <w:rPr>
          <w:sz w:val="20"/>
          <w:szCs w:val="20"/>
          <w:color w:val="auto"/>
        </w:rPr>
      </w:pPr>
    </w:p>
    <w:p>
      <w:pPr>
        <w:jc w:val="both"/>
        <w:ind w:left="440" w:right="120"/>
        <w:spacing w:after="0" w:line="310" w:lineRule="auto"/>
        <w:rPr>
          <w:sz w:val="20"/>
          <w:szCs w:val="20"/>
          <w:color w:val="auto"/>
        </w:rPr>
      </w:pPr>
      <w:r>
        <w:rPr>
          <w:rFonts w:ascii="Times New Roman" w:cs="Times New Roman" w:eastAsia="Times New Roman" w:hAnsi="Times New Roman"/>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4" w:lineRule="exact"/>
        <w:rPr>
          <w:sz w:val="20"/>
          <w:szCs w:val="20"/>
          <w:color w:val="auto"/>
        </w:rPr>
      </w:pPr>
    </w:p>
    <w:p>
      <w:pPr>
        <w:ind w:left="440" w:right="200"/>
        <w:spacing w:after="0" w:line="263" w:lineRule="auto"/>
        <w:rPr>
          <w:sz w:val="20"/>
          <w:szCs w:val="20"/>
          <w:color w:val="auto"/>
        </w:rPr>
      </w:pPr>
      <w:r>
        <w:rPr>
          <w:rFonts w:ascii="Times New Roman" w:cs="Times New Roman" w:eastAsia="Times New Roman" w:hAnsi="Times New Roman"/>
          <w:sz w:val="17"/>
          <w:szCs w:val="17"/>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66"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7"/>
          <w:szCs w:val="17"/>
          <w:i w:val="1"/>
          <w:iCs w:val="1"/>
          <w:color w:val="auto"/>
        </w:rPr>
        <w:t>Liquidation Preference</w:t>
      </w:r>
      <w:r>
        <w:rPr>
          <w:rFonts w:ascii="Times New Roman" w:cs="Times New Roman" w:eastAsia="Times New Roman" w:hAnsi="Times New Roman"/>
          <w:sz w:val="17"/>
          <w:szCs w:val="17"/>
          <w:color w:val="auto"/>
        </w:rPr>
        <w:t>. Upon any voluntary or involuntary liquidation, dissolution or winding up of our affairs, then, before we make any distribution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 the prospectus supplement, plus any accrued and unpaid dividends thereon. Such dividends will not include any accumulation in respect of unpaid noncumulative dividends for prior dividend periods. Unless otherwise specified in the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ranking on parity with the preferred stock will share ratably in any such distribution of assets in proportion to the full liquidating distributions to which they would otherwise be entitled.</w:t>
      </w:r>
    </w:p>
    <w:p>
      <w:pPr>
        <w:spacing w:after="0" w:line="181" w:lineRule="exact"/>
        <w:rPr>
          <w:sz w:val="20"/>
          <w:szCs w:val="20"/>
          <w:color w:val="auto"/>
        </w:rPr>
      </w:pPr>
    </w:p>
    <w:p>
      <w:pPr>
        <w:ind w:left="440" w:right="100"/>
        <w:spacing w:after="0" w:line="256" w:lineRule="auto"/>
        <w:rPr>
          <w:sz w:val="20"/>
          <w:szCs w:val="20"/>
          <w:color w:val="auto"/>
        </w:rPr>
      </w:pPr>
      <w:r>
        <w:rPr>
          <w:rFonts w:ascii="Times New Roman" w:cs="Times New Roman" w:eastAsia="Times New Roman" w:hAnsi="Times New Roman"/>
          <w:sz w:val="17"/>
          <w:szCs w:val="17"/>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72" w:lineRule="exact"/>
        <w:rPr>
          <w:sz w:val="20"/>
          <w:szCs w:val="20"/>
          <w:color w:val="auto"/>
        </w:rPr>
      </w:pPr>
    </w:p>
    <w:p>
      <w:pPr>
        <w:ind w:left="440" w:right="200"/>
        <w:spacing w:after="0" w:line="282" w:lineRule="auto"/>
        <w:rPr>
          <w:sz w:val="20"/>
          <w:szCs w:val="20"/>
          <w:color w:val="auto"/>
        </w:rPr>
      </w:pPr>
      <w:r>
        <w:rPr>
          <w:rFonts w:ascii="Times New Roman" w:cs="Times New Roman" w:eastAsia="Times New Roman" w:hAnsi="Times New Roman"/>
          <w:sz w:val="17"/>
          <w:szCs w:val="17"/>
          <w:i w:val="1"/>
          <w:iCs w:val="1"/>
          <w:color w:val="auto"/>
        </w:rPr>
        <w:t>Redemption</w:t>
      </w:r>
      <w:r>
        <w:rPr>
          <w:rFonts w:ascii="Times New Roman" w:cs="Times New Roman" w:eastAsia="Times New Roman" w:hAnsi="Times New Roman"/>
          <w:sz w:val="17"/>
          <w:szCs w:val="17"/>
          <w:color w:val="auto"/>
        </w:rPr>
        <w:t>. If so provided in the applicable prospectus supplement, the preferred stock will be subject to mandatory redemption or redemption at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option, as a whole or in part, in each case upon the terms, at the times and at the redemption prices set forth in such prospectus supplement.</w:t>
      </w:r>
    </w:p>
    <w:p>
      <w:pPr>
        <w:spacing w:after="0" w:line="154"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7"/>
          <w:szCs w:val="17"/>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w:t>
      </w:r>
    </w:p>
    <w:p>
      <w:pPr>
        <w:spacing w:after="0" w:line="11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0800"/>
          </w:cols>
          <w:pgMar w:left="320" w:top="437" w:right="7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jc w:val="both"/>
        <w:ind w:left="440" w:right="140"/>
        <w:spacing w:after="0" w:line="287" w:lineRule="auto"/>
        <w:rPr>
          <w:sz w:val="20"/>
          <w:szCs w:val="20"/>
          <w:color w:val="auto"/>
        </w:rPr>
      </w:pPr>
      <w:r>
        <w:rPr>
          <w:rFonts w:ascii="Times New Roman" w:cs="Times New Roman" w:eastAsia="Times New Roman" w:hAnsi="Times New Roman"/>
          <w:sz w:val="16"/>
          <w:szCs w:val="16"/>
          <w:color w:val="auto"/>
        </w:rPr>
        <w:t>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63" w:lineRule="exact"/>
        <w:rPr>
          <w:sz w:val="20"/>
          <w:szCs w:val="20"/>
          <w:color w:val="auto"/>
        </w:rPr>
      </w:pPr>
    </w:p>
    <w:p>
      <w:pPr>
        <w:ind w:left="1360" w:right="180" w:hanging="407"/>
        <w:spacing w:after="0" w:line="310" w:lineRule="auto"/>
        <w:tabs>
          <w:tab w:leader="none" w:pos="13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45" w:lineRule="exact"/>
        <w:rPr>
          <w:rFonts w:ascii="Times New Roman" w:cs="Times New Roman" w:eastAsia="Times New Roman" w:hAnsi="Times New Roman"/>
          <w:sz w:val="16"/>
          <w:szCs w:val="16"/>
          <w:color w:val="auto"/>
        </w:rPr>
      </w:pPr>
    </w:p>
    <w:p>
      <w:pPr>
        <w:ind w:left="1360" w:right="40" w:hanging="407"/>
        <w:spacing w:after="0" w:line="277" w:lineRule="auto"/>
        <w:tabs>
          <w:tab w:leader="none" w:pos="13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such series of preferred stock does not have a cumulative dividend, we have declared and paid or contemporaneously declare and pay or set aside funds to pay full dividends for the then current dividend period.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addition, we will not acquire any preferred stock of a series unless:</w:t>
      </w:r>
    </w:p>
    <w:p>
      <w:pPr>
        <w:spacing w:after="0" w:line="122" w:lineRule="exact"/>
        <w:rPr>
          <w:sz w:val="20"/>
          <w:szCs w:val="20"/>
          <w:color w:val="auto"/>
        </w:rPr>
      </w:pPr>
    </w:p>
    <w:p>
      <w:pPr>
        <w:ind w:left="1360" w:right="60" w:hanging="407"/>
        <w:spacing w:after="0" w:line="263" w:lineRule="auto"/>
        <w:tabs>
          <w:tab w:leader="none" w:pos="13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80" w:lineRule="exact"/>
        <w:rPr>
          <w:rFonts w:ascii="Times New Roman" w:cs="Times New Roman" w:eastAsia="Times New Roman" w:hAnsi="Times New Roman"/>
          <w:sz w:val="17"/>
          <w:szCs w:val="17"/>
          <w:color w:val="auto"/>
        </w:rPr>
      </w:pPr>
    </w:p>
    <w:p>
      <w:pPr>
        <w:ind w:left="1360" w:right="100" w:hanging="407"/>
        <w:spacing w:after="0" w:line="277" w:lineRule="auto"/>
        <w:tabs>
          <w:tab w:leader="none" w:pos="13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58" w:lineRule="exact"/>
        <w:rPr>
          <w:sz w:val="20"/>
          <w:szCs w:val="20"/>
          <w:color w:val="auto"/>
        </w:rPr>
      </w:pPr>
    </w:p>
    <w:p>
      <w:pPr>
        <w:ind w:left="440" w:right="80"/>
        <w:spacing w:after="0" w:line="263" w:lineRule="auto"/>
        <w:rPr>
          <w:sz w:val="20"/>
          <w:szCs w:val="20"/>
          <w:color w:val="auto"/>
        </w:rPr>
      </w:pPr>
      <w:r>
        <w:rPr>
          <w:rFonts w:ascii="Times New Roman" w:cs="Times New Roman" w:eastAsia="Times New Roman" w:hAnsi="Times New Roman"/>
          <w:sz w:val="17"/>
          <w:szCs w:val="17"/>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70" w:lineRule="exact"/>
        <w:rPr>
          <w:sz w:val="20"/>
          <w:szCs w:val="20"/>
          <w:color w:val="auto"/>
        </w:rPr>
      </w:pPr>
    </w:p>
    <w:p>
      <w:pPr>
        <w:ind w:left="440" w:right="180"/>
        <w:spacing w:after="0" w:line="287" w:lineRule="auto"/>
        <w:rPr>
          <w:sz w:val="20"/>
          <w:szCs w:val="20"/>
          <w:color w:val="auto"/>
        </w:rPr>
      </w:pPr>
      <w:r>
        <w:rPr>
          <w:rFonts w:ascii="Times New Roman" w:cs="Times New Roman" w:eastAsia="Times New Roman" w:hAnsi="Times New Roman"/>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52" w:lineRule="exact"/>
        <w:rPr>
          <w:sz w:val="20"/>
          <w:szCs w:val="20"/>
          <w:color w:val="auto"/>
        </w:rPr>
      </w:pPr>
    </w:p>
    <w:p>
      <w:pPr>
        <w:ind w:left="440" w:right="280"/>
        <w:spacing w:after="0" w:line="310" w:lineRule="auto"/>
        <w:rPr>
          <w:sz w:val="20"/>
          <w:szCs w:val="20"/>
          <w:color w:val="auto"/>
        </w:rPr>
      </w:pPr>
      <w:r>
        <w:rPr>
          <w:rFonts w:ascii="Times New Roman" w:cs="Times New Roman" w:eastAsia="Times New Roman" w:hAnsi="Times New Roman"/>
          <w:sz w:val="16"/>
          <w:szCs w:val="16"/>
          <w:color w:val="auto"/>
        </w:rPr>
        <w:t>Unless otherwise specified in the prospectus supplement, we will mail notice of redemption at least 10 days but not more than 60 days before the redemption date to each holder of record of preferred stock to be redeemed at the address shown on our stock transfer books. Each notice shall state:</w:t>
      </w:r>
    </w:p>
    <w:p>
      <w:pPr>
        <w:spacing w:after="0" w:line="45" w:lineRule="exact"/>
        <w:rPr>
          <w:sz w:val="20"/>
          <w:szCs w:val="20"/>
          <w:color w:val="auto"/>
        </w:rPr>
      </w:pPr>
    </w:p>
    <w:p>
      <w:pPr>
        <w:ind w:left="1360" w:hanging="407"/>
        <w:spacing w:after="0"/>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date;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and series of preferred stock to be redeemed;</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price;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place or places where certificates for such preferred stock are to be surrendered for payment of the redemption price;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dividends on the shares to be redeemed will cease to accrue on such redemption date;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holder’s conversion rights, if any, as to such shares shall terminate; and</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specific number of shares to be redeemed from each such holder if fewer than all the shares of any series are to be redeemed.</w:t>
      </w:r>
    </w:p>
    <w:p>
      <w:pPr>
        <w:spacing w:after="0" w:line="211" w:lineRule="exact"/>
        <w:rPr>
          <w:sz w:val="20"/>
          <w:szCs w:val="20"/>
          <w:color w:val="auto"/>
        </w:rPr>
      </w:pPr>
    </w:p>
    <w:p>
      <w:pPr>
        <w:jc w:val="both"/>
        <w:ind w:left="440"/>
        <w:spacing w:after="0" w:line="263" w:lineRule="auto"/>
        <w:rPr>
          <w:sz w:val="20"/>
          <w:szCs w:val="20"/>
          <w:color w:val="auto"/>
        </w:rPr>
      </w:pPr>
      <w:r>
        <w:rPr>
          <w:rFonts w:ascii="Times New Roman" w:cs="Times New Roman" w:eastAsia="Times New Roman" w:hAnsi="Times New Roman"/>
          <w:sz w:val="17"/>
          <w:szCs w:val="17"/>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0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0760"/>
          </w:cols>
          <w:pgMar w:left="320" w:top="437" w:right="8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40" w:right="700"/>
        <w:spacing w:after="0" w:line="282" w:lineRule="auto"/>
        <w:rPr>
          <w:sz w:val="20"/>
          <w:szCs w:val="20"/>
          <w:color w:val="auto"/>
        </w:rPr>
      </w:pPr>
      <w:r>
        <w:rPr>
          <w:rFonts w:ascii="Times New Roman" w:cs="Times New Roman" w:eastAsia="Times New Roman" w:hAnsi="Times New Roman"/>
          <w:sz w:val="17"/>
          <w:szCs w:val="17"/>
          <w:i w:val="1"/>
          <w:iCs w:val="1"/>
          <w:color w:val="auto"/>
        </w:rPr>
        <w:t>Voting Rights</w:t>
      </w:r>
      <w:r>
        <w:rPr>
          <w:rFonts w:ascii="Times New Roman" w:cs="Times New Roman" w:eastAsia="Times New Roman" w:hAnsi="Times New Roman"/>
          <w:sz w:val="17"/>
          <w:szCs w:val="17"/>
          <w:color w:val="auto"/>
        </w:rPr>
        <w:t>. Holders of preferred stock will not have any voting rights, except as required by law or as indicated in the applicable prospectus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supplement.</w:t>
      </w:r>
    </w:p>
    <w:p>
      <w:pPr>
        <w:spacing w:after="0" w:line="154" w:lineRule="exact"/>
        <w:rPr>
          <w:sz w:val="20"/>
          <w:szCs w:val="20"/>
          <w:color w:val="auto"/>
        </w:rPr>
      </w:pPr>
    </w:p>
    <w:p>
      <w:pPr>
        <w:ind w:left="440" w:right="200"/>
        <w:spacing w:after="0" w:line="256" w:lineRule="auto"/>
        <w:rPr>
          <w:sz w:val="20"/>
          <w:szCs w:val="20"/>
          <w:color w:val="auto"/>
        </w:rPr>
      </w:pPr>
      <w:r>
        <w:rPr>
          <w:rFonts w:ascii="Times New Roman" w:cs="Times New Roman" w:eastAsia="Times New Roman" w:hAnsi="Times New Roman"/>
          <w:sz w:val="17"/>
          <w:szCs w:val="17"/>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72" w:lineRule="exact"/>
        <w:rPr>
          <w:sz w:val="20"/>
          <w:szCs w:val="20"/>
          <w:color w:val="auto"/>
        </w:rPr>
      </w:pPr>
    </w:p>
    <w:p>
      <w:pPr>
        <w:ind w:left="440" w:right="40"/>
        <w:spacing w:after="0" w:line="257" w:lineRule="auto"/>
        <w:rPr>
          <w:sz w:val="20"/>
          <w:szCs w:val="20"/>
          <w:color w:val="auto"/>
        </w:rPr>
      </w:pPr>
      <w:r>
        <w:rPr>
          <w:rFonts w:ascii="Times New Roman" w:cs="Times New Roman" w:eastAsia="Times New Roman" w:hAnsi="Times New Roman"/>
          <w:sz w:val="17"/>
          <w:szCs w:val="17"/>
          <w:i w:val="1"/>
          <w:iCs w:val="1"/>
          <w:color w:val="auto"/>
        </w:rPr>
        <w:t>Conversion Rights</w:t>
      </w:r>
      <w:r>
        <w:rPr>
          <w:rFonts w:ascii="Times New Roman" w:cs="Times New Roman" w:eastAsia="Times New Roman" w:hAnsi="Times New Roman"/>
          <w:sz w:val="17"/>
          <w:szCs w:val="17"/>
          <w:color w:val="auto"/>
        </w:rPr>
        <w:t>. The terms and conditions, if any, upon which any series of preferred stock is convertible into shares of our common stock will be set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forth in the 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Transfer Agent and Registrar</w:t>
      </w:r>
      <w:r>
        <w:rPr>
          <w:rFonts w:ascii="Times New Roman" w:cs="Times New Roman" w:eastAsia="Times New Roman" w:hAnsi="Times New Roman"/>
          <w:sz w:val="17"/>
          <w:szCs w:val="17"/>
          <w:color w:val="auto"/>
        </w:rPr>
        <w:t>. The transfer agent and registrar for the preferred stock will be set forth in the applicable prospectus supplement.</w:t>
      </w:r>
    </w:p>
    <w:p>
      <w:pPr>
        <w:spacing w:after="0" w:line="3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Amended and Restated Registration Rights Agreement</w:t>
      </w:r>
    </w:p>
    <w:p>
      <w:pPr>
        <w:spacing w:after="0" w:line="113" w:lineRule="exact"/>
        <w:rPr>
          <w:sz w:val="20"/>
          <w:szCs w:val="20"/>
          <w:color w:val="auto"/>
        </w:rPr>
      </w:pPr>
    </w:p>
    <w:p>
      <w:pPr>
        <w:ind w:left="440" w:right="60"/>
        <w:spacing w:after="0" w:line="256" w:lineRule="auto"/>
        <w:rPr>
          <w:sz w:val="20"/>
          <w:szCs w:val="20"/>
          <w:color w:val="auto"/>
        </w:rPr>
      </w:pPr>
      <w:r>
        <w:rPr>
          <w:rFonts w:ascii="Times New Roman" w:cs="Times New Roman" w:eastAsia="Times New Roman" w:hAnsi="Times New Roman"/>
          <w:sz w:val="17"/>
          <w:szCs w:val="17"/>
          <w:color w:val="auto"/>
        </w:rPr>
        <w:t>We are party to the Amended and Restated Registration Rights Agreement, dated March 29, 2017, or the Registration Rights Agreement, with certain of our stockholders, or the Investors, pursuant to which holders of a substantial number of shares of our common stock have the right to require us to register these shares under the Securities Act. The Registration Rights Agreement provides for demand and piggyback registration rights for the Investors. All expenses of registration (other than underwriting discounts and commissions) under the Registration Rights Agreement will be borne by us.</w:t>
      </w:r>
    </w:p>
    <w:p>
      <w:pPr>
        <w:spacing w:after="0" w:line="172"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Demand Registration Rights. </w:t>
      </w:r>
      <w:r>
        <w:rPr>
          <w:rFonts w:ascii="Times New Roman" w:cs="Times New Roman" w:eastAsia="Times New Roman" w:hAnsi="Times New Roman"/>
          <w:sz w:val="17"/>
          <w:szCs w:val="17"/>
          <w:color w:val="auto"/>
        </w:rPr>
        <w:t>The Investors are entitled to demand registration rights. Under the terms of the Registration Rights Agreement, we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required, upon the written request of Investors holding at least 20% of the securities eligible for registration then outstanding, to file a registration statement and use our best efforts to effect as soon as practicable the registration of such shares. We are required to effect up to two such demand registrations pursuant to the Registration Rights Agreement. In addition, so long as we are eligible to register the sale of securities on Form S-3 or any similar “short-form” registration statement under the Securities Act, the Investors have the right to demand unlimited registrations under the Registration Rights Agreement (but not to exceed two registrations on Form S-3 in any calendar year) provided that the securities for sale on Form S-3 have an aggregate price to the public of not less than $2.0 million.</w:t>
      </w:r>
    </w:p>
    <w:p>
      <w:pPr>
        <w:spacing w:after="0" w:line="176" w:lineRule="exact"/>
        <w:rPr>
          <w:sz w:val="20"/>
          <w:szCs w:val="20"/>
          <w:color w:val="auto"/>
        </w:rPr>
      </w:pPr>
    </w:p>
    <w:p>
      <w:pPr>
        <w:ind w:left="440" w:right="160"/>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Piggyback Registration Rights. </w:t>
      </w:r>
      <w:r>
        <w:rPr>
          <w:rFonts w:ascii="Times New Roman" w:cs="Times New Roman" w:eastAsia="Times New Roman" w:hAnsi="Times New Roman"/>
          <w:sz w:val="17"/>
          <w:szCs w:val="17"/>
          <w:color w:val="auto"/>
        </w:rPr>
        <w:t>If we register any of our equity securities either for our own account or for the account of other security holders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than certain registrations on Form S-8 or Form S-4), the Investors are entitled to piggyback registration rights and may include their shares in the registration. The Investors waived these piggyback registration rights in connection with the filing of this registration statement. The underwriters may advise us to limit the number of shares included in any underwritten offering to the number of shares which we and the underwriters determine in our sole discretion will not jeopardize the success of the offering. If this occurs, the aggregate number of securities held by the Investors that may be included in the underwriting shall be allocated among all requesting Investors in proportion to the amount of securities sought to be sold by each Investor.</w:t>
      </w:r>
    </w:p>
    <w:p>
      <w:pPr>
        <w:spacing w:after="0" w:line="11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0800"/>
          </w:cols>
          <w:pgMar w:left="320" w:top="437" w:right="7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40" w:right="6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Fees; Indemnification. </w:t>
      </w:r>
      <w:r>
        <w:rPr>
          <w:rFonts w:ascii="Times New Roman" w:cs="Times New Roman" w:eastAsia="Times New Roman" w:hAnsi="Times New Roman"/>
          <w:sz w:val="17"/>
          <w:szCs w:val="17"/>
          <w:color w:val="auto"/>
        </w:rPr>
        <w:t>Under the Registration Rights Agreement, we will be responsible, subject to certain exceptions, for the expenses of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registration of securities pursuant to the agreement, other than underwriting discounts and commissions.</w:t>
      </w:r>
    </w:p>
    <w:p>
      <w:pPr>
        <w:spacing w:after="0" w:line="154"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7"/>
          <w:szCs w:val="17"/>
          <w:color w:val="auto"/>
        </w:rPr>
        <w:t>The Registration Rights Agreement contains customary cross-indemnification provisions, under which we are obligated to indemnify the Investors in the event of material misstatements or omissions in the registration statement or any violation of the Securities Act, Exchange Act, state securities law or any rule or regulation promulgated thereunder attributable to us, and they are obligated to indemnify us, severally and not jointly, for material misstatements, omissions or any violation of the Securities Act, Exchange Act, state securities law or any rule or regulation promulgated thereunder attributable to them.</w:t>
      </w:r>
    </w:p>
    <w:p>
      <w:pPr>
        <w:spacing w:after="0" w:line="172" w:lineRule="exact"/>
        <w:rPr>
          <w:sz w:val="20"/>
          <w:szCs w:val="20"/>
          <w:color w:val="auto"/>
        </w:rPr>
      </w:pPr>
    </w:p>
    <w:p>
      <w:pPr>
        <w:ind w:left="440" w:right="280"/>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Termination of Registration Rights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demand registration rights and the piggyback registration rights granted under the Registration Rights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Agreement will terminate, with respect to each Investor, as of the date when all registrable securities held by and issued to such Investor may be sold under Rule 144 under the Securities Act during any 90 day period, provided such Investor owns less than 1% of our outstanding common stock.</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Investor Agreement</w:t>
      </w:r>
    </w:p>
    <w:p>
      <w:pPr>
        <w:spacing w:after="0" w:line="113" w:lineRule="exact"/>
        <w:rPr>
          <w:sz w:val="20"/>
          <w:szCs w:val="20"/>
          <w:color w:val="auto"/>
        </w:rPr>
      </w:pPr>
    </w:p>
    <w:p>
      <w:pPr>
        <w:ind w:left="440" w:right="20"/>
        <w:spacing w:after="0" w:line="252" w:lineRule="auto"/>
        <w:rPr>
          <w:sz w:val="20"/>
          <w:szCs w:val="20"/>
          <w:color w:val="auto"/>
        </w:rPr>
      </w:pPr>
      <w:r>
        <w:rPr>
          <w:rFonts w:ascii="Times New Roman" w:cs="Times New Roman" w:eastAsia="Times New Roman" w:hAnsi="Times New Roman"/>
          <w:sz w:val="17"/>
          <w:szCs w:val="17"/>
          <w:color w:val="auto"/>
        </w:rPr>
        <w:t>In October 2020, in connection with the execution of our collaboration and license agreement with Ultragenyx, we issued and sold 521,719 shares of our common stock to Ultragenyx. We are party to an Investor Agreement with Ultragenyx, dated October 22, 2020, pursuant to which we have agreed to file a registration statement registering all or a portion of the Ultragenyx shares upon receipt of a request from Ultragenyx within the ten year-period following Ultragenyx’s acquisition of the shares. In addition to other exceptions, we will not be required to effect more than two such demand registrations for Ultragenyx in the aggregate and we are not required to effect more than one such demand registration in any 12-month period. Ultragenyx is also entitled to certain “piggyback” registration rights such that for the ten year period following Ultragenyx’s acquisition of shares, subject to specified conditions and so long as Ultragenyx holds at least 1% of our outstanding common stock, whenever we propose to file a registration statement that includes shares of common stock by one or more selling stockholders (other than Ultragenyx), Ultragenyx will have the right to include some or all of its shares in such registration. The Investor Agreement also contains other customary terms and conditions of the parties with respect to the registration of the Ultragenyx shares.</w:t>
      </w:r>
    </w:p>
    <w:p>
      <w:pPr>
        <w:spacing w:after="0" w:line="2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Provisions of Our Certificate of Incorporation and Bylaws and Delaware Law That May Have Anti-Takeover Effects</w:t>
      </w:r>
    </w:p>
    <w:p>
      <w:pPr>
        <w:spacing w:after="0" w:line="113"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7"/>
          <w:szCs w:val="17"/>
          <w:color w:val="auto"/>
        </w:rPr>
        <w:t>Some provisions of the Delaware General Corporation Law, or the DGCL, our charter and our bylaws contain provisions that could have the effect of delaying, deterring or preventing another party from acquiring or seeking to acquire control of us through the use of the following: acquisition of us by means of a tender offer; acquisition of us by means of a proxy contest or otherwise; or removal of our incumbent officers and directors. These provisions may delay, deter or prevent a change in control or other takeover of us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w:t>
      </w:r>
    </w:p>
    <w:p>
      <w:pPr>
        <w:spacing w:after="0" w:line="175" w:lineRule="exact"/>
        <w:rPr>
          <w:sz w:val="20"/>
          <w:szCs w:val="20"/>
          <w:color w:val="auto"/>
        </w:rPr>
      </w:pPr>
    </w:p>
    <w:p>
      <w:pPr>
        <w:ind w:left="440" w:right="120"/>
        <w:spacing w:after="0" w:line="258" w:lineRule="auto"/>
        <w:rPr>
          <w:sz w:val="20"/>
          <w:szCs w:val="20"/>
          <w:color w:val="auto"/>
        </w:rPr>
      </w:pPr>
      <w:r>
        <w:rPr>
          <w:rFonts w:ascii="Times New Roman" w:cs="Times New Roman" w:eastAsia="Times New Roman" w:hAnsi="Times New Roman"/>
          <w:sz w:val="17"/>
          <w:szCs w:val="17"/>
          <w:color w:val="auto"/>
        </w:rPr>
        <w:t>These provisions are intended to discourage certain types of coercive takeover practices and inadequate takeover bids and to encourage anyone seeking to acquire control of us to negotiate first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82" w:lineRule="exact"/>
        <w:rPr>
          <w:sz w:val="20"/>
          <w:szCs w:val="20"/>
          <w:color w:val="auto"/>
        </w:rPr>
      </w:pPr>
    </w:p>
    <w:p>
      <w:pPr>
        <w:ind w:left="1360" w:right="240" w:hanging="407"/>
        <w:spacing w:after="0" w:line="282" w:lineRule="auto"/>
        <w:tabs>
          <w:tab w:leader="none" w:pos="13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Board of Directors Vacancies: </w:t>
      </w:r>
      <w:r>
        <w:rPr>
          <w:rFonts w:ascii="Times New Roman" w:cs="Times New Roman" w:eastAsia="Times New Roman" w:hAnsi="Times New Roman"/>
          <w:sz w:val="17"/>
          <w:szCs w:val="17"/>
          <w:color w:val="auto"/>
        </w:rPr>
        <w:t>Our charter and bylaws authorize only our board of directors to fill vacant directorships, including newly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created seats. In addition, the number of directors constituting</w:t>
      </w:r>
    </w:p>
    <w:p>
      <w:pPr>
        <w:spacing w:after="0" w:line="9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0800"/>
          </w:cols>
          <w:pgMar w:left="320" w:top="437" w:right="7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1380" w:right="120"/>
        <w:spacing w:after="0" w:line="258" w:lineRule="auto"/>
        <w:rPr>
          <w:sz w:val="20"/>
          <w:szCs w:val="20"/>
          <w:color w:val="auto"/>
        </w:rPr>
      </w:pPr>
      <w:r>
        <w:rPr>
          <w:rFonts w:ascii="Times New Roman" w:cs="Times New Roman" w:eastAsia="Times New Roman" w:hAnsi="Times New Roman"/>
          <w:sz w:val="17"/>
          <w:szCs w:val="17"/>
          <w:color w:val="auto"/>
        </w:rPr>
        <w:t>our board of directors may only be set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82" w:lineRule="exact"/>
        <w:rPr>
          <w:sz w:val="20"/>
          <w:szCs w:val="20"/>
          <w:color w:val="auto"/>
        </w:rPr>
      </w:pPr>
    </w:p>
    <w:p>
      <w:pPr>
        <w:ind w:left="1360" w:right="60" w:hanging="407"/>
        <w:spacing w:after="0" w:line="266" w:lineRule="auto"/>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Classified Board: </w:t>
      </w:r>
      <w:r>
        <w:rPr>
          <w:rFonts w:ascii="Times New Roman" w:cs="Times New Roman" w:eastAsia="Times New Roman" w:hAnsi="Times New Roman"/>
          <w:sz w:val="17"/>
          <w:szCs w:val="17"/>
          <w:color w:val="auto"/>
        </w:rPr>
        <w:t>Our charter and bylaws provide that our board of directors will be classified into three classes of directors, each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73" w:lineRule="exact"/>
        <w:rPr>
          <w:rFonts w:ascii="Times New Roman" w:cs="Times New Roman" w:eastAsia="Times New Roman" w:hAnsi="Times New Roman"/>
          <w:sz w:val="17"/>
          <w:szCs w:val="17"/>
          <w:color w:val="auto"/>
        </w:rPr>
      </w:pPr>
    </w:p>
    <w:p>
      <w:pPr>
        <w:ind w:left="1360" w:right="120" w:hanging="407"/>
        <w:spacing w:after="0" w:line="254" w:lineRule="auto"/>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Stockholder Action; Special Meetings of Stockholders: </w:t>
      </w:r>
      <w:r>
        <w:rPr>
          <w:rFonts w:ascii="Times New Roman" w:cs="Times New Roman" w:eastAsia="Times New Roman" w:hAnsi="Times New Roman"/>
          <w:sz w:val="17"/>
          <w:szCs w:val="17"/>
          <w:color w:val="auto"/>
        </w:rPr>
        <w:t>Our charter provides that our stockholders may not take action by written consent,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and charter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87" w:lineRule="exact"/>
        <w:rPr>
          <w:rFonts w:ascii="Times New Roman" w:cs="Times New Roman" w:eastAsia="Times New Roman" w:hAnsi="Times New Roman"/>
          <w:sz w:val="17"/>
          <w:szCs w:val="17"/>
          <w:color w:val="auto"/>
        </w:rPr>
      </w:pPr>
    </w:p>
    <w:p>
      <w:pPr>
        <w:ind w:left="1360" w:right="60" w:hanging="407"/>
        <w:spacing w:after="0" w:line="254" w:lineRule="auto"/>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Advance Notice Requirements for Stockholder Proposals and Director Nominations: </w:t>
      </w:r>
      <w:r>
        <w:rPr>
          <w:rFonts w:ascii="Times New Roman" w:cs="Times New Roman" w:eastAsia="Times New Roman" w:hAnsi="Times New Roman"/>
          <w:sz w:val="17"/>
          <w:szCs w:val="17"/>
          <w:color w:val="auto"/>
        </w:rPr>
        <w:t>Our bylaws provide advance notice procedures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seeking to bring matters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87" w:lineRule="exact"/>
        <w:rPr>
          <w:rFonts w:ascii="Times New Roman" w:cs="Times New Roman" w:eastAsia="Times New Roman" w:hAnsi="Times New Roman"/>
          <w:sz w:val="17"/>
          <w:szCs w:val="17"/>
          <w:color w:val="auto"/>
        </w:rPr>
      </w:pPr>
    </w:p>
    <w:p>
      <w:pPr>
        <w:ind w:left="1360" w:hanging="407"/>
        <w:spacing w:after="0" w:line="256" w:lineRule="auto"/>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Supermajority Voting: </w:t>
      </w:r>
      <w:r>
        <w:rPr>
          <w:rFonts w:ascii="Times New Roman" w:cs="Times New Roman" w:eastAsia="Times New Roman" w:hAnsi="Times New Roman"/>
          <w:sz w:val="17"/>
          <w:szCs w:val="17"/>
          <w:color w:val="auto"/>
        </w:rPr>
        <w:t>The DGCL provides, generally, that the affirmative vote of a majority of the shares entitled to vote on any matter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two-thirds of the votes that all our stockholders would be entitled to cast in an annual election of directors. In addition, the affirmative vote of the holders of at least two-thirds of the votes that all our stockholders would be entitled to cast in an election of directors is required to amend or repeal or to adopt certain provisions of our charter.</w:t>
      </w:r>
    </w:p>
    <w:p>
      <w:pPr>
        <w:spacing w:after="0" w:line="81" w:lineRule="exact"/>
        <w:rPr>
          <w:rFonts w:ascii="Times New Roman" w:cs="Times New Roman" w:eastAsia="Times New Roman" w:hAnsi="Times New Roman"/>
          <w:sz w:val="17"/>
          <w:szCs w:val="17"/>
          <w:color w:val="auto"/>
        </w:rPr>
      </w:pPr>
    </w:p>
    <w:p>
      <w:pPr>
        <w:ind w:left="1360" w:right="380" w:hanging="407"/>
        <w:spacing w:after="0" w:line="282" w:lineRule="auto"/>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Cumulative Voting: </w:t>
      </w:r>
      <w:r>
        <w:rPr>
          <w:rFonts w:ascii="Times New Roman" w:cs="Times New Roman" w:eastAsia="Times New Roman" w:hAnsi="Times New Roman"/>
          <w:sz w:val="17"/>
          <w:szCs w:val="17"/>
          <w:color w:val="auto"/>
        </w:rPr>
        <w:t>The DGCL provides that stockholders are not entitled to the right to cumulate votes in the election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unless a corporation’s certificate of incorporation provides otherwise. Our charter does not provide for cumulative voting.</w:t>
      </w:r>
    </w:p>
    <w:p>
      <w:pPr>
        <w:spacing w:after="0" w:line="60" w:lineRule="exact"/>
        <w:rPr>
          <w:rFonts w:ascii="Times New Roman" w:cs="Times New Roman" w:eastAsia="Times New Roman" w:hAnsi="Times New Roman"/>
          <w:sz w:val="17"/>
          <w:szCs w:val="17"/>
          <w:color w:val="auto"/>
        </w:rPr>
      </w:pPr>
    </w:p>
    <w:p>
      <w:pPr>
        <w:ind w:left="1360" w:right="620" w:hanging="407"/>
        <w:spacing w:after="0" w:line="282" w:lineRule="auto"/>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Removal of Directors Only for Cause: </w:t>
      </w:r>
      <w:r>
        <w:rPr>
          <w:rFonts w:ascii="Times New Roman" w:cs="Times New Roman" w:eastAsia="Times New Roman" w:hAnsi="Times New Roman"/>
          <w:sz w:val="17"/>
          <w:szCs w:val="17"/>
          <w:color w:val="auto"/>
        </w:rPr>
        <w:t>Our charter provides that stockholders may remove directors only for cause and only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affirmative vote of the holders of at least two-thirds of our outstanding common stock.</w:t>
      </w:r>
    </w:p>
    <w:p>
      <w:pPr>
        <w:spacing w:after="0" w:line="60" w:lineRule="exact"/>
        <w:rPr>
          <w:rFonts w:ascii="Times New Roman" w:cs="Times New Roman" w:eastAsia="Times New Roman" w:hAnsi="Times New Roman"/>
          <w:sz w:val="17"/>
          <w:szCs w:val="17"/>
          <w:color w:val="auto"/>
        </w:rPr>
      </w:pPr>
    </w:p>
    <w:p>
      <w:pPr>
        <w:ind w:left="1360" w:right="80" w:hanging="407"/>
        <w:spacing w:after="0" w:line="256" w:lineRule="auto"/>
        <w:tabs>
          <w:tab w:leader="none" w:pos="13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Exclusive Forum: </w:t>
      </w:r>
      <w:r>
        <w:rPr>
          <w:rFonts w:ascii="Times New Roman" w:cs="Times New Roman" w:eastAsia="Times New Roman" w:hAnsi="Times New Roman"/>
          <w:sz w:val="17"/>
          <w:szCs w:val="17"/>
          <w:color w:val="auto"/>
        </w:rPr>
        <w:t>Our charter provides that the Court of Chancery of the State of Delaware will be the exclusive forum for: any derivative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 or proceeding brought on our behalf; any action asserting a breach of fiduciary duty; any action asserting a claim against us arising pursuant to the DGCL, our charter or our bylaws; any action to interpret, apply, enforce or determine the validity of our charter or our bylaws; or any action asserting a claim against us that is governed by the internal affairs doctrine. We do not intend to have this choice of forum provision apply to, and this choice of forum provision will not apply to, actions arising under the Securities Act or the Exchange Act.</w:t>
      </w:r>
    </w:p>
    <w:p>
      <w:pPr>
        <w:spacing w:after="0" w:line="11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0800"/>
          </w:cols>
          <w:pgMar w:left="320" w:top="437" w:right="7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1360" w:right="60" w:hanging="407"/>
        <w:spacing w:after="0" w:line="256" w:lineRule="auto"/>
        <w:tabs>
          <w:tab w:leader="none" w:pos="13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Delaware Business Combination Statute. </w:t>
      </w:r>
      <w:r>
        <w:rPr>
          <w:rFonts w:ascii="Times New Roman" w:cs="Times New Roman" w:eastAsia="Times New Roman" w:hAnsi="Times New Roman"/>
          <w:sz w:val="17"/>
          <w:szCs w:val="17"/>
          <w:color w:val="auto"/>
        </w:rPr>
        <w:t>We are subject to Section 203 of the DGCL, or Section 203, which prohibits a Delaware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or the interested stockholder. Section 203 provides that an interested stockholder may not engage in business combinations with the corporation for a period of three years after the date that such stockholder became an interested stockholder, with the following exceptions:</w:t>
      </w:r>
    </w:p>
    <w:p>
      <w:pPr>
        <w:spacing w:after="0" w:line="85" w:lineRule="exact"/>
        <w:rPr>
          <w:rFonts w:ascii="Times New Roman" w:cs="Times New Roman" w:eastAsia="Times New Roman" w:hAnsi="Times New Roman"/>
          <w:sz w:val="17"/>
          <w:szCs w:val="17"/>
          <w:color w:val="auto"/>
        </w:rPr>
      </w:pPr>
    </w:p>
    <w:p>
      <w:pPr>
        <w:ind w:left="1780" w:hanging="306"/>
        <w:spacing w:after="0" w:line="277" w:lineRule="auto"/>
        <w:tabs>
          <w:tab w:leader="none" w:pos="178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such date, the board of directors of the corporation approved either the business combination or the transaction that resulted in the stockholder becoming an interested stockholder;</w:t>
      </w:r>
    </w:p>
    <w:p>
      <w:pPr>
        <w:spacing w:after="0" w:line="69" w:lineRule="exact"/>
        <w:rPr>
          <w:rFonts w:ascii="Times New Roman" w:cs="Times New Roman" w:eastAsia="Times New Roman" w:hAnsi="Times New Roman"/>
          <w:sz w:val="17"/>
          <w:szCs w:val="17"/>
          <w:color w:val="auto"/>
        </w:rPr>
      </w:pPr>
    </w:p>
    <w:p>
      <w:pPr>
        <w:ind w:left="1780" w:right="200" w:hanging="306"/>
        <w:spacing w:after="0" w:line="276" w:lineRule="auto"/>
        <w:tabs>
          <w:tab w:leader="none" w:pos="1780" w:val="left"/>
        </w:tabs>
        <w:numPr>
          <w:ilvl w:val="1"/>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1" w:lineRule="exact"/>
        <w:rPr>
          <w:rFonts w:ascii="Times New Roman" w:cs="Times New Roman" w:eastAsia="Times New Roman" w:hAnsi="Times New Roman"/>
          <w:sz w:val="16"/>
          <w:szCs w:val="16"/>
          <w:color w:val="auto"/>
        </w:rPr>
      </w:pPr>
    </w:p>
    <w:p>
      <w:pPr>
        <w:jc w:val="both"/>
        <w:ind w:left="1780" w:right="80" w:hanging="306"/>
        <w:spacing w:after="0" w:line="263" w:lineRule="auto"/>
        <w:tabs>
          <w:tab w:leader="none" w:pos="178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general, Section 203 defines business combinations to include the following:</w:t>
      </w:r>
    </w:p>
    <w:p>
      <w:pPr>
        <w:spacing w:after="0" w:line="122" w:lineRule="exact"/>
        <w:rPr>
          <w:sz w:val="20"/>
          <w:szCs w:val="20"/>
          <w:color w:val="auto"/>
        </w:rPr>
      </w:pPr>
    </w:p>
    <w:p>
      <w:pPr>
        <w:ind w:left="1780" w:hanging="306"/>
        <w:spacing w:after="0"/>
        <w:tabs>
          <w:tab w:leader="none" w:pos="17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involving the corporation and the interested stockholder;</w:t>
      </w:r>
    </w:p>
    <w:p>
      <w:pPr>
        <w:spacing w:after="0" w:line="121" w:lineRule="exact"/>
        <w:rPr>
          <w:rFonts w:ascii="Times New Roman" w:cs="Times New Roman" w:eastAsia="Times New Roman" w:hAnsi="Times New Roman"/>
          <w:sz w:val="17"/>
          <w:szCs w:val="17"/>
          <w:color w:val="auto"/>
        </w:rPr>
      </w:pPr>
    </w:p>
    <w:p>
      <w:pPr>
        <w:ind w:left="1780" w:right="100" w:hanging="306"/>
        <w:spacing w:after="0" w:line="277" w:lineRule="auto"/>
        <w:tabs>
          <w:tab w:leader="none" w:pos="17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lease, transfer, pledge or other disposition of 10% or more of the aggregate market value of the assets of the corporation to or with the interested stockholder;</w:t>
      </w:r>
    </w:p>
    <w:p>
      <w:pPr>
        <w:spacing w:after="0" w:line="69" w:lineRule="exact"/>
        <w:rPr>
          <w:rFonts w:ascii="Times New Roman" w:cs="Times New Roman" w:eastAsia="Times New Roman" w:hAnsi="Times New Roman"/>
          <w:sz w:val="17"/>
          <w:szCs w:val="17"/>
          <w:color w:val="auto"/>
        </w:rPr>
      </w:pPr>
    </w:p>
    <w:p>
      <w:pPr>
        <w:ind w:left="1780" w:right="20" w:hanging="306"/>
        <w:spacing w:after="0" w:line="277" w:lineRule="auto"/>
        <w:tabs>
          <w:tab w:leader="none" w:pos="17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certain exceptions, any transaction that results in the issuance or transfer by the corporation of any stock of the corporation to the interested stockholder;</w:t>
      </w:r>
    </w:p>
    <w:p>
      <w:pPr>
        <w:spacing w:after="0" w:line="69" w:lineRule="exact"/>
        <w:rPr>
          <w:rFonts w:ascii="Times New Roman" w:cs="Times New Roman" w:eastAsia="Times New Roman" w:hAnsi="Times New Roman"/>
          <w:sz w:val="17"/>
          <w:szCs w:val="17"/>
          <w:color w:val="auto"/>
        </w:rPr>
      </w:pPr>
    </w:p>
    <w:p>
      <w:pPr>
        <w:ind w:left="1780" w:hanging="306"/>
        <w:spacing w:after="0" w:line="277" w:lineRule="auto"/>
        <w:tabs>
          <w:tab w:leader="none" w:pos="17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69" w:lineRule="exact"/>
        <w:rPr>
          <w:rFonts w:ascii="Times New Roman" w:cs="Times New Roman" w:eastAsia="Times New Roman" w:hAnsi="Times New Roman"/>
          <w:sz w:val="17"/>
          <w:szCs w:val="17"/>
          <w:color w:val="auto"/>
        </w:rPr>
      </w:pPr>
    </w:p>
    <w:p>
      <w:pPr>
        <w:ind w:left="1780" w:right="220" w:hanging="306"/>
        <w:spacing w:after="0" w:line="277" w:lineRule="auto"/>
        <w:tabs>
          <w:tab w:leader="none" w:pos="178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the interested stockholder of the benefit of any loans, advances, guarantees, pledges or other financial benefits by or through the corporation.</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0800"/>
          </w:cols>
          <w:pgMar w:left="320" w:top="437" w:right="7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b w:val="1"/>
          <w:bCs w:val="1"/>
          <w:color w:val="auto"/>
        </w:rPr>
        <w:t>DESCRIPTION OF DEPOSITARY SHARES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3"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7"/>
          <w:szCs w:val="17"/>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75" w:lineRule="exact"/>
        <w:rPr>
          <w:sz w:val="20"/>
          <w:szCs w:val="20"/>
          <w:color w:val="auto"/>
        </w:rPr>
      </w:pPr>
    </w:p>
    <w:p>
      <w:pPr>
        <w:jc w:val="both"/>
        <w:ind w:left="440" w:right="20"/>
        <w:spacing w:after="0" w:line="263" w:lineRule="auto"/>
        <w:rPr>
          <w:sz w:val="20"/>
          <w:szCs w:val="20"/>
          <w:color w:val="auto"/>
        </w:rPr>
      </w:pPr>
      <w:r>
        <w:rPr>
          <w:rFonts w:ascii="Times New Roman" w:cs="Times New Roman" w:eastAsia="Times New Roman" w:hAnsi="Times New Roman"/>
          <w:sz w:val="17"/>
          <w:szCs w:val="17"/>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70" w:lineRule="exact"/>
        <w:rPr>
          <w:sz w:val="20"/>
          <w:szCs w:val="20"/>
          <w:color w:val="auto"/>
        </w:rPr>
      </w:pPr>
    </w:p>
    <w:p>
      <w:pPr>
        <w:ind w:left="440" w:right="200"/>
        <w:spacing w:after="0" w:line="263" w:lineRule="auto"/>
        <w:rPr>
          <w:sz w:val="20"/>
          <w:szCs w:val="20"/>
          <w:color w:val="auto"/>
        </w:rPr>
      </w:pPr>
      <w:r>
        <w:rPr>
          <w:rFonts w:ascii="Times New Roman" w:cs="Times New Roman" w:eastAsia="Times New Roman" w:hAnsi="Times New Roman"/>
          <w:sz w:val="17"/>
          <w:szCs w:val="17"/>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with and paying certain charges to the depositary.</w:t>
      </w:r>
    </w:p>
    <w:p>
      <w:pPr>
        <w:spacing w:after="0" w:line="170" w:lineRule="exact"/>
        <w:rPr>
          <w:sz w:val="20"/>
          <w:szCs w:val="20"/>
          <w:color w:val="auto"/>
        </w:rPr>
      </w:pPr>
    </w:p>
    <w:p>
      <w:pPr>
        <w:ind w:left="440" w:right="100"/>
        <w:spacing w:after="0" w:line="263" w:lineRule="auto"/>
        <w:rPr>
          <w:sz w:val="20"/>
          <w:szCs w:val="20"/>
          <w:color w:val="auto"/>
        </w:rPr>
      </w:pPr>
      <w:r>
        <w:rPr>
          <w:rFonts w:ascii="Times New Roman" w:cs="Times New Roman" w:eastAsia="Times New Roman" w:hAnsi="Times New Roman"/>
          <w:sz w:val="17"/>
          <w:szCs w:val="17"/>
          <w:color w:val="auto"/>
        </w:rPr>
        <w:t>The summary of terms of the depositary shares contained in this prospectus is not a complete description of the terms of the depositary shares. You should refer to the form of the deposit agreement, our certificate of incorporation and the certificate of designation for the applicable series of preferred stock that are, or will be, filed with the SEC.</w:t>
      </w:r>
    </w:p>
    <w:p>
      <w:pPr>
        <w:spacing w:after="0" w:line="2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Dividends and Other Distributions</w:t>
      </w:r>
    </w:p>
    <w:p>
      <w:pPr>
        <w:spacing w:after="0" w:line="113" w:lineRule="exact"/>
        <w:rPr>
          <w:sz w:val="20"/>
          <w:szCs w:val="20"/>
          <w:color w:val="auto"/>
        </w:rPr>
      </w:pPr>
    </w:p>
    <w:p>
      <w:pPr>
        <w:jc w:val="both"/>
        <w:ind w:left="440" w:right="180"/>
        <w:spacing w:after="0" w:line="263" w:lineRule="auto"/>
        <w:rPr>
          <w:sz w:val="20"/>
          <w:szCs w:val="20"/>
          <w:color w:val="auto"/>
        </w:rPr>
      </w:pPr>
      <w:r>
        <w:rPr>
          <w:rFonts w:ascii="Times New Roman" w:cs="Times New Roman" w:eastAsia="Times New Roman" w:hAnsi="Times New Roman"/>
          <w:sz w:val="17"/>
          <w:szCs w:val="17"/>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70" w:lineRule="exact"/>
        <w:rPr>
          <w:sz w:val="20"/>
          <w:szCs w:val="20"/>
          <w:color w:val="auto"/>
        </w:rPr>
      </w:pPr>
    </w:p>
    <w:p>
      <w:pPr>
        <w:ind w:left="440" w:right="60"/>
        <w:spacing w:after="0" w:line="263" w:lineRule="auto"/>
        <w:rPr>
          <w:sz w:val="20"/>
          <w:szCs w:val="20"/>
          <w:color w:val="auto"/>
        </w:rPr>
      </w:pPr>
      <w:r>
        <w:rPr>
          <w:rFonts w:ascii="Times New Roman" w:cs="Times New Roman" w:eastAsia="Times New Roman" w:hAnsi="Times New Roman"/>
          <w:sz w:val="17"/>
          <w:szCs w:val="17"/>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2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Liquidation Preference</w:t>
      </w:r>
    </w:p>
    <w:p>
      <w:pPr>
        <w:spacing w:after="0" w:line="113" w:lineRule="exact"/>
        <w:rPr>
          <w:sz w:val="20"/>
          <w:szCs w:val="20"/>
          <w:color w:val="auto"/>
        </w:rPr>
      </w:pPr>
    </w:p>
    <w:p>
      <w:pPr>
        <w:ind w:left="440" w:right="120"/>
        <w:spacing w:after="0" w:line="263" w:lineRule="auto"/>
        <w:rPr>
          <w:sz w:val="20"/>
          <w:szCs w:val="20"/>
          <w:color w:val="auto"/>
        </w:rPr>
      </w:pPr>
      <w:r>
        <w:rPr>
          <w:rFonts w:ascii="Times New Roman" w:cs="Times New Roman" w:eastAsia="Times New Roman" w:hAnsi="Times New Roman"/>
          <w:sz w:val="17"/>
          <w:szCs w:val="17"/>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2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Withdrawal of Stock</w:t>
      </w:r>
    </w:p>
    <w:p>
      <w:pPr>
        <w:spacing w:after="0" w:line="113" w:lineRule="exact"/>
        <w:rPr>
          <w:sz w:val="20"/>
          <w:szCs w:val="20"/>
          <w:color w:val="auto"/>
        </w:rPr>
      </w:pPr>
    </w:p>
    <w:p>
      <w:pPr>
        <w:jc w:val="both"/>
        <w:ind w:left="440"/>
        <w:spacing w:after="0" w:line="287" w:lineRule="auto"/>
        <w:rPr>
          <w:sz w:val="20"/>
          <w:szCs w:val="20"/>
          <w:color w:val="auto"/>
        </w:rPr>
      </w:pPr>
      <w:r>
        <w:rPr>
          <w:rFonts w:ascii="Times New Roman" w:cs="Times New Roman" w:eastAsia="Times New Roman" w:hAnsi="Times New Roman"/>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w:t>
      </w:r>
    </w:p>
    <w:p>
      <w:pPr>
        <w:spacing w:after="0" w:line="8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0780"/>
          </w:cols>
          <w:pgMar w:left="320" w:top="437" w:right="7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7"/>
          <w:szCs w:val="17"/>
          <w:color w:val="auto"/>
        </w:rPr>
        <w:t>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2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Redemption of Depositary Shares</w:t>
      </w:r>
    </w:p>
    <w:p>
      <w:pPr>
        <w:spacing w:after="0" w:line="113" w:lineRule="exact"/>
        <w:rPr>
          <w:sz w:val="20"/>
          <w:szCs w:val="20"/>
          <w:color w:val="auto"/>
        </w:rPr>
      </w:pPr>
    </w:p>
    <w:p>
      <w:pPr>
        <w:ind w:left="440" w:right="40"/>
        <w:spacing w:after="0" w:line="255" w:lineRule="auto"/>
        <w:rPr>
          <w:sz w:val="20"/>
          <w:szCs w:val="20"/>
          <w:color w:val="auto"/>
        </w:rPr>
      </w:pPr>
      <w:r>
        <w:rPr>
          <w:rFonts w:ascii="Times New Roman" w:cs="Times New Roman" w:eastAsia="Times New Roman" w:hAnsi="Times New Roman"/>
          <w:sz w:val="17"/>
          <w:szCs w:val="17"/>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75" w:lineRule="exact"/>
        <w:rPr>
          <w:sz w:val="20"/>
          <w:szCs w:val="20"/>
          <w:color w:val="auto"/>
        </w:rPr>
      </w:pPr>
    </w:p>
    <w:p>
      <w:pPr>
        <w:jc w:val="both"/>
        <w:ind w:left="440" w:right="120"/>
        <w:spacing w:after="0" w:line="287" w:lineRule="auto"/>
        <w:rPr>
          <w:sz w:val="20"/>
          <w:szCs w:val="20"/>
          <w:color w:val="auto"/>
        </w:rPr>
      </w:pPr>
      <w:r>
        <w:rPr>
          <w:rFonts w:ascii="Times New Roman" w:cs="Times New Roman" w:eastAsia="Times New Roman" w:hAnsi="Times New Roman"/>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Voting the Preferred Stock</w:t>
      </w:r>
    </w:p>
    <w:p>
      <w:pPr>
        <w:spacing w:after="0" w:line="113" w:lineRule="exact"/>
        <w:rPr>
          <w:sz w:val="20"/>
          <w:szCs w:val="20"/>
          <w:color w:val="auto"/>
        </w:rPr>
      </w:pPr>
    </w:p>
    <w:p>
      <w:pPr>
        <w:ind w:left="440" w:right="40"/>
        <w:spacing w:after="0" w:line="253" w:lineRule="auto"/>
        <w:rPr>
          <w:sz w:val="20"/>
          <w:szCs w:val="20"/>
          <w:color w:val="auto"/>
        </w:rPr>
      </w:pPr>
      <w:r>
        <w:rPr>
          <w:rFonts w:ascii="Times New Roman" w:cs="Times New Roman" w:eastAsia="Times New Roman" w:hAnsi="Times New Roman"/>
          <w:sz w:val="17"/>
          <w:szCs w:val="17"/>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Charges of Depositary</w:t>
      </w:r>
    </w:p>
    <w:p>
      <w:pPr>
        <w:spacing w:after="0" w:line="113" w:lineRule="exact"/>
        <w:rPr>
          <w:sz w:val="20"/>
          <w:szCs w:val="20"/>
          <w:color w:val="auto"/>
        </w:rPr>
      </w:pPr>
    </w:p>
    <w:p>
      <w:pPr>
        <w:ind w:left="440" w:right="140"/>
        <w:spacing w:after="0" w:line="254" w:lineRule="auto"/>
        <w:rPr>
          <w:sz w:val="20"/>
          <w:szCs w:val="20"/>
          <w:color w:val="auto"/>
        </w:rPr>
      </w:pPr>
      <w:r>
        <w:rPr>
          <w:rFonts w:ascii="Times New Roman" w:cs="Times New Roman" w:eastAsia="Times New Roman" w:hAnsi="Times New Roman"/>
          <w:sz w:val="17"/>
          <w:szCs w:val="17"/>
          <w:color w:val="auto"/>
        </w:rPr>
        <w:t>We will pay all transfer and other taxes and governmental charges arising solely from the existence of the depositary arrangements. We will pay the charges due to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2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Amendment and Termination of the Deposit Agreement</w:t>
      </w:r>
    </w:p>
    <w:p>
      <w:pPr>
        <w:spacing w:after="0" w:line="113" w:lineRule="exact"/>
        <w:rPr>
          <w:sz w:val="20"/>
          <w:szCs w:val="20"/>
          <w:color w:val="auto"/>
        </w:rPr>
      </w:pPr>
    </w:p>
    <w:p>
      <w:pPr>
        <w:ind w:left="440" w:right="80"/>
        <w:spacing w:after="0" w:line="277" w:lineRule="auto"/>
        <w:rPr>
          <w:sz w:val="20"/>
          <w:szCs w:val="20"/>
          <w:color w:val="auto"/>
        </w:rPr>
      </w:pPr>
      <w:r>
        <w:rPr>
          <w:rFonts w:ascii="Times New Roman" w:cs="Times New Roman" w:eastAsia="Times New Roman" w:hAnsi="Times New Roman"/>
          <w:sz w:val="17"/>
          <w:szCs w:val="17"/>
          <w:color w:val="auto"/>
        </w:rPr>
        <w:t>The form of depositary receipt evidencing the depositary shares and any provision of the deposit agreement may be amended by agreement between us and the depositary. However, any amendment that materially and</w:t>
      </w:r>
    </w:p>
    <w:p>
      <w:pPr>
        <w:spacing w:after="0" w:line="9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0740"/>
          </w:cols>
          <w:pgMar w:left="320" w:top="437" w:right="8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spacing w:after="0" w:line="263" w:lineRule="auto"/>
        <w:rPr>
          <w:sz w:val="20"/>
          <w:szCs w:val="20"/>
          <w:color w:val="auto"/>
        </w:rPr>
      </w:pPr>
      <w:r>
        <w:rPr>
          <w:rFonts w:ascii="Times New Roman" w:cs="Times New Roman" w:eastAsia="Times New Roman" w:hAnsi="Times New Roman"/>
          <w:sz w:val="17"/>
          <w:szCs w:val="17"/>
          <w:color w:val="auto"/>
        </w:rPr>
        <w:t>adversely alters the rights of the holders of depositary shares, other than fee changes, will not be effective unless the amendment has been approved by the holders of a majority of the outstanding depositary shares affected by the amendment. The deposit agreement may be terminated by the depositary or us only if:</w:t>
      </w:r>
    </w:p>
    <w:p>
      <w:pPr>
        <w:spacing w:after="0" w:line="81" w:lineRule="exact"/>
        <w:rPr>
          <w:sz w:val="20"/>
          <w:szCs w:val="20"/>
          <w:color w:val="auto"/>
        </w:rPr>
      </w:pPr>
    </w:p>
    <w:p>
      <w:pPr>
        <w:ind w:left="1360" w:hanging="407"/>
        <w:spacing w:after="0"/>
        <w:tabs>
          <w:tab w:leader="none" w:pos="13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outstanding depositary shares have been redeemed; or</w:t>
      </w:r>
    </w:p>
    <w:p>
      <w:pPr>
        <w:spacing w:after="0" w:line="121" w:lineRule="exact"/>
        <w:rPr>
          <w:rFonts w:ascii="Times New Roman" w:cs="Times New Roman" w:eastAsia="Times New Roman" w:hAnsi="Times New Roman"/>
          <w:sz w:val="17"/>
          <w:szCs w:val="17"/>
          <w:color w:val="auto"/>
        </w:rPr>
      </w:pPr>
    </w:p>
    <w:p>
      <w:pPr>
        <w:ind w:left="1360" w:right="180" w:hanging="407"/>
        <w:spacing w:after="0" w:line="277" w:lineRule="auto"/>
        <w:tabs>
          <w:tab w:leader="none" w:pos="13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has been a final distribution of the preferred stock in connection with our dissolution and such distribution has been made to all the holders of depositary shares.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Resignation and Removal of Depositary</w:t>
      </w:r>
    </w:p>
    <w:p>
      <w:pPr>
        <w:spacing w:after="0" w:line="113" w:lineRule="exact"/>
        <w:rPr>
          <w:sz w:val="20"/>
          <w:szCs w:val="20"/>
          <w:color w:val="auto"/>
        </w:rPr>
      </w:pPr>
    </w:p>
    <w:p>
      <w:pPr>
        <w:ind w:left="440" w:right="20"/>
        <w:spacing w:after="0" w:line="258" w:lineRule="auto"/>
        <w:rPr>
          <w:sz w:val="20"/>
          <w:szCs w:val="20"/>
          <w:color w:val="auto"/>
        </w:rPr>
      </w:pPr>
      <w:r>
        <w:rPr>
          <w:rFonts w:ascii="Times New Roman" w:cs="Times New Roman" w:eastAsia="Times New Roman" w:hAnsi="Times New Roman"/>
          <w:sz w:val="17"/>
          <w:szCs w:val="17"/>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2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Notices</w:t>
      </w:r>
    </w:p>
    <w:p>
      <w:pPr>
        <w:spacing w:after="0" w:line="113" w:lineRule="exact"/>
        <w:rPr>
          <w:sz w:val="20"/>
          <w:szCs w:val="20"/>
          <w:color w:val="auto"/>
        </w:rPr>
      </w:pPr>
    </w:p>
    <w:p>
      <w:pPr>
        <w:ind w:left="440" w:right="60"/>
        <w:spacing w:after="0" w:line="258" w:lineRule="auto"/>
        <w:rPr>
          <w:sz w:val="20"/>
          <w:szCs w:val="20"/>
          <w:color w:val="auto"/>
        </w:rPr>
      </w:pPr>
      <w:r>
        <w:rPr>
          <w:rFonts w:ascii="Times New Roman" w:cs="Times New Roman" w:eastAsia="Times New Roman" w:hAnsi="Times New Roman"/>
          <w:sz w:val="17"/>
          <w:szCs w:val="17"/>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2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Limitation of Liability</w:t>
      </w:r>
    </w:p>
    <w:p>
      <w:pPr>
        <w:spacing w:after="0" w:line="113"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7"/>
          <w:szCs w:val="17"/>
          <w:color w:val="auto"/>
        </w:rPr>
        <w:t>Neither we nor the depositary will be liable if either we or it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0780"/>
          </w:cols>
          <w:pgMar w:left="320" w:top="437" w:right="7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13"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7"/>
          <w:szCs w:val="17"/>
          <w:color w:val="auto"/>
        </w:rPr>
        <w:t>We may issue warrants to purchase common stock, preferred stock, depositary shares or debt securities. We may offer warrants separately or together with one or more additional warrants, common stock, preferred stock, depositary shares or debt securities,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87" w:lineRule="exact"/>
        <w:rPr>
          <w:sz w:val="20"/>
          <w:szCs w:val="20"/>
          <w:color w:val="auto"/>
        </w:rPr>
      </w:pPr>
    </w:p>
    <w:p>
      <w:pPr>
        <w:ind w:left="1360" w:hanging="407"/>
        <w:spacing w:after="0"/>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specific designation and aggregate number of, and the offering price at which we will issue, the warrants;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currency units in which the offering price, if any, and the exercise price are payable;</w:t>
      </w:r>
    </w:p>
    <w:p>
      <w:pPr>
        <w:spacing w:after="0" w:line="121" w:lineRule="exact"/>
        <w:rPr>
          <w:rFonts w:ascii="Times New Roman" w:cs="Times New Roman" w:eastAsia="Times New Roman" w:hAnsi="Times New Roman"/>
          <w:sz w:val="17"/>
          <w:szCs w:val="17"/>
          <w:color w:val="auto"/>
        </w:rPr>
      </w:pPr>
    </w:p>
    <w:p>
      <w:pPr>
        <w:ind w:left="1360" w:right="80" w:hanging="407"/>
        <w:spacing w:after="0" w:line="277" w:lineRule="auto"/>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are to be sold separately or with other securities as parts of units;</w:t>
      </w:r>
    </w:p>
    <w:p>
      <w:pPr>
        <w:spacing w:after="0" w:line="121" w:lineRule="exact"/>
        <w:rPr>
          <w:rFonts w:ascii="Times New Roman" w:cs="Times New Roman" w:eastAsia="Times New Roman" w:hAnsi="Times New Roman"/>
          <w:sz w:val="17"/>
          <w:szCs w:val="17"/>
          <w:color w:val="auto"/>
        </w:rPr>
      </w:pPr>
    </w:p>
    <w:p>
      <w:pPr>
        <w:ind w:left="1360" w:right="80" w:hanging="407"/>
        <w:spacing w:after="0" w:line="277" w:lineRule="auto"/>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material U.S. federal income tax consequences;</w:t>
      </w:r>
    </w:p>
    <w:p>
      <w:pPr>
        <w:spacing w:after="0" w:line="121" w:lineRule="exact"/>
        <w:rPr>
          <w:rFonts w:ascii="Times New Roman" w:cs="Times New Roman" w:eastAsia="Times New Roman" w:hAnsi="Times New Roman"/>
          <w:sz w:val="17"/>
          <w:szCs w:val="17"/>
          <w:color w:val="auto"/>
        </w:rPr>
      </w:pPr>
    </w:p>
    <w:p>
      <w:pPr>
        <w:ind w:left="1360" w:right="240" w:hanging="407"/>
        <w:spacing w:after="0" w:line="277" w:lineRule="auto"/>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identity of the warrant agent for the warrants and of any other depositaries, execution or paying agents, transfer agents, registrars or other agents;</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proposed listing, if any, of the warrants or any securities purchasable upon exercise of the warrants on any securities exchange;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terms of any equity securities purchasable upon exercise of the warrants;</w:t>
      </w:r>
    </w:p>
    <w:p>
      <w:pPr>
        <w:spacing w:after="0" w:line="121" w:lineRule="exact"/>
        <w:rPr>
          <w:rFonts w:ascii="Times New Roman" w:cs="Times New Roman" w:eastAsia="Times New Roman" w:hAnsi="Times New Roman"/>
          <w:sz w:val="17"/>
          <w:szCs w:val="17"/>
          <w:color w:val="auto"/>
        </w:rPr>
      </w:pPr>
    </w:p>
    <w:p>
      <w:pPr>
        <w:ind w:left="1360" w:right="580" w:hanging="407"/>
        <w:spacing w:after="0" w:line="277" w:lineRule="auto"/>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aggregate principal amount, currency and terms of any debt securities that may be purchased upon exercise of the warrants;</w:t>
      </w:r>
    </w:p>
    <w:p>
      <w:pPr>
        <w:spacing w:after="0" w:line="69" w:lineRule="exact"/>
        <w:rPr>
          <w:rFonts w:ascii="Times New Roman" w:cs="Times New Roman" w:eastAsia="Times New Roman" w:hAnsi="Times New Roman"/>
          <w:sz w:val="17"/>
          <w:szCs w:val="17"/>
          <w:color w:val="auto"/>
        </w:rPr>
      </w:pPr>
    </w:p>
    <w:p>
      <w:pPr>
        <w:ind w:left="1360" w:right="160" w:hanging="407"/>
        <w:spacing w:after="0" w:line="277" w:lineRule="auto"/>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designation and terms of the preferred stock or depositary shares with which the warrants are issued and the number of warrants issued with each security;</w:t>
      </w:r>
    </w:p>
    <w:p>
      <w:pPr>
        <w:spacing w:after="0" w:line="69" w:lineRule="exact"/>
        <w:rPr>
          <w:rFonts w:ascii="Times New Roman" w:cs="Times New Roman" w:eastAsia="Times New Roman" w:hAnsi="Times New Roman"/>
          <w:sz w:val="17"/>
          <w:szCs w:val="17"/>
          <w:color w:val="auto"/>
        </w:rPr>
      </w:pPr>
    </w:p>
    <w:p>
      <w:pPr>
        <w:ind w:left="1360" w:right="40" w:hanging="407"/>
        <w:spacing w:after="0" w:line="277" w:lineRule="auto"/>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date from and after which any warrants issued as part of a unit and the related debt securities, preferred stock, depositary shares or common stock will be separately transferable;</w:t>
      </w:r>
    </w:p>
    <w:p>
      <w:pPr>
        <w:spacing w:after="0" w:line="69" w:lineRule="exact"/>
        <w:rPr>
          <w:rFonts w:ascii="Times New Roman" w:cs="Times New Roman" w:eastAsia="Times New Roman" w:hAnsi="Times New Roman"/>
          <w:sz w:val="17"/>
          <w:szCs w:val="17"/>
          <w:color w:val="auto"/>
        </w:rPr>
      </w:pPr>
    </w:p>
    <w:p>
      <w:pPr>
        <w:ind w:left="1360" w:right="20" w:hanging="407"/>
        <w:spacing w:after="0" w:line="277" w:lineRule="auto"/>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common stock, preferred stock or depositary shares purchasable upon exercise of a warrant and the price at which those shares may be purchased;</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applicable, the minimum or maximum amount of the warrants that may be exercised at any one time;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information with respect to book-entry procedures, if any;</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anti-dilution provisions of, and other provisions for changes to or adjustment in the exercise price of, the warrants, if any;</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redemption or call provisions; and</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warrants, including terms, procedures and limitations relating to the exchange or exercise of the warrants.</w:t>
      </w:r>
    </w:p>
    <w:p>
      <w:pPr>
        <w:spacing w:after="0" w:line="147"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0740"/>
          </w:cols>
          <w:pgMar w:left="320" w:top="437" w:right="8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Pre-Funded Warrants</w:t>
      </w:r>
    </w:p>
    <w:p>
      <w:pPr>
        <w:spacing w:after="0" w:line="113" w:lineRule="exact"/>
        <w:rPr>
          <w:sz w:val="20"/>
          <w:szCs w:val="20"/>
          <w:color w:val="auto"/>
        </w:rPr>
      </w:pPr>
    </w:p>
    <w:p>
      <w:pPr>
        <w:ind w:left="440" w:right="220"/>
        <w:spacing w:after="0" w:line="258" w:lineRule="auto"/>
        <w:rPr>
          <w:sz w:val="20"/>
          <w:szCs w:val="20"/>
          <w:color w:val="auto"/>
        </w:rPr>
      </w:pPr>
      <w:r>
        <w:rPr>
          <w:rFonts w:ascii="Times New Roman" w:cs="Times New Roman" w:eastAsia="Times New Roman" w:hAnsi="Times New Roman"/>
          <w:sz w:val="17"/>
          <w:szCs w:val="17"/>
          <w:color w:val="auto"/>
        </w:rPr>
        <w:t>We may also issue pre-funded warrants to purchase common stock. A pre-funded warrant is a type of warrant that allows the holder to purchase a specified number of shares of common stock at a nominal exercise price, generally equal to the par value of the underlying common stock. The pre-funded warrants may be issued as individual warrant agreements to the holders. In addition to the terms described in the bullets above, the applicable prospectus supplement will describe the following terms of any pre-funded warrants:</w:t>
      </w:r>
    </w:p>
    <w:p>
      <w:pPr>
        <w:spacing w:after="0" w:line="86" w:lineRule="exact"/>
        <w:rPr>
          <w:sz w:val="20"/>
          <w:szCs w:val="20"/>
          <w:color w:val="auto"/>
        </w:rPr>
      </w:pPr>
    </w:p>
    <w:p>
      <w:pPr>
        <w:ind w:left="1360" w:right="280" w:hanging="407"/>
        <w:spacing w:after="0" w:line="277" w:lineRule="auto"/>
        <w:tabs>
          <w:tab w:leader="none" w:pos="13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the right to exercise the pre-funded warrants will begin, generally on the date of issuance, and the date on which that right will expire, generally when the pre-funded warrant is exercised in full;</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the warrant may only be exercised pursuant to a cashless exercise procedure;</w:t>
      </w:r>
    </w:p>
    <w:p>
      <w:pPr>
        <w:spacing w:after="0" w:line="121" w:lineRule="exact"/>
        <w:rPr>
          <w:rFonts w:ascii="Times New Roman" w:cs="Times New Roman" w:eastAsia="Times New Roman" w:hAnsi="Times New Roman"/>
          <w:sz w:val="17"/>
          <w:szCs w:val="17"/>
          <w:color w:val="auto"/>
        </w:rPr>
      </w:pPr>
    </w:p>
    <w:p>
      <w:pPr>
        <w:ind w:left="1360" w:hanging="407"/>
        <w:spacing w:after="0" w:line="256" w:lineRule="auto"/>
        <w:tabs>
          <w:tab w:leader="none" w:pos="13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beneficial ownership limitations, such that a holder will not be entitled to exercise any portion of any pre-funded warrant that, upon giving effect to (or immediately prior to) such exercise, would cause the holder’s beneficial ownership to exceed a specified threshold, typically 4.99% or 9.99%, of the number of shares of our outstanding common stock or the combined voting power of all of our securities, which threshold may be subject to increase or decrease at the option of the holder, subject to a maximum ownership threshold, typically 9.99% or 19.99%, and compliance with a notice period;</w:t>
      </w:r>
    </w:p>
    <w:p>
      <w:pPr>
        <w:spacing w:after="0" w:line="86" w:lineRule="exact"/>
        <w:rPr>
          <w:rFonts w:ascii="Times New Roman" w:cs="Times New Roman" w:eastAsia="Times New Roman" w:hAnsi="Times New Roman"/>
          <w:sz w:val="17"/>
          <w:szCs w:val="17"/>
          <w:color w:val="auto"/>
        </w:rPr>
      </w:pPr>
    </w:p>
    <w:p>
      <w:pPr>
        <w:ind w:left="1360" w:hanging="407"/>
        <w:spacing w:after="0" w:line="254" w:lineRule="auto"/>
        <w:tabs>
          <w:tab w:leader="none" w:pos="13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fundamental transaction (generally including any reorganization, recapitalization or reclassification of our common stock, the sale, transfer or other disposition of all or substantially all of our assets, our consolidation or merger with or into another person in which we are not the surviving entity, the acquisition of more than 50% of our outstanding common stock, or any person or group becoming the beneficial owner of more than 50% of the voting power of our outstanding common stock), the right of the holder to receive, upon exercise of the pre-funded warrants, the same kind and amount of securities, cash or other property that such holder would have received had they exercised the pre-funded warrants immediately prior to such fundamental transaction, without regard to any limitations on exercise contained in the pre-funded warrants; and</w:t>
      </w:r>
    </w:p>
    <w:p>
      <w:pPr>
        <w:spacing w:after="0" w:line="87"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warrants, including terms, procedures and limitations relating to the exchange or exercise of the warrants.</w:t>
      </w:r>
    </w:p>
    <w:p>
      <w:pPr>
        <w:spacing w:after="0" w:line="147"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0760"/>
          </w:cols>
          <w:pgMar w:left="320" w:top="437" w:right="8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7"/>
          <w:szCs w:val="17"/>
          <w:b w:val="1"/>
          <w:bCs w:val="1"/>
          <w:color w:val="auto"/>
        </w:rPr>
        <w:t>DESCRIPTION OF UNITS</w:t>
      </w:r>
    </w:p>
    <w:p>
      <w:pPr>
        <w:spacing w:after="0" w:line="215" w:lineRule="exact"/>
        <w:rPr>
          <w:sz w:val="20"/>
          <w:szCs w:val="20"/>
          <w:color w:val="auto"/>
        </w:rPr>
      </w:pPr>
    </w:p>
    <w:p>
      <w:pPr>
        <w:jc w:val="both"/>
        <w:ind w:left="440" w:right="280"/>
        <w:spacing w:after="0" w:line="263" w:lineRule="auto"/>
        <w:rPr>
          <w:sz w:val="20"/>
          <w:szCs w:val="20"/>
          <w:color w:val="auto"/>
        </w:rPr>
      </w:pPr>
      <w:r>
        <w:rPr>
          <w:rFonts w:ascii="Times New Roman" w:cs="Times New Roman" w:eastAsia="Times New Roman" w:hAnsi="Times New Roman"/>
          <w:sz w:val="17"/>
          <w:szCs w:val="17"/>
          <w:color w:val="auto"/>
        </w:rPr>
        <w:t>We may issue units consisting of one or more of the other securities described in this prospectus in any combination, as described in the applicable prospectus supplement. We may issue units in one or more series, which will be described in the applicable prospectus supplement. The applicable prospectus supplement will also describe the following terms of any units:</w:t>
      </w:r>
    </w:p>
    <w:p>
      <w:pPr>
        <w:spacing w:after="0" w:line="81" w:lineRule="exact"/>
        <w:rPr>
          <w:sz w:val="20"/>
          <w:szCs w:val="20"/>
          <w:color w:val="auto"/>
        </w:rPr>
      </w:pPr>
    </w:p>
    <w:p>
      <w:pPr>
        <w:ind w:left="1360" w:hanging="407"/>
        <w:spacing w:after="0" w:line="277" w:lineRule="auto"/>
        <w:tabs>
          <w:tab w:leader="none" w:pos="13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designation and the terms of the units and of the securities constituting the units, including whether and under what circumstances the securities comprising the units may be traded separately;</w:t>
      </w:r>
    </w:p>
    <w:p>
      <w:pPr>
        <w:spacing w:after="0" w:line="69" w:lineRule="exact"/>
        <w:rPr>
          <w:rFonts w:ascii="Times New Roman" w:cs="Times New Roman" w:eastAsia="Times New Roman" w:hAnsi="Times New Roman"/>
          <w:sz w:val="17"/>
          <w:szCs w:val="17"/>
          <w:color w:val="auto"/>
        </w:rPr>
      </w:pPr>
    </w:p>
    <w:p>
      <w:pPr>
        <w:ind w:left="1360" w:right="500" w:hanging="407"/>
        <w:spacing w:after="0" w:line="277" w:lineRule="auto"/>
        <w:tabs>
          <w:tab w:leader="none" w:pos="13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identity of any unit agent for the units, if applicable, and of any other depositaries, execution or paying agents, transfer agents, registrars or other agents;</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terms of the governing unit agreement, if applicable;</w:t>
      </w:r>
    </w:p>
    <w:p>
      <w:pPr>
        <w:spacing w:after="0" w:line="121" w:lineRule="exact"/>
        <w:rPr>
          <w:rFonts w:ascii="Times New Roman" w:cs="Times New Roman" w:eastAsia="Times New Roman" w:hAnsi="Times New Roman"/>
          <w:sz w:val="17"/>
          <w:szCs w:val="17"/>
          <w:color w:val="auto"/>
        </w:rPr>
      </w:pPr>
    </w:p>
    <w:p>
      <w:pPr>
        <w:ind w:left="1360" w:right="20" w:hanging="407"/>
        <w:spacing w:after="0" w:line="277" w:lineRule="auto"/>
        <w:tabs>
          <w:tab w:leader="none" w:pos="13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additional provisions for the issuance, payment, settlement, transfer or exchange of the units or of the debt securities, common stock, preferred stock or warrants constituting the units; and</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applicable material U.S. federal income tax consequences.</w:t>
      </w:r>
    </w:p>
    <w:p>
      <w:pPr>
        <w:spacing w:after="0" w:line="1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0660"/>
          </w:cols>
          <w:pgMar w:left="320" w:top="437" w:right="9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FORMS OF SECURITIES</w:t>
      </w:r>
    </w:p>
    <w:p>
      <w:pPr>
        <w:spacing w:after="0" w:line="215" w:lineRule="exact"/>
        <w:rPr>
          <w:sz w:val="20"/>
          <w:szCs w:val="20"/>
          <w:color w:val="auto"/>
        </w:rPr>
      </w:pPr>
    </w:p>
    <w:p>
      <w:pPr>
        <w:ind w:left="440" w:right="60"/>
        <w:spacing w:after="0" w:line="253" w:lineRule="auto"/>
        <w:rPr>
          <w:sz w:val="20"/>
          <w:szCs w:val="20"/>
          <w:color w:val="auto"/>
        </w:rPr>
      </w:pPr>
      <w:r>
        <w:rPr>
          <w:rFonts w:ascii="Times New Roman" w:cs="Times New Roman" w:eastAsia="Times New Roman" w:hAnsi="Times New Roman"/>
          <w:sz w:val="17"/>
          <w:szCs w:val="17"/>
          <w:color w:val="auto"/>
        </w:rPr>
        <w:t>Each debt security, depositary share, unit and warrant will be represented either by a certificate issued in definitive form to a particular investor or by one or more global securities representing the entire issuance of securities. Unless the applicable prospectus supplement provides otherwise,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Global Securities</w:t>
      </w:r>
    </w:p>
    <w:p>
      <w:pPr>
        <w:spacing w:after="0" w:line="113"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7"/>
          <w:szCs w:val="17"/>
          <w:color w:val="auto"/>
        </w:rPr>
        <w:t>We may issue the debt securities of a particular series, depositary shares, warrants and units in the form of one or more fully registered global securities that will be deposited with a depositary or its nominee identified in the applicable prospectus supplement and registered in the name of that depositary or nominee. In those cases, one or more global securities will be issued in a denomination or aggregate denominations equal to the portion of the aggregate principal or face amount of the securities to be represented by global securities. Unless and until it is exchanged in whole for securities in definitive registered form, a global security may not be transferred except as a whole by and among the depositary for the global security, the nominees of the depositary or any successors of the depositary or those nominees.</w:t>
      </w:r>
    </w:p>
    <w:p>
      <w:pPr>
        <w:spacing w:after="0" w:line="175" w:lineRule="exact"/>
        <w:rPr>
          <w:sz w:val="20"/>
          <w:szCs w:val="20"/>
          <w:color w:val="auto"/>
        </w:rPr>
      </w:pPr>
    </w:p>
    <w:p>
      <w:pPr>
        <w:ind w:left="440" w:right="40"/>
        <w:spacing w:after="0" w:line="310" w:lineRule="auto"/>
        <w:rPr>
          <w:sz w:val="20"/>
          <w:szCs w:val="20"/>
          <w:color w:val="auto"/>
        </w:rPr>
      </w:pPr>
      <w:r>
        <w:rPr>
          <w:rFonts w:ascii="Times New Roman" w:cs="Times New Roman" w:eastAsia="Times New Roman" w:hAnsi="Times New Roman"/>
          <w:sz w:val="16"/>
          <w:szCs w:val="16"/>
          <w:color w:val="auto"/>
        </w:rPr>
        <w:t>If not described below, any specific terms of the depositary arrangement with respect to any securities to be represented by a global security will be described in the prospectus supplement relating to those securities. We anticipate that the following provisions will apply to all depositary arrangements.</w:t>
      </w:r>
    </w:p>
    <w:p>
      <w:pPr>
        <w:spacing w:after="0" w:line="134" w:lineRule="exact"/>
        <w:rPr>
          <w:sz w:val="20"/>
          <w:szCs w:val="20"/>
          <w:color w:val="auto"/>
        </w:rPr>
      </w:pPr>
    </w:p>
    <w:p>
      <w:pPr>
        <w:ind w:left="440" w:right="60"/>
        <w:spacing w:after="0" w:line="253" w:lineRule="auto"/>
        <w:rPr>
          <w:sz w:val="20"/>
          <w:szCs w:val="20"/>
          <w:color w:val="auto"/>
        </w:rPr>
      </w:pPr>
      <w:r>
        <w:rPr>
          <w:rFonts w:ascii="Times New Roman" w:cs="Times New Roman" w:eastAsia="Times New Roman" w:hAnsi="Times New Roman"/>
          <w:sz w:val="17"/>
          <w:szCs w:val="17"/>
          <w:color w:val="auto"/>
        </w:rPr>
        <w:t>Ownership of beneficial interests in a global security will be limited to persons, called participants, that have accounts with the depositary or persons that may hold interests through participants. Upon the issuance of a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global securities.</w:t>
      </w:r>
    </w:p>
    <w:p>
      <w:pPr>
        <w:spacing w:after="0" w:line="179"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7"/>
          <w:szCs w:val="17"/>
          <w:color w:val="auto"/>
        </w:rPr>
        <w:t>So long as the depositary, or its nominee, is the registered owner of a global security, that depositary or its nominee, as the case may be, will be considered the sole owner or holder of the securities represented by the global security for all purposes under the applicable indenture, deposit agreement, warrant agreement or unit agreement. Except as described below, owners of beneficial interests in a global security will not be entitled to have the securities represented by the global security registered in their names, will not receive or be entitled to receive physical delivery of the securities in definitive form and will not be considered the owners or holders of the securities under the applicable indenture, deposit agreement, warrant agreement or unit agreement. Accordingly, each person owning a beneficial interest in a global security must rely on the procedures of the depositary for that global security and, if that person is not a participant, on the procedures of the participant through which the person owns its interest, to exercise any rights of a holder under the applicable indenture, deposit agreement, warrant agreement or unit agreement. We understand that under existing industry practices, if</w:t>
      </w:r>
    </w:p>
    <w:p>
      <w:pPr>
        <w:spacing w:after="0" w:line="1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0800"/>
          </w:cols>
          <w:pgMar w:left="320" w:top="437" w:right="7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right="220"/>
        <w:spacing w:after="0" w:line="258" w:lineRule="auto"/>
        <w:rPr>
          <w:sz w:val="20"/>
          <w:szCs w:val="20"/>
          <w:color w:val="auto"/>
        </w:rPr>
      </w:pPr>
      <w:r>
        <w:rPr>
          <w:rFonts w:ascii="Times New Roman" w:cs="Times New Roman" w:eastAsia="Times New Roman" w:hAnsi="Times New Roman"/>
          <w:sz w:val="17"/>
          <w:szCs w:val="17"/>
          <w:color w:val="auto"/>
        </w:rPr>
        <w:t>we request any action of holders or if an owner of a beneficial interest in a global security desires to give or take any action that a holder is entitled to give or take under the applicable indenture, deposit agreement, warrant agreement or unit agreement, the depositary for the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5" w:lineRule="exact"/>
        <w:rPr>
          <w:sz w:val="20"/>
          <w:szCs w:val="20"/>
          <w:color w:val="auto"/>
        </w:rPr>
      </w:pPr>
    </w:p>
    <w:p>
      <w:pPr>
        <w:ind w:left="440" w:right="100"/>
        <w:spacing w:after="0" w:line="276" w:lineRule="auto"/>
        <w:rPr>
          <w:sz w:val="20"/>
          <w:szCs w:val="20"/>
          <w:color w:val="auto"/>
        </w:rPr>
      </w:pPr>
      <w:r>
        <w:rPr>
          <w:rFonts w:ascii="Times New Roman" w:cs="Times New Roman" w:eastAsia="Times New Roman" w:hAnsi="Times New Roman"/>
          <w:sz w:val="16"/>
          <w:szCs w:val="16"/>
          <w:color w:val="auto"/>
        </w:rPr>
        <w:t>Principal, premium, if any, and interest payments on debt securities, and any payments to holders with respect to depositary shares, warrants or units, represented by a global security registered in the name of a depositary or its nominee will be made to the depositary or its nominee, as the case may be, as the registered owner of the global security. None of us, or any trustee, warrant agent, unit agent or other agent of ours, or any agent of any trustee, warrant agent or unit agent will have any responsibility or liability for any aspect of the records relating to payments made on account of beneficial ownership interests in the global security or for maintaining, supervising or reviewing any records relating to those beneficial ownership interests.</w:t>
      </w:r>
    </w:p>
    <w:p>
      <w:pPr>
        <w:spacing w:after="0" w:line="160"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7"/>
          <w:szCs w:val="17"/>
          <w:color w:val="auto"/>
        </w:rPr>
        <w:t>We expect that the depositary for any of the securities represented by a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global security as shown on the records of the depositary. We also expect that payments by participants to owners of beneficial interests in a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75" w:lineRule="exact"/>
        <w:rPr>
          <w:sz w:val="20"/>
          <w:szCs w:val="20"/>
          <w:color w:val="auto"/>
        </w:rPr>
      </w:pPr>
    </w:p>
    <w:p>
      <w:pPr>
        <w:ind w:left="440" w:right="100"/>
        <w:spacing w:after="0" w:line="273" w:lineRule="auto"/>
        <w:rPr>
          <w:sz w:val="20"/>
          <w:szCs w:val="20"/>
          <w:color w:val="auto"/>
        </w:rPr>
      </w:pPr>
      <w:r>
        <w:rPr>
          <w:rFonts w:ascii="Times New Roman" w:cs="Times New Roman" w:eastAsia="Times New Roman" w:hAnsi="Times New Roman"/>
          <w:sz w:val="16"/>
          <w:szCs w:val="16"/>
          <w:color w:val="auto"/>
        </w:rPr>
        <w:t>If the depositary for any of the securities represented by a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global security that had been held by the depositary. Any securities issued in definitive form in exchange for a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global security that had been held by the depositary.</w:t>
      </w:r>
    </w:p>
    <w:p>
      <w:pPr>
        <w:spacing w:after="0" w:line="10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33</w:t>
      </w:r>
    </w:p>
    <w:p>
      <w:pPr>
        <w:sectPr>
          <w:pgSz w:w="11900" w:h="16838" w:orient="portrait"/>
          <w:cols w:equalWidth="0" w:num="1">
            <w:col w:w="10780"/>
          </w:cols>
          <w:pgMar w:left="320" w:top="437" w:right="7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may sell securities:</w:t>
      </w:r>
    </w:p>
    <w:p>
      <w:pPr>
        <w:spacing w:after="0" w:line="122" w:lineRule="exact"/>
        <w:rPr>
          <w:sz w:val="20"/>
          <w:szCs w:val="20"/>
          <w:color w:val="auto"/>
        </w:rPr>
      </w:pPr>
    </w:p>
    <w:p>
      <w:pPr>
        <w:ind w:left="1360" w:hanging="407"/>
        <w:spacing w:after="0"/>
        <w:tabs>
          <w:tab w:leader="none" w:pos="13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underwriters;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dealers;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agents;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directly to purchasers; or</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these methods of sale.</w:t>
      </w:r>
    </w:p>
    <w:p>
      <w:pPr>
        <w:spacing w:after="0" w:line="211" w:lineRule="exact"/>
        <w:rPr>
          <w:sz w:val="20"/>
          <w:szCs w:val="20"/>
          <w:color w:val="auto"/>
        </w:rPr>
      </w:pPr>
    </w:p>
    <w:p>
      <w:pPr>
        <w:ind w:left="440" w:right="60"/>
        <w:spacing w:after="0" w:line="263" w:lineRule="auto"/>
        <w:rPr>
          <w:sz w:val="20"/>
          <w:szCs w:val="20"/>
          <w:color w:val="auto"/>
        </w:rPr>
      </w:pPr>
      <w:r>
        <w:rPr>
          <w:rFonts w:ascii="Times New Roman" w:cs="Times New Roman" w:eastAsia="Times New Roman" w:hAnsi="Times New Roman"/>
          <w:sz w:val="17"/>
          <w:szCs w:val="17"/>
          <w:color w:val="auto"/>
        </w:rPr>
        <w:t>In addition, we may issue the securities as a dividend or distribution or in a subscription rights offering to our existing security holders. This prospectus may be used in connection with any offering of our securities through any of these methods or other methods described in the applicable prospectus supplement.</w:t>
      </w:r>
    </w:p>
    <w:p>
      <w:pPr>
        <w:spacing w:after="0" w:line="170"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7"/>
          <w:szCs w:val="17"/>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w:t>
      </w:r>
    </w:p>
    <w:p>
      <w:pPr>
        <w:spacing w:after="0" w:line="175"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7"/>
          <w:szCs w:val="17"/>
          <w:color w:val="auto"/>
        </w:rPr>
        <w:t>The distribution of the securities may be effected from time to time in one or more transactions:</w:t>
      </w:r>
    </w:p>
    <w:p>
      <w:pPr>
        <w:spacing w:after="0" w:line="122" w:lineRule="exact"/>
        <w:rPr>
          <w:sz w:val="20"/>
          <w:szCs w:val="20"/>
          <w:color w:val="auto"/>
        </w:rPr>
      </w:pPr>
    </w:p>
    <w:p>
      <w:pPr>
        <w:ind w:left="1360" w:hanging="407"/>
        <w:spacing w:after="0"/>
        <w:tabs>
          <w:tab w:leader="none" w:pos="1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 fixed price, or prices, which may be changed from time to time;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market prices prevailing at the time of sale;</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prices related to such prevailing market prices; or</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negotiated prices.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Each prospectus supplement will describe the method of distribution of the securities and any applicable restrictions.</w:t>
      </w:r>
    </w:p>
    <w:p>
      <w:pPr>
        <w:spacing w:after="0" w:line="211" w:lineRule="exact"/>
        <w:rPr>
          <w:sz w:val="20"/>
          <w:szCs w:val="20"/>
          <w:color w:val="auto"/>
        </w:rPr>
      </w:pPr>
    </w:p>
    <w:p>
      <w:pPr>
        <w:ind w:left="440" w:right="400"/>
        <w:spacing w:after="0" w:line="277" w:lineRule="auto"/>
        <w:rPr>
          <w:sz w:val="20"/>
          <w:szCs w:val="20"/>
          <w:color w:val="auto"/>
        </w:rPr>
      </w:pPr>
      <w:r>
        <w:rPr>
          <w:rFonts w:ascii="Times New Roman" w:cs="Times New Roman" w:eastAsia="Times New Roman" w:hAnsi="Times New Roman"/>
          <w:sz w:val="17"/>
          <w:szCs w:val="17"/>
          <w:color w:val="auto"/>
        </w:rPr>
        <w:t>The prospectus supplement with respect to the securities of a particular series will describe the terms of the offering of the securities, including the following:</w:t>
      </w:r>
    </w:p>
    <w:p>
      <w:pPr>
        <w:spacing w:after="0" w:line="69" w:lineRule="exact"/>
        <w:rPr>
          <w:sz w:val="20"/>
          <w:szCs w:val="20"/>
          <w:color w:val="auto"/>
        </w:rPr>
      </w:pPr>
    </w:p>
    <w:p>
      <w:pPr>
        <w:ind w:left="1360" w:hanging="407"/>
        <w:spacing w:after="0"/>
        <w:tabs>
          <w:tab w:leader="none" w:pos="13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agent or any underwriters;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 offering or purchase price and the proceeds we will receive from the sale of the securities;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and commissions to be allowed or re-allowed or paid to the agent or underwriters;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items constituting underwriting compensation;</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discounts and commissions to be allowed or re-allowed or paid to dealers; and</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exchanges on which the securities will be listed.</w:t>
      </w:r>
    </w:p>
    <w:p>
      <w:pPr>
        <w:spacing w:after="0" w:line="211" w:lineRule="exact"/>
        <w:rPr>
          <w:sz w:val="20"/>
          <w:szCs w:val="20"/>
          <w:color w:val="auto"/>
        </w:rPr>
      </w:pPr>
    </w:p>
    <w:p>
      <w:pPr>
        <w:ind w:left="440" w:right="120"/>
        <w:spacing w:after="0" w:line="263" w:lineRule="auto"/>
        <w:rPr>
          <w:sz w:val="20"/>
          <w:szCs w:val="20"/>
          <w:color w:val="auto"/>
        </w:rPr>
      </w:pPr>
      <w:r>
        <w:rPr>
          <w:rFonts w:ascii="Times New Roman" w:cs="Times New Roman" w:eastAsia="Times New Roman" w:hAnsi="Times New Roman"/>
          <w:sz w:val="17"/>
          <w:szCs w:val="17"/>
          <w:color w:val="auto"/>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If a dealer is utilized in the sale of the securities in respect of which this prospectus is delivered, we will sell such securities to the dealer, as principal.</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dealer may then resell such securities to the public at varying prices to be determined by such dealer at the time of resale.</w:t>
      </w:r>
    </w:p>
    <w:p>
      <w:pPr>
        <w:spacing w:after="0" w:line="13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34</w:t>
      </w:r>
    </w:p>
    <w:p>
      <w:pPr>
        <w:sectPr>
          <w:pgSz w:w="11900" w:h="16838" w:orient="portrait"/>
          <w:cols w:equalWidth="0" w:num="1">
            <w:col w:w="10760"/>
          </w:cols>
          <w:pgMar w:left="320" w:top="437" w:right="8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jc w:val="both"/>
        <w:ind w:left="440" w:right="40"/>
        <w:spacing w:after="0" w:line="287" w:lineRule="auto"/>
        <w:rPr>
          <w:sz w:val="20"/>
          <w:szCs w:val="20"/>
          <w:color w:val="auto"/>
        </w:rPr>
      </w:pPr>
      <w:r>
        <w:rPr>
          <w:rFonts w:ascii="Times New Roman" w:cs="Times New Roman" w:eastAsia="Times New Roman" w:hAnsi="Times New Roman"/>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52" w:lineRule="exact"/>
        <w:rPr>
          <w:sz w:val="20"/>
          <w:szCs w:val="20"/>
          <w:color w:val="auto"/>
        </w:rPr>
      </w:pPr>
    </w:p>
    <w:p>
      <w:pPr>
        <w:ind w:left="440" w:right="60"/>
        <w:spacing w:after="0" w:line="263" w:lineRule="auto"/>
        <w:rPr>
          <w:sz w:val="20"/>
          <w:szCs w:val="20"/>
          <w:color w:val="auto"/>
        </w:rPr>
      </w:pPr>
      <w:r>
        <w:rPr>
          <w:rFonts w:ascii="Times New Roman" w:cs="Times New Roman" w:eastAsia="Times New Roman" w:hAnsi="Times New Roman"/>
          <w:sz w:val="17"/>
          <w:szCs w:val="17"/>
          <w:color w:val="auto"/>
        </w:rPr>
        <w:t>Remarketing firms, 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70" w:lineRule="exact"/>
        <w:rPr>
          <w:sz w:val="20"/>
          <w:szCs w:val="20"/>
          <w:color w:val="auto"/>
        </w:rPr>
      </w:pPr>
    </w:p>
    <w:p>
      <w:pPr>
        <w:ind w:left="440" w:right="40"/>
        <w:spacing w:after="0" w:line="255" w:lineRule="auto"/>
        <w:rPr>
          <w:sz w:val="20"/>
          <w:szCs w:val="20"/>
          <w:color w:val="auto"/>
        </w:rPr>
      </w:pPr>
      <w:r>
        <w:rPr>
          <w:rFonts w:ascii="Times New Roman" w:cs="Times New Roman" w:eastAsia="Times New Roman" w:hAnsi="Times New Roman"/>
          <w:sz w:val="17"/>
          <w:szCs w:val="17"/>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86" w:lineRule="exact"/>
        <w:rPr>
          <w:sz w:val="20"/>
          <w:szCs w:val="20"/>
          <w:color w:val="auto"/>
        </w:rPr>
      </w:pPr>
    </w:p>
    <w:p>
      <w:pPr>
        <w:ind w:left="1360" w:right="140" w:hanging="407"/>
        <w:spacing w:after="0" w:line="277" w:lineRule="auto"/>
        <w:tabs>
          <w:tab w:leader="none" w:pos="13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by an institution of the securities covered under that contract shall not at the time of delivery be prohibited under the laws of the jurisdiction to which that institution is subject; and</w:t>
      </w:r>
    </w:p>
    <w:p>
      <w:pPr>
        <w:spacing w:after="0" w:line="69" w:lineRule="exact"/>
        <w:rPr>
          <w:rFonts w:ascii="Times New Roman" w:cs="Times New Roman" w:eastAsia="Times New Roman" w:hAnsi="Times New Roman"/>
          <w:sz w:val="17"/>
          <w:szCs w:val="17"/>
          <w:color w:val="auto"/>
        </w:rPr>
      </w:pPr>
    </w:p>
    <w:p>
      <w:pPr>
        <w:ind w:left="1360" w:right="100" w:hanging="407"/>
        <w:spacing w:after="0" w:line="263" w:lineRule="auto"/>
        <w:tabs>
          <w:tab w:leader="none" w:pos="13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70" w:lineRule="exact"/>
        <w:rPr>
          <w:sz w:val="20"/>
          <w:szCs w:val="20"/>
          <w:color w:val="auto"/>
        </w:rPr>
      </w:pPr>
    </w:p>
    <w:p>
      <w:pPr>
        <w:ind w:left="440" w:right="340"/>
        <w:spacing w:after="0" w:line="263" w:lineRule="auto"/>
        <w:rPr>
          <w:sz w:val="20"/>
          <w:szCs w:val="20"/>
          <w:color w:val="auto"/>
        </w:rPr>
      </w:pPr>
      <w:r>
        <w:rPr>
          <w:rFonts w:ascii="Times New Roman" w:cs="Times New Roman" w:eastAsia="Times New Roman" w:hAnsi="Times New Roman"/>
          <w:sz w:val="17"/>
          <w:szCs w:val="17"/>
          <w:color w:val="auto"/>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spacing w:after="0" w:line="170"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7"/>
          <w:szCs w:val="17"/>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9" w:lineRule="exact"/>
        <w:rPr>
          <w:sz w:val="20"/>
          <w:szCs w:val="20"/>
          <w:color w:val="auto"/>
        </w:rPr>
      </w:pPr>
    </w:p>
    <w:p>
      <w:pPr>
        <w:ind w:left="440" w:right="60"/>
        <w:spacing w:after="0" w:line="254" w:lineRule="auto"/>
        <w:rPr>
          <w:sz w:val="20"/>
          <w:szCs w:val="20"/>
          <w:color w:val="auto"/>
        </w:rPr>
      </w:pPr>
      <w:r>
        <w:rPr>
          <w:rFonts w:ascii="Times New Roman" w:cs="Times New Roman" w:eastAsia="Times New Roman" w:hAnsi="Times New Roman"/>
          <w:sz w:val="17"/>
          <w:szCs w:val="17"/>
          <w:color w:val="auto"/>
        </w:rPr>
        <w:t>As of the date of this prospectus, 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 In February 2023, Rule 15c6-1 of the Exchange Act was amended to require, effective May 28, 2024, trades in the secondary market to settle in one business day, unless the parties to</w:t>
      </w:r>
    </w:p>
    <w:p>
      <w:pPr>
        <w:spacing w:after="0" w:line="11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35</w:t>
      </w:r>
    </w:p>
    <w:p>
      <w:pPr>
        <w:sectPr>
          <w:pgSz w:w="11900" w:h="16838" w:orient="portrait"/>
          <w:cols w:equalWidth="0" w:num="1">
            <w:col w:w="10800"/>
          </w:cols>
          <w:pgMar w:left="320" w:top="437" w:right="7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spacing w:after="0" w:line="263" w:lineRule="auto"/>
        <w:rPr>
          <w:sz w:val="20"/>
          <w:szCs w:val="20"/>
          <w:color w:val="auto"/>
        </w:rPr>
      </w:pPr>
      <w:r>
        <w:rPr>
          <w:rFonts w:ascii="Times New Roman" w:cs="Times New Roman" w:eastAsia="Times New Roman" w:hAnsi="Times New Roman"/>
          <w:sz w:val="17"/>
          <w:szCs w:val="17"/>
          <w:color w:val="auto"/>
        </w:rPr>
        <w:t>any such trade expressly agree otherwise or unless an exception applies. Therefore, for any securities offered under this prospectus on or after May 28, 2024, the same process described in this paragraph will apply, except that settlement may occur on the first business day that is also a trading day following the trade date for such securities.</w:t>
      </w:r>
    </w:p>
    <w:p>
      <w:pPr>
        <w:spacing w:after="0" w:line="170" w:lineRule="exact"/>
        <w:rPr>
          <w:sz w:val="20"/>
          <w:szCs w:val="20"/>
          <w:color w:val="auto"/>
        </w:rPr>
      </w:pPr>
    </w:p>
    <w:p>
      <w:pPr>
        <w:ind w:left="440" w:right="400"/>
        <w:spacing w:after="0" w:line="277" w:lineRule="auto"/>
        <w:rPr>
          <w:sz w:val="20"/>
          <w:szCs w:val="20"/>
          <w:color w:val="auto"/>
        </w:rPr>
      </w:pPr>
      <w:r>
        <w:rPr>
          <w:rFonts w:ascii="Times New Roman" w:cs="Times New Roman" w:eastAsia="Times New Roman" w:hAnsi="Times New Roman"/>
          <w:sz w:val="17"/>
          <w:szCs w:val="17"/>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36</w:t>
      </w:r>
    </w:p>
    <w:p>
      <w:pPr>
        <w:sectPr>
          <w:pgSz w:w="11900" w:h="16838" w:orient="portrait"/>
          <w:cols w:equalWidth="0" w:num="1">
            <w:col w:w="10640"/>
          </w:cols>
          <w:pgMar w:left="320" w:top="437" w:right="9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5" w:lineRule="exact"/>
        <w:rPr>
          <w:sz w:val="20"/>
          <w:szCs w:val="20"/>
          <w:color w:val="auto"/>
        </w:rPr>
      </w:pPr>
    </w:p>
    <w:p>
      <w:pPr>
        <w:ind w:left="440"/>
        <w:spacing w:after="0" w:line="277" w:lineRule="auto"/>
        <w:rPr>
          <w:sz w:val="20"/>
          <w:szCs w:val="20"/>
          <w:color w:val="auto"/>
        </w:rPr>
      </w:pPr>
      <w:r>
        <w:rPr>
          <w:rFonts w:ascii="Times New Roman" w:cs="Times New Roman" w:eastAsia="Times New Roman" w:hAnsi="Times New Roman"/>
          <w:sz w:val="17"/>
          <w:szCs w:val="17"/>
          <w:color w:val="auto"/>
        </w:rPr>
        <w:t>Unless the applicable prospectus supplement indicates otherwise, the validity of the securities in respect of which this prospectus is being delivered will be passed upon by Wilmer Cutler Pickering Hale and Dorr LLP.</w:t>
      </w:r>
    </w:p>
    <w:p>
      <w:pPr>
        <w:spacing w:after="0" w:line="35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5" w:lineRule="exact"/>
        <w:rPr>
          <w:sz w:val="20"/>
          <w:szCs w:val="20"/>
          <w:color w:val="auto"/>
        </w:rPr>
      </w:pPr>
    </w:p>
    <w:p>
      <w:pPr>
        <w:ind w:left="440"/>
        <w:spacing w:after="0" w:line="263" w:lineRule="auto"/>
        <w:rPr>
          <w:sz w:val="20"/>
          <w:szCs w:val="20"/>
          <w:color w:val="auto"/>
        </w:rPr>
      </w:pPr>
      <w:r>
        <w:rPr>
          <w:rFonts w:ascii="Times New Roman" w:cs="Times New Roman" w:eastAsia="Times New Roman" w:hAnsi="Times New Roman"/>
          <w:sz w:val="17"/>
          <w:szCs w:val="17"/>
          <w:color w:val="auto"/>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0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37</w:t>
      </w:r>
    </w:p>
    <w:p>
      <w:pPr>
        <w:sectPr>
          <w:pgSz w:w="11900" w:h="16838" w:orient="portrait"/>
          <w:cols w:equalWidth="0" w:num="1">
            <w:col w:w="10720"/>
          </w:cols>
          <w:pgMar w:left="320" w:top="437" w:right="8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234315</wp:posOffset>
            </wp:positionV>
            <wp:extent cx="6576695" cy="158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6576695" cy="1587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282575</wp:posOffset>
            </wp:positionV>
            <wp:extent cx="657669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6576695" cy="8255"/>
                    </a:xfrm>
                    <a:prstGeom prst="rect">
                      <a:avLst/>
                    </a:prstGeom>
                    <a:noFill/>
                  </pic:spPr>
                </pic:pic>
              </a:graphicData>
            </a:graphic>
          </wp:anchor>
        </w:drawing>
        <w:drawing>
          <wp:anchor simplePos="0" relativeHeight="251657728" behindDoc="1" locked="0" layoutInCell="0" allowOverlap="1">
            <wp:simplePos x="0" y="0"/>
            <wp:positionH relativeFrom="column">
              <wp:posOffset>2386330</wp:posOffset>
            </wp:positionH>
            <wp:positionV relativeFrom="paragraph">
              <wp:posOffset>612775</wp:posOffset>
            </wp:positionV>
            <wp:extent cx="2369185" cy="7416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369185" cy="741680"/>
                    </a:xfrm>
                    <a:prstGeom prst="rect">
                      <a:avLst/>
                    </a:prstGeom>
                    <a:noFill/>
                  </pic:spPr>
                </pic:pic>
              </a:graphicData>
            </a:graphic>
          </wp:anchor>
        </w:drawing>
      </w:r>
    </w:p>
    <w:p>
      <w:pPr>
        <w:sectPr>
          <w:pgSz w:w="11900" w:h="16838" w:orient="portrait"/>
          <w:cols w:equalWidth="0" w:num="1">
            <w:col w:w="10139"/>
          </w:cols>
          <w:pgMar w:left="320" w:top="43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7"/>
          <w:szCs w:val="27"/>
          <w:b w:val="1"/>
          <w:bCs w:val="1"/>
          <w:color w:val="auto"/>
        </w:rPr>
        <w:t>$300,000,000</w:t>
      </w:r>
    </w:p>
    <w:p>
      <w:pPr>
        <w:spacing w:after="0" w:line="200" w:lineRule="exact"/>
        <w:rPr>
          <w:sz w:val="20"/>
          <w:szCs w:val="20"/>
          <w:color w:val="auto"/>
        </w:rPr>
      </w:pPr>
    </w:p>
    <w:p>
      <w:pPr>
        <w:spacing w:after="0" w:line="2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3"/>
          <w:szCs w:val="23"/>
          <w:b w:val="1"/>
          <w:bCs w:val="1"/>
          <w:color w:val="auto"/>
        </w:rPr>
        <w:t>Depositary Shares</w:t>
      </w:r>
    </w:p>
    <w:p>
      <w:pPr>
        <w:spacing w:after="0" w:line="1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Warrants</w:t>
      </w:r>
    </w:p>
    <w:p>
      <w:pPr>
        <w:spacing w:after="0" w:line="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4"/>
          <w:szCs w:val="24"/>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369570</wp:posOffset>
            </wp:positionV>
            <wp:extent cx="13862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227330</wp:posOffset>
            </wp:positionV>
            <wp:extent cx="13862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404495</wp:posOffset>
            </wp:positionV>
            <wp:extent cx="65766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657669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469265</wp:posOffset>
            </wp:positionV>
            <wp:extent cx="6576695"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6576695" cy="15875"/>
                    </a:xfrm>
                    <a:prstGeom prst="rect">
                      <a:avLst/>
                    </a:prstGeom>
                    <a:noFill/>
                  </pic:spPr>
                </pic:pic>
              </a:graphicData>
            </a:graphic>
          </wp:anchor>
        </w:drawing>
      </w:r>
    </w:p>
    <w:p>
      <w:pPr>
        <w:sectPr>
          <w:pgSz w:w="11900" w:h="16838" w:orient="portrait"/>
          <w:cols w:equalWidth="0" w:num="1">
            <w:col w:w="10139"/>
          </w:cols>
          <w:pgMar w:left="320" w:top="437" w:right="1440"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40" w:right="100"/>
        <w:spacing w:after="0" w:line="266" w:lineRule="auto"/>
        <w:rPr>
          <w:sz w:val="20"/>
          <w:szCs w:val="20"/>
          <w:color w:val="auto"/>
        </w:rPr>
      </w:pPr>
      <w:r>
        <w:rPr>
          <w:rFonts w:ascii="Times New Roman" w:cs="Times New Roman" w:eastAsia="Times New Roman" w:hAnsi="Times New Roman"/>
          <w:sz w:val="17"/>
          <w:szCs w:val="17"/>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we are not soliciting offers to buy these securities in any jurisdiction where the offer or sale is not permitted.</w:t>
      </w:r>
    </w:p>
    <w:p>
      <w:pPr>
        <w:spacing w:after="0" w:line="9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b w:val="1"/>
          <w:bCs w:val="1"/>
          <w:color w:val="FF4338"/>
        </w:rPr>
        <w:t>SUBJECT TO COMPLETION, DATED MAY 15, 2024</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18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30"/>
          <w:szCs w:val="30"/>
          <w:b w:val="1"/>
          <w:bCs w:val="1"/>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172085</wp:posOffset>
            </wp:positionV>
            <wp:extent cx="1716405" cy="5721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6">
                      <a:extLst>
                        <a:ext uri="{28A0092B-C50C-407E-A947-70E740481C1C}"/>
                      </a:extLst>
                    </a:blip>
                    <a:srcRect/>
                    <a:stretch>
                      <a:fillRect/>
                    </a:stretch>
                  </pic:blipFill>
                  <pic:spPr bwMode="auto">
                    <a:xfrm>
                      <a:off x="0" y="0"/>
                      <a:ext cx="1716405" cy="57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235585</wp:posOffset>
            </wp:positionV>
            <wp:extent cx="138620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7">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entered into a Sales Agreement, dated March 13, 2019, with Jefferies LLC, or Jefferies, which was amended and restated on March 13, 2024, or the</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sales agreement, relating to the sale of shares of our common stock offered by this prospectus. In accordance with the terms of the sales agreement,</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under this prospectus we may offer and sell shares of our common stock, $0.001 par value per share, having an aggregate offering price of up to</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$75,000,000 from time to time through Jefferies, acting as our agent. As of the date of this prospectus, we have issued and sold shares of our common</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stock for aggregate gross proceeds of $11,679,045 pursuant to the sales agreement and a prior prospectus dated August 27, 2021.</w:t>
      </w:r>
    </w:p>
    <w:p>
      <w:pPr>
        <w:spacing w:after="0" w:line="195" w:lineRule="exact"/>
        <w:rPr>
          <w:sz w:val="20"/>
          <w:szCs w:val="20"/>
          <w:color w:val="auto"/>
        </w:rPr>
      </w:pPr>
    </w:p>
    <w:p>
      <w:pPr>
        <w:ind w:left="440" w:right="60"/>
        <w:spacing w:after="0" w:line="256" w:lineRule="auto"/>
        <w:rPr>
          <w:sz w:val="20"/>
          <w:szCs w:val="20"/>
          <w:color w:val="auto"/>
        </w:rPr>
      </w:pPr>
      <w:r>
        <w:rPr>
          <w:rFonts w:ascii="Times New Roman" w:cs="Times New Roman" w:eastAsia="Times New Roman" w:hAnsi="Times New Roman"/>
          <w:sz w:val="17"/>
          <w:szCs w:val="17"/>
          <w:color w:val="auto"/>
        </w:rPr>
        <w:t>Sales of our common stock, if any, under this prospectus may be made by any method permitted by law that is deemed to be an “at the market offering” as defined in Rule 415(a)(4) under the Securities Act of 1933, as amended, or the Securities Act, including sales made directly on or through The Nasdaq Global Select Market, the existing trading market for our common stock. Jefferies is not required to sell any specific amount, but will act as our sales agent using commercially reasonable efforts, consistent with its normal trading and sales practices. There is no arrangement for funds to be received in an escrow, trust or similar arrangement.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Jefferies will be entitled to compensation at a commission rate of up to 3% of the gross sales price of the shares sold under the sales agreement. See</w:t>
      </w:r>
    </w:p>
    <w:p>
      <w:pPr>
        <w:spacing w:after="0" w:line="23"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0000EE"/>
        </w:rPr>
        <w:t>Plan of Distribution</w:t>
      </w:r>
      <w:r>
        <w:rPr>
          <w:rFonts w:ascii="Times New Roman" w:cs="Times New Roman" w:eastAsia="Times New Roman" w:hAnsi="Times New Roman"/>
          <w:sz w:val="17"/>
          <w:szCs w:val="17"/>
          <w:color w:val="auto"/>
        </w:rPr>
        <w:t>” beginning on page S-18 for additional information regarding the compensation to be paid to Jefferies. In connection with the sale of the common stock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civil liabilities under the Securities Act.</w:t>
      </w:r>
    </w:p>
    <w:p>
      <w:pPr>
        <w:spacing w:after="0" w:line="179" w:lineRule="exact"/>
        <w:rPr>
          <w:sz w:val="20"/>
          <w:szCs w:val="20"/>
          <w:color w:val="auto"/>
        </w:rPr>
      </w:pPr>
    </w:p>
    <w:p>
      <w:pPr>
        <w:ind w:left="440" w:right="60"/>
        <w:spacing w:after="0" w:line="277" w:lineRule="auto"/>
        <w:rPr>
          <w:sz w:val="20"/>
          <w:szCs w:val="20"/>
          <w:color w:val="auto"/>
        </w:rPr>
      </w:pPr>
      <w:r>
        <w:rPr>
          <w:rFonts w:ascii="Times New Roman" w:cs="Times New Roman" w:eastAsia="Times New Roman" w:hAnsi="Times New Roman"/>
          <w:sz w:val="17"/>
          <w:szCs w:val="17"/>
          <w:color w:val="auto"/>
        </w:rPr>
        <w:t>Our common stock trades on The Nasdaq Global Select Market under the trading symbol “SLDB.” On May 13, 2024, the last sale price of our common stock as reported on The Nasdaq Global Select Market was $9.75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191135</wp:posOffset>
            </wp:positionV>
            <wp:extent cx="13862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both"/>
        <w:ind w:left="440" w:right="200"/>
        <w:spacing w:after="0" w:line="258" w:lineRule="auto"/>
        <w:rPr>
          <w:sz w:val="20"/>
          <w:szCs w:val="20"/>
          <w:color w:val="auto"/>
        </w:rPr>
      </w:pPr>
      <w:r>
        <w:rPr>
          <w:rFonts w:ascii="Times New Roman" w:cs="Times New Roman" w:eastAsia="Times New Roman" w:hAnsi="Times New Roman"/>
          <w:sz w:val="20"/>
          <w:szCs w:val="20"/>
          <w:b w:val="1"/>
          <w:bCs w:val="1"/>
          <w:color w:val="auto"/>
        </w:rPr>
        <w:t>Investing in our common stock involves significant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S-7 of this prospectus and in the documents incorporated by reference in this prospectus for a discussion of the factors you should carefully consider before deciding to purchase our common stock.</w:t>
      </w:r>
    </w:p>
    <w:p>
      <w:pPr>
        <w:spacing w:after="0" w:line="156"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188595</wp:posOffset>
            </wp:positionV>
            <wp:extent cx="13862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27"/>
          <w:szCs w:val="27"/>
          <w:b w:val="1"/>
          <w:bCs w:val="1"/>
          <w:color w:val="auto"/>
        </w:rPr>
        <w:t>Jefferies</w:t>
      </w:r>
    </w:p>
    <w:p>
      <w:pPr>
        <w:spacing w:after="0" w:line="22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               , 2024</w:t>
      </w:r>
    </w:p>
    <w:p>
      <w:pPr>
        <w:sectPr>
          <w:pgSz w:w="11900" w:h="16838" w:orient="portrait"/>
          <w:cols w:equalWidth="0" w:num="1">
            <w:col w:w="10780"/>
          </w:cols>
          <w:pgMar w:left="320" w:top="437" w:right="79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95"/>
        </w:trPr>
        <w:tc>
          <w:tcPr>
            <w:tcW w:w="8480" w:type="dxa"/>
            <w:vAlign w:val="bottom"/>
            <w:gridSpan w:val="17"/>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2280" w:type="dxa"/>
            <w:vAlign w:val="bottom"/>
          </w:tcPr>
          <w:p>
            <w:pPr>
              <w:spacing w:after="0"/>
              <w:rPr>
                <w:sz w:val="17"/>
                <w:szCs w:val="17"/>
                <w:color w:val="auto"/>
              </w:rPr>
            </w:pPr>
          </w:p>
        </w:tc>
      </w:tr>
      <w:tr>
        <w:trPr>
          <w:trHeight w:val="500"/>
        </w:trPr>
        <w:tc>
          <w:tcPr>
            <w:tcW w:w="4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40" w:type="dxa"/>
            <w:vAlign w:val="bottom"/>
            <w:gridSpan w:val="2"/>
          </w:tcPr>
          <w:p>
            <w:pPr>
              <w:ind w:left="68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2280" w:type="dxa"/>
            <w:vAlign w:val="bottom"/>
          </w:tcPr>
          <w:p>
            <w:pPr>
              <w:spacing w:after="0"/>
              <w:rPr>
                <w:sz w:val="24"/>
                <w:szCs w:val="24"/>
                <w:color w:val="auto"/>
              </w:rPr>
            </w:pPr>
          </w:p>
        </w:tc>
      </w:tr>
      <w:tr>
        <w:trPr>
          <w:trHeight w:val="394"/>
        </w:trPr>
        <w:tc>
          <w:tcPr>
            <w:tcW w:w="440" w:type="dxa"/>
            <w:vAlign w:val="bottom"/>
          </w:tcPr>
          <w:p>
            <w:pPr>
              <w:spacing w:after="0"/>
              <w:rPr>
                <w:sz w:val="24"/>
                <w:szCs w:val="24"/>
                <w:color w:val="auto"/>
              </w:rPr>
            </w:pPr>
          </w:p>
        </w:tc>
        <w:tc>
          <w:tcPr>
            <w:tcW w:w="8040" w:type="dxa"/>
            <w:vAlign w:val="bottom"/>
            <w:gridSpan w:val="16"/>
          </w:tcPr>
          <w:p>
            <w:pPr>
              <w:spacing w:after="0"/>
              <w:rPr>
                <w:sz w:val="20"/>
                <w:szCs w:val="20"/>
                <w:color w:val="auto"/>
              </w:rPr>
            </w:pPr>
            <w:r>
              <w:rPr>
                <w:rFonts w:ascii="Times New Roman" w:cs="Times New Roman" w:eastAsia="Times New Roman" w:hAnsi="Times New Roman"/>
                <w:sz w:val="17"/>
                <w:szCs w:val="17"/>
                <w:color w:val="0000EE"/>
              </w:rPr>
              <w:t>ABOUT THIS PROSPECTUS</w:t>
            </w:r>
          </w:p>
        </w:tc>
        <w:tc>
          <w:tcPr>
            <w:tcW w:w="2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S-1</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04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S-2</w:t>
            </w:r>
          </w:p>
        </w:tc>
      </w:tr>
      <w:tr>
        <w:trPr>
          <w:trHeight w:val="183"/>
        </w:trPr>
        <w:tc>
          <w:tcPr>
            <w:tcW w:w="440" w:type="dxa"/>
            <w:vAlign w:val="bottom"/>
          </w:tcPr>
          <w:p>
            <w:pPr>
              <w:spacing w:after="0"/>
              <w:rPr>
                <w:sz w:val="15"/>
                <w:szCs w:val="15"/>
                <w:color w:val="auto"/>
              </w:rPr>
            </w:pPr>
          </w:p>
        </w:tc>
        <w:tc>
          <w:tcPr>
            <w:tcW w:w="5440" w:type="dxa"/>
            <w:vAlign w:val="bottom"/>
            <w:tcBorders>
              <w:top w:val="single" w:sz="8" w:color="0000EE"/>
            </w:tcBorders>
            <w:gridSpan w:val="15"/>
          </w:tcPr>
          <w:p>
            <w:pPr>
              <w:spacing w:after="0" w:line="183" w:lineRule="exact"/>
              <w:rPr>
                <w:sz w:val="20"/>
                <w:szCs w:val="20"/>
                <w:color w:val="auto"/>
              </w:rPr>
            </w:pPr>
            <w:r>
              <w:rPr>
                <w:rFonts w:ascii="Times New Roman" w:cs="Times New Roman" w:eastAsia="Times New Roman" w:hAnsi="Times New Roman"/>
                <w:sz w:val="17"/>
                <w:szCs w:val="17"/>
                <w:color w:val="0000EE"/>
              </w:rPr>
              <w:t>PROSPECTUS SUMMARY</w:t>
            </w:r>
          </w:p>
        </w:tc>
        <w:tc>
          <w:tcPr>
            <w:tcW w:w="2600" w:type="dxa"/>
            <w:vAlign w:val="bottom"/>
          </w:tcPr>
          <w:p>
            <w:pPr>
              <w:spacing w:after="0"/>
              <w:rPr>
                <w:sz w:val="15"/>
                <w:szCs w:val="15"/>
                <w:color w:val="auto"/>
              </w:rPr>
            </w:pP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S-4</w:t>
            </w:r>
          </w:p>
        </w:tc>
      </w:tr>
      <w:tr>
        <w:trPr>
          <w:trHeight w:val="183"/>
        </w:trPr>
        <w:tc>
          <w:tcPr>
            <w:tcW w:w="440" w:type="dxa"/>
            <w:vAlign w:val="bottom"/>
          </w:tcPr>
          <w:p>
            <w:pPr>
              <w:spacing w:after="0"/>
              <w:rPr>
                <w:sz w:val="15"/>
                <w:szCs w:val="15"/>
                <w:color w:val="auto"/>
              </w:rPr>
            </w:pPr>
          </w:p>
        </w:tc>
        <w:tc>
          <w:tcPr>
            <w:tcW w:w="1960" w:type="dxa"/>
            <w:vAlign w:val="bottom"/>
            <w:tcBorders>
              <w:top w:val="single" w:sz="8" w:color="0000EE"/>
            </w:tcBorders>
            <w:gridSpan w:val="10"/>
          </w:tcPr>
          <w:p>
            <w:pPr>
              <w:spacing w:after="0" w:line="183" w:lineRule="exact"/>
              <w:rPr>
                <w:sz w:val="20"/>
                <w:szCs w:val="20"/>
                <w:color w:val="auto"/>
              </w:rPr>
            </w:pPr>
            <w:r>
              <w:rPr>
                <w:rFonts w:ascii="Times New Roman" w:cs="Times New Roman" w:eastAsia="Times New Roman" w:hAnsi="Times New Roman"/>
                <w:sz w:val="17"/>
                <w:szCs w:val="17"/>
                <w:color w:val="0000EE"/>
              </w:rPr>
              <w:t>THE OFFERING</w:t>
            </w:r>
          </w:p>
        </w:tc>
        <w:tc>
          <w:tcPr>
            <w:tcW w:w="6080" w:type="dxa"/>
            <w:vAlign w:val="bottom"/>
            <w:gridSpan w:val="6"/>
          </w:tcPr>
          <w:p>
            <w:pPr>
              <w:spacing w:after="0"/>
              <w:rPr>
                <w:sz w:val="15"/>
                <w:szCs w:val="15"/>
                <w:color w:val="auto"/>
              </w:rPr>
            </w:pP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S-5</w:t>
            </w:r>
          </w:p>
        </w:tc>
      </w:tr>
      <w:tr>
        <w:trPr>
          <w:trHeight w:val="183"/>
        </w:trPr>
        <w:tc>
          <w:tcPr>
            <w:tcW w:w="440" w:type="dxa"/>
            <w:vAlign w:val="bottom"/>
          </w:tcPr>
          <w:p>
            <w:pPr>
              <w:spacing w:after="0"/>
              <w:rPr>
                <w:sz w:val="15"/>
                <w:szCs w:val="15"/>
                <w:color w:val="auto"/>
              </w:rPr>
            </w:pPr>
          </w:p>
        </w:tc>
        <w:tc>
          <w:tcPr>
            <w:tcW w:w="1180" w:type="dxa"/>
            <w:vAlign w:val="bottom"/>
            <w:tcBorders>
              <w:top w:val="single" w:sz="8" w:color="0000EE"/>
              <w:bottom w:val="single" w:sz="8" w:color="0000EE"/>
            </w:tcBorders>
            <w:gridSpan w:val="5"/>
          </w:tcPr>
          <w:p>
            <w:pPr>
              <w:spacing w:after="0" w:line="183" w:lineRule="exact"/>
              <w:rPr>
                <w:sz w:val="20"/>
                <w:szCs w:val="20"/>
                <w:color w:val="auto"/>
              </w:rPr>
            </w:pPr>
            <w:r>
              <w:rPr>
                <w:rFonts w:ascii="Times New Roman" w:cs="Times New Roman" w:eastAsia="Times New Roman" w:hAnsi="Times New Roman"/>
                <w:sz w:val="17"/>
                <w:szCs w:val="17"/>
                <w:color w:val="0000EE"/>
                <w:w w:val="97"/>
              </w:rPr>
              <w:t>RISK FACTORS</w:t>
            </w:r>
          </w:p>
        </w:tc>
        <w:tc>
          <w:tcPr>
            <w:tcW w:w="20" w:type="dxa"/>
            <w:vAlign w:val="bottom"/>
            <w:tcBorders>
              <w:top w:val="single" w:sz="8" w:color="0000EE"/>
            </w:tcBorders>
          </w:tcPr>
          <w:p>
            <w:pPr>
              <w:spacing w:after="0"/>
              <w:rPr>
                <w:sz w:val="15"/>
                <w:szCs w:val="15"/>
                <w:color w:val="auto"/>
              </w:rPr>
            </w:pPr>
          </w:p>
        </w:tc>
        <w:tc>
          <w:tcPr>
            <w:tcW w:w="6840" w:type="dxa"/>
            <w:vAlign w:val="bottom"/>
            <w:gridSpan w:val="10"/>
          </w:tcPr>
          <w:p>
            <w:pPr>
              <w:spacing w:after="0"/>
              <w:rPr>
                <w:sz w:val="15"/>
                <w:szCs w:val="15"/>
                <w:color w:val="auto"/>
              </w:rPr>
            </w:pP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S-7</w:t>
            </w:r>
          </w:p>
        </w:tc>
      </w:tr>
      <w:tr>
        <w:trPr>
          <w:trHeight w:val="183"/>
        </w:trPr>
        <w:tc>
          <w:tcPr>
            <w:tcW w:w="440" w:type="dxa"/>
            <w:vAlign w:val="bottom"/>
          </w:tcPr>
          <w:p>
            <w:pPr>
              <w:spacing w:after="0"/>
              <w:rPr>
                <w:sz w:val="15"/>
                <w:szCs w:val="15"/>
                <w:color w:val="auto"/>
              </w:rPr>
            </w:pPr>
          </w:p>
        </w:tc>
        <w:tc>
          <w:tcPr>
            <w:tcW w:w="1500" w:type="dxa"/>
            <w:vAlign w:val="bottom"/>
            <w:tcBorders>
              <w:bottom w:val="single" w:sz="8" w:color="0000EE"/>
            </w:tcBorders>
            <w:gridSpan w:val="8"/>
          </w:tcPr>
          <w:p>
            <w:pPr>
              <w:spacing w:after="0" w:line="183" w:lineRule="exact"/>
              <w:rPr>
                <w:sz w:val="20"/>
                <w:szCs w:val="20"/>
                <w:color w:val="auto"/>
              </w:rPr>
            </w:pPr>
            <w:r>
              <w:rPr>
                <w:rFonts w:ascii="Times New Roman" w:cs="Times New Roman" w:eastAsia="Times New Roman" w:hAnsi="Times New Roman"/>
                <w:sz w:val="17"/>
                <w:szCs w:val="17"/>
                <w:color w:val="0000EE"/>
                <w:w w:val="99"/>
              </w:rPr>
              <w:t>USE OF PROCEEDS</w:t>
            </w:r>
          </w:p>
        </w:tc>
        <w:tc>
          <w:tcPr>
            <w:tcW w:w="6540" w:type="dxa"/>
            <w:vAlign w:val="bottom"/>
            <w:gridSpan w:val="8"/>
          </w:tcPr>
          <w:p>
            <w:pPr>
              <w:spacing w:after="0"/>
              <w:rPr>
                <w:sz w:val="15"/>
                <w:szCs w:val="15"/>
                <w:color w:val="auto"/>
              </w:rPr>
            </w:pP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S-10</w:t>
            </w:r>
          </w:p>
        </w:tc>
      </w:tr>
      <w:tr>
        <w:trPr>
          <w:trHeight w:val="183"/>
        </w:trPr>
        <w:tc>
          <w:tcPr>
            <w:tcW w:w="440" w:type="dxa"/>
            <w:vAlign w:val="bottom"/>
          </w:tcPr>
          <w:p>
            <w:pPr>
              <w:spacing w:after="0"/>
              <w:rPr>
                <w:sz w:val="15"/>
                <w:szCs w:val="15"/>
                <w:color w:val="auto"/>
              </w:rPr>
            </w:pPr>
          </w:p>
        </w:tc>
        <w:tc>
          <w:tcPr>
            <w:tcW w:w="820" w:type="dxa"/>
            <w:vAlign w:val="bottom"/>
            <w:tcBorders>
              <w:bottom w:val="single" w:sz="8" w:color="0000EE"/>
            </w:tcBorders>
            <w:gridSpan w:val="2"/>
          </w:tcPr>
          <w:p>
            <w:pPr>
              <w:spacing w:after="0" w:line="183" w:lineRule="exact"/>
              <w:rPr>
                <w:sz w:val="20"/>
                <w:szCs w:val="20"/>
                <w:color w:val="auto"/>
              </w:rPr>
            </w:pPr>
            <w:r>
              <w:rPr>
                <w:rFonts w:ascii="Times New Roman" w:cs="Times New Roman" w:eastAsia="Times New Roman" w:hAnsi="Times New Roman"/>
                <w:sz w:val="17"/>
                <w:szCs w:val="17"/>
                <w:color w:val="0000EE"/>
                <w:w w:val="98"/>
              </w:rPr>
              <w:t>DILUTION</w:t>
            </w:r>
          </w:p>
        </w:tc>
        <w:tc>
          <w:tcPr>
            <w:tcW w:w="7220" w:type="dxa"/>
            <w:vAlign w:val="bottom"/>
            <w:gridSpan w:val="14"/>
          </w:tcPr>
          <w:p>
            <w:pPr>
              <w:spacing w:after="0"/>
              <w:rPr>
                <w:sz w:val="15"/>
                <w:szCs w:val="15"/>
                <w:color w:val="auto"/>
              </w:rPr>
            </w:pP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S-11</w:t>
            </w:r>
          </w:p>
        </w:tc>
      </w:tr>
      <w:tr>
        <w:trPr>
          <w:trHeight w:val="183"/>
        </w:trPr>
        <w:tc>
          <w:tcPr>
            <w:tcW w:w="440" w:type="dxa"/>
            <w:vAlign w:val="bottom"/>
          </w:tcPr>
          <w:p>
            <w:pPr>
              <w:spacing w:after="0"/>
              <w:rPr>
                <w:sz w:val="15"/>
                <w:szCs w:val="15"/>
                <w:color w:val="auto"/>
              </w:rPr>
            </w:pPr>
          </w:p>
        </w:tc>
        <w:tc>
          <w:tcPr>
            <w:tcW w:w="804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S-13</w:t>
            </w:r>
          </w:p>
        </w:tc>
      </w:tr>
      <w:tr>
        <w:trPr>
          <w:trHeight w:val="183"/>
        </w:trPr>
        <w:tc>
          <w:tcPr>
            <w:tcW w:w="440" w:type="dxa"/>
            <w:vAlign w:val="bottom"/>
          </w:tcPr>
          <w:p>
            <w:pPr>
              <w:spacing w:after="0"/>
              <w:rPr>
                <w:sz w:val="15"/>
                <w:szCs w:val="15"/>
                <w:color w:val="auto"/>
              </w:rPr>
            </w:pPr>
          </w:p>
        </w:tc>
        <w:tc>
          <w:tcPr>
            <w:tcW w:w="1940" w:type="dxa"/>
            <w:vAlign w:val="bottom"/>
            <w:tcBorders>
              <w:top w:val="single" w:sz="8" w:color="0000EE"/>
              <w:bottom w:val="single" w:sz="8" w:color="0000EE"/>
            </w:tcBorders>
            <w:gridSpan w:val="9"/>
          </w:tcPr>
          <w:p>
            <w:pPr>
              <w:spacing w:after="0" w:line="183" w:lineRule="exact"/>
              <w:rPr>
                <w:sz w:val="20"/>
                <w:szCs w:val="20"/>
                <w:color w:val="auto"/>
              </w:rPr>
            </w:pPr>
            <w:r>
              <w:rPr>
                <w:rFonts w:ascii="Times New Roman" w:cs="Times New Roman" w:eastAsia="Times New Roman" w:hAnsi="Times New Roman"/>
                <w:sz w:val="17"/>
                <w:szCs w:val="17"/>
                <w:color w:val="0000EE"/>
                <w:w w:val="99"/>
              </w:rPr>
              <w:t>PLAN OF DISTRIBUTION</w:t>
            </w:r>
          </w:p>
        </w:tc>
        <w:tc>
          <w:tcPr>
            <w:tcW w:w="760" w:type="dxa"/>
            <w:vAlign w:val="bottom"/>
            <w:tcBorders>
              <w:top w:val="single" w:sz="8" w:color="0000EE"/>
            </w:tcBorders>
            <w:gridSpan w:val="4"/>
          </w:tcPr>
          <w:p>
            <w:pPr>
              <w:spacing w:after="0"/>
              <w:rPr>
                <w:sz w:val="15"/>
                <w:szCs w:val="15"/>
                <w:color w:val="auto"/>
              </w:rPr>
            </w:pPr>
          </w:p>
        </w:tc>
        <w:tc>
          <w:tcPr>
            <w:tcW w:w="5340" w:type="dxa"/>
            <w:vAlign w:val="bottom"/>
            <w:gridSpan w:val="3"/>
          </w:tcPr>
          <w:p>
            <w:pPr>
              <w:spacing w:after="0"/>
              <w:rPr>
                <w:sz w:val="15"/>
                <w:szCs w:val="15"/>
                <w:color w:val="auto"/>
              </w:rPr>
            </w:pP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S-18</w:t>
            </w:r>
          </w:p>
        </w:tc>
      </w:tr>
      <w:tr>
        <w:trPr>
          <w:trHeight w:val="183"/>
        </w:trPr>
        <w:tc>
          <w:tcPr>
            <w:tcW w:w="440" w:type="dxa"/>
            <w:vAlign w:val="bottom"/>
          </w:tcPr>
          <w:p>
            <w:pPr>
              <w:spacing w:after="0"/>
              <w:rPr>
                <w:sz w:val="15"/>
                <w:szCs w:val="15"/>
                <w:color w:val="auto"/>
              </w:rPr>
            </w:pPr>
          </w:p>
        </w:tc>
        <w:tc>
          <w:tcPr>
            <w:tcW w:w="1380" w:type="dxa"/>
            <w:vAlign w:val="bottom"/>
            <w:tcBorders>
              <w:bottom w:val="single" w:sz="8" w:color="0000EE"/>
            </w:tcBorders>
            <w:gridSpan w:val="7"/>
          </w:tcPr>
          <w:p>
            <w:pPr>
              <w:spacing w:after="0" w:line="183" w:lineRule="exact"/>
              <w:rPr>
                <w:sz w:val="20"/>
                <w:szCs w:val="20"/>
                <w:color w:val="auto"/>
              </w:rPr>
            </w:pPr>
            <w:r>
              <w:rPr>
                <w:rFonts w:ascii="Times New Roman" w:cs="Times New Roman" w:eastAsia="Times New Roman" w:hAnsi="Times New Roman"/>
                <w:sz w:val="17"/>
                <w:szCs w:val="17"/>
                <w:color w:val="0000EE"/>
                <w:w w:val="97"/>
              </w:rPr>
              <w:t>LEGAL MATTERS</w:t>
            </w:r>
          </w:p>
        </w:tc>
        <w:tc>
          <w:tcPr>
            <w:tcW w:w="6660" w:type="dxa"/>
            <w:vAlign w:val="bottom"/>
            <w:gridSpan w:val="9"/>
          </w:tcPr>
          <w:p>
            <w:pPr>
              <w:spacing w:after="0"/>
              <w:rPr>
                <w:sz w:val="15"/>
                <w:szCs w:val="15"/>
                <w:color w:val="auto"/>
              </w:rPr>
            </w:pP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S-20</w:t>
            </w:r>
          </w:p>
        </w:tc>
      </w:tr>
      <w:tr>
        <w:trPr>
          <w:trHeight w:val="183"/>
        </w:trPr>
        <w:tc>
          <w:tcPr>
            <w:tcW w:w="440" w:type="dxa"/>
            <w:vAlign w:val="bottom"/>
          </w:tcPr>
          <w:p>
            <w:pPr>
              <w:spacing w:after="0"/>
              <w:rPr>
                <w:sz w:val="15"/>
                <w:szCs w:val="15"/>
                <w:color w:val="auto"/>
              </w:rPr>
            </w:pPr>
          </w:p>
        </w:tc>
        <w:tc>
          <w:tcPr>
            <w:tcW w:w="8040" w:type="dxa"/>
            <w:vAlign w:val="bottom"/>
            <w:gridSpan w:val="16"/>
          </w:tcPr>
          <w:p>
            <w:pPr>
              <w:spacing w:after="0" w:line="183" w:lineRule="exact"/>
              <w:rPr>
                <w:sz w:val="20"/>
                <w:szCs w:val="20"/>
                <w:color w:val="auto"/>
              </w:rPr>
            </w:pPr>
            <w:r>
              <w:rPr>
                <w:rFonts w:ascii="Times New Roman" w:cs="Times New Roman" w:eastAsia="Times New Roman" w:hAnsi="Times New Roman"/>
                <w:sz w:val="17"/>
                <w:szCs w:val="17"/>
                <w:color w:val="0000EE"/>
              </w:rPr>
              <w:t>EXPERTS</w:t>
            </w: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S-20</w:t>
            </w:r>
          </w:p>
        </w:tc>
      </w:tr>
      <w:tr>
        <w:trPr>
          <w:trHeight w:val="20"/>
        </w:trPr>
        <w:tc>
          <w:tcPr>
            <w:tcW w:w="44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44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3600" w:type="dxa"/>
            <w:vAlign w:val="bottom"/>
            <w:tcBorders>
              <w:bottom w:val="single" w:sz="8" w:color="0000EE"/>
            </w:tcBorders>
            <w:gridSpan w:val="14"/>
          </w:tcPr>
          <w:p>
            <w:pPr>
              <w:spacing w:after="0" w:line="183" w:lineRule="exact"/>
              <w:rPr>
                <w:sz w:val="20"/>
                <w:szCs w:val="20"/>
                <w:color w:val="auto"/>
              </w:rPr>
            </w:pPr>
            <w:r>
              <w:rPr>
                <w:rFonts w:ascii="Times New Roman" w:cs="Times New Roman" w:eastAsia="Times New Roman" w:hAnsi="Times New Roman"/>
                <w:sz w:val="17"/>
                <w:szCs w:val="17"/>
                <w:color w:val="0000EE"/>
                <w:w w:val="98"/>
              </w:rPr>
              <w:t>WHERE YOU CAN FIND MORE INFORMATION</w:t>
            </w:r>
          </w:p>
        </w:tc>
        <w:tc>
          <w:tcPr>
            <w:tcW w:w="4440" w:type="dxa"/>
            <w:vAlign w:val="bottom"/>
            <w:gridSpan w:val="2"/>
          </w:tcPr>
          <w:p>
            <w:pPr>
              <w:spacing w:after="0"/>
              <w:rPr>
                <w:sz w:val="15"/>
                <w:szCs w:val="15"/>
                <w:color w:val="auto"/>
              </w:rPr>
            </w:pP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S-20</w:t>
            </w:r>
          </w:p>
        </w:tc>
      </w:tr>
      <w:tr>
        <w:trPr>
          <w:trHeight w:val="183"/>
        </w:trPr>
        <w:tc>
          <w:tcPr>
            <w:tcW w:w="440" w:type="dxa"/>
            <w:vAlign w:val="bottom"/>
          </w:tcPr>
          <w:p>
            <w:pPr>
              <w:spacing w:after="0"/>
              <w:rPr>
                <w:sz w:val="15"/>
                <w:szCs w:val="15"/>
                <w:color w:val="auto"/>
              </w:rPr>
            </w:pPr>
          </w:p>
        </w:tc>
        <w:tc>
          <w:tcPr>
            <w:tcW w:w="2660" w:type="dxa"/>
            <w:vAlign w:val="bottom"/>
            <w:tcBorders>
              <w:bottom w:val="single" w:sz="8" w:color="0000EE"/>
            </w:tcBorders>
            <w:gridSpan w:val="12"/>
          </w:tcPr>
          <w:p>
            <w:pPr>
              <w:spacing w:after="0" w:line="183" w:lineRule="exact"/>
              <w:rPr>
                <w:sz w:val="20"/>
                <w:szCs w:val="20"/>
                <w:color w:val="auto"/>
              </w:rPr>
            </w:pPr>
            <w:r>
              <w:rPr>
                <w:rFonts w:ascii="Times New Roman" w:cs="Times New Roman" w:eastAsia="Times New Roman" w:hAnsi="Times New Roman"/>
                <w:sz w:val="17"/>
                <w:szCs w:val="17"/>
                <w:color w:val="0000EE"/>
                <w:w w:val="98"/>
              </w:rPr>
              <w:t>INCORPORATION BY REFERENCE</w:t>
            </w:r>
          </w:p>
        </w:tc>
        <w:tc>
          <w:tcPr>
            <w:tcW w:w="5380" w:type="dxa"/>
            <w:vAlign w:val="bottom"/>
            <w:gridSpan w:val="4"/>
          </w:tcPr>
          <w:p>
            <w:pPr>
              <w:spacing w:after="0"/>
              <w:rPr>
                <w:sz w:val="15"/>
                <w:szCs w:val="15"/>
                <w:color w:val="auto"/>
              </w:rPr>
            </w:pP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S-21</w:t>
            </w:r>
          </w:p>
        </w:tc>
      </w:tr>
      <w:tr>
        <w:trPr>
          <w:trHeight w:val="183"/>
        </w:trPr>
        <w:tc>
          <w:tcPr>
            <w:tcW w:w="440" w:type="dxa"/>
            <w:vAlign w:val="bottom"/>
          </w:tcPr>
          <w:p>
            <w:pPr>
              <w:spacing w:after="0"/>
              <w:rPr>
                <w:sz w:val="15"/>
                <w:szCs w:val="15"/>
                <w:color w:val="auto"/>
              </w:rPr>
            </w:pPr>
          </w:p>
        </w:tc>
        <w:tc>
          <w:tcPr>
            <w:tcW w:w="1040" w:type="dxa"/>
            <w:vAlign w:val="bottom"/>
            <w:tcBorders>
              <w:bottom w:val="single" w:sz="8" w:color="0000EE"/>
            </w:tcBorders>
            <w:gridSpan w:val="4"/>
          </w:tcPr>
          <w:p>
            <w:pPr>
              <w:spacing w:after="0" w:line="183" w:lineRule="exact"/>
              <w:rPr>
                <w:sz w:val="20"/>
                <w:szCs w:val="20"/>
                <w:color w:val="auto"/>
              </w:rPr>
            </w:pPr>
            <w:r>
              <w:rPr>
                <w:rFonts w:ascii="Times New Roman" w:cs="Times New Roman" w:eastAsia="Times New Roman" w:hAnsi="Times New Roman"/>
                <w:sz w:val="17"/>
                <w:szCs w:val="17"/>
                <w:color w:val="0000EE"/>
                <w:w w:val="96"/>
              </w:rPr>
              <w:t>SIGNATURES</w:t>
            </w:r>
          </w:p>
        </w:tc>
        <w:tc>
          <w:tcPr>
            <w:tcW w:w="7000" w:type="dxa"/>
            <w:vAlign w:val="bottom"/>
            <w:gridSpan w:val="12"/>
          </w:tcPr>
          <w:p>
            <w:pPr>
              <w:spacing w:after="0"/>
              <w:rPr>
                <w:sz w:val="15"/>
                <w:szCs w:val="15"/>
                <w:color w:val="auto"/>
              </w:rPr>
            </w:pPr>
          </w:p>
        </w:tc>
        <w:tc>
          <w:tcPr>
            <w:tcW w:w="2280" w:type="dxa"/>
            <w:vAlign w:val="bottom"/>
          </w:tcPr>
          <w:p>
            <w:pPr>
              <w:jc w:val="right"/>
              <w:spacing w:after="0" w:line="183" w:lineRule="exact"/>
              <w:rPr>
                <w:sz w:val="20"/>
                <w:szCs w:val="20"/>
                <w:color w:val="auto"/>
              </w:rPr>
            </w:pPr>
            <w:r>
              <w:rPr>
                <w:rFonts w:ascii="Times New Roman" w:cs="Times New Roman" w:eastAsia="Times New Roman" w:hAnsi="Times New Roman"/>
                <w:sz w:val="17"/>
                <w:szCs w:val="17"/>
                <w:color w:val="auto"/>
              </w:rPr>
              <w:t>II-6</w:t>
            </w:r>
          </w:p>
        </w:tc>
      </w:tr>
    </w:tbl>
    <w:p>
      <w:pPr>
        <w:spacing w:after="0" w:line="1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p>
    <w:p>
      <w:pPr>
        <w:jc w:val="center"/>
        <w:ind w:right="-479"/>
        <w:spacing w:after="0"/>
        <w:rPr>
          <w:sz w:val="20"/>
          <w:szCs w:val="20"/>
          <w:color w:val="auto"/>
        </w:rPr>
      </w:pPr>
      <w:r>
        <w:rPr>
          <w:rFonts w:ascii="Times New Roman" w:cs="Times New Roman" w:eastAsia="Times New Roman" w:hAnsi="Times New Roman"/>
          <w:sz w:val="17"/>
          <w:szCs w:val="17"/>
          <w:color w:val="auto"/>
        </w:rPr>
        <w:t>S-i</w:t>
      </w:r>
    </w:p>
    <w:p>
      <w:pPr>
        <w:sectPr>
          <w:pgSz w:w="11900" w:h="16838" w:orient="portrait"/>
          <w:cols w:equalWidth="0" w:num="1">
            <w:col w:w="10760"/>
          </w:cols>
          <w:pgMar w:left="320" w:top="426" w:right="8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This prospectus is part of a registration statement that we filed with the Securities and Exchange Commission, or the SEC, utilizing a “shelf” registration</w:t>
      </w:r>
    </w:p>
    <w:p>
      <w:pPr>
        <w:spacing w:after="0" w:line="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process. Under this shelf registration process, we may from time to time sell shares of our common stock having an aggregate offering price of up to</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$300,000,000. Under this prospectus, we may from time to time sell shares of our common stock having an aggregate offering price of up to</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$75,000,000, at prices and on terms to be determined by market conditions at the time of the offering. The $75,000,000 of shares of our common stock</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that may be sold under this prospectus are included in the $300,000,000 of shares of common stock that may be sold under the registration statement.</w:t>
      </w:r>
    </w:p>
    <w:p>
      <w:pPr>
        <w:spacing w:after="0" w:line="195" w:lineRule="exact"/>
        <w:rPr>
          <w:sz w:val="20"/>
          <w:szCs w:val="20"/>
          <w:color w:val="auto"/>
        </w:rPr>
      </w:pPr>
    </w:p>
    <w:p>
      <w:pPr>
        <w:jc w:val="both"/>
        <w:ind w:left="440" w:right="260"/>
        <w:spacing w:after="0" w:line="263" w:lineRule="auto"/>
        <w:rPr>
          <w:sz w:val="20"/>
          <w:szCs w:val="20"/>
          <w:color w:val="auto"/>
        </w:rPr>
      </w:pPr>
      <w:r>
        <w:rPr>
          <w:rFonts w:ascii="Times New Roman" w:cs="Times New Roman" w:eastAsia="Times New Roman" w:hAnsi="Times New Roman"/>
          <w:sz w:val="17"/>
          <w:szCs w:val="17"/>
          <w:color w:val="auto"/>
        </w:rPr>
        <w:t>Before buying any of the common stock that we are offering, we urge you to carefully read this prospectus and all of the documents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70" w:lineRule="exact"/>
        <w:rPr>
          <w:sz w:val="20"/>
          <w:szCs w:val="20"/>
          <w:color w:val="auto"/>
        </w:rPr>
      </w:pPr>
    </w:p>
    <w:p>
      <w:pPr>
        <w:ind w:left="440" w:right="60"/>
        <w:spacing w:after="0" w:line="258" w:lineRule="auto"/>
        <w:rPr>
          <w:sz w:val="20"/>
          <w:szCs w:val="20"/>
          <w:color w:val="auto"/>
        </w:rPr>
      </w:pPr>
      <w:r>
        <w:rPr>
          <w:rFonts w:ascii="Times New Roman" w:cs="Times New Roman" w:eastAsia="Times New Roman" w:hAnsi="Times New Roman"/>
          <w:sz w:val="17"/>
          <w:szCs w:val="17"/>
          <w:color w:val="auto"/>
        </w:rPr>
        <w:t>To the extent there is a conflict between the information contained in this prospectus, on the one hand, and the information contained in any document incorporated by reference in this prospectus, on the other hand, you should rely on the information in this prospectus, provided that if any statement in one of these documents is inconsistent with a statement in another document having a later date—for example, a document incorporated by reference in this prospectus—the statement in the document having the later date modifies or supersedes the earlier statement.</w:t>
      </w:r>
    </w:p>
    <w:p>
      <w:pPr>
        <w:spacing w:after="0" w:line="175" w:lineRule="exact"/>
        <w:rPr>
          <w:sz w:val="20"/>
          <w:szCs w:val="20"/>
          <w:color w:val="auto"/>
        </w:rPr>
      </w:pPr>
    </w:p>
    <w:p>
      <w:pPr>
        <w:ind w:left="440" w:right="360"/>
        <w:spacing w:after="0" w:line="256" w:lineRule="auto"/>
        <w:rPr>
          <w:sz w:val="20"/>
          <w:szCs w:val="20"/>
          <w:color w:val="auto"/>
        </w:rPr>
      </w:pPr>
      <w:r>
        <w:rPr>
          <w:rFonts w:ascii="Times New Roman" w:cs="Times New Roman" w:eastAsia="Times New Roman" w:hAnsi="Times New Roman"/>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7"/>
          <w:szCs w:val="17"/>
          <w:color w:val="auto"/>
        </w:rPr>
        <w:t>We have not, and Jefferies has not, authorized anyone to provide you with any information other than that contained or incorporated by reference in this prospectus or any accompanying prospectus supplement or related free writing prospectus to which we have referred you. We and Jefferies take no responsibility for, and can provide no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9"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7"/>
          <w:szCs w:val="17"/>
          <w:color w:val="auto"/>
        </w:rPr>
        <w:t>We are offering to sell, and seeking offers to buy, shares of our common stock only in jurisdictions where offers and sales are permitted. The distribution of this prospectus and the offering of the common stock in certain jurisdictions may be restricted by law. Persons outside the United States who come into possession of this prospectus must inform themselves about, and observe any restrictions relating to, the offering of the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175" w:lineRule="exact"/>
        <w:rPr>
          <w:sz w:val="20"/>
          <w:szCs w:val="20"/>
          <w:color w:val="auto"/>
        </w:rPr>
      </w:pPr>
    </w:p>
    <w:p>
      <w:pPr>
        <w:ind w:left="440" w:right="120"/>
        <w:spacing w:after="0" w:line="277" w:lineRule="auto"/>
        <w:rPr>
          <w:sz w:val="20"/>
          <w:szCs w:val="20"/>
          <w:color w:val="auto"/>
        </w:rPr>
      </w:pPr>
      <w:r>
        <w:rPr>
          <w:rFonts w:ascii="Times New Roman" w:cs="Times New Roman" w:eastAsia="Times New Roman" w:hAnsi="Times New Roman"/>
          <w:sz w:val="17"/>
          <w:szCs w:val="17"/>
          <w:color w:val="auto"/>
        </w:rPr>
        <w:t>Unless the context otherwise indicates, references in this prospectus to “Solid Biosciences” “we,” “our,” “us” and “the Company” refer, collectively, to Solid Biosciences Inc., a Delaware corporation and its consolidated subsidiaries.</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S-1</w:t>
      </w:r>
    </w:p>
    <w:p>
      <w:pPr>
        <w:sectPr>
          <w:pgSz w:w="11900" w:h="16838" w:orient="portrait"/>
          <w:cols w:equalWidth="0" w:num="1">
            <w:col w:w="10780"/>
          </w:cols>
          <w:pgMar w:left="320" w:top="437" w:right="7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This prospectus and the documents incorporated by reference in this prospectus include “forward-looking statements” within the meaning of</w:t>
      </w:r>
    </w:p>
    <w:p>
      <w:pPr>
        <w:spacing w:after="0" w:line="23" w:lineRule="exact"/>
        <w:rPr>
          <w:sz w:val="20"/>
          <w:szCs w:val="20"/>
          <w:color w:val="auto"/>
        </w:rPr>
      </w:pPr>
    </w:p>
    <w:p>
      <w:pPr>
        <w:ind w:left="440"/>
        <w:spacing w:after="0" w:line="250" w:lineRule="auto"/>
        <w:rPr>
          <w:sz w:val="20"/>
          <w:szCs w:val="20"/>
          <w:color w:val="auto"/>
        </w:rPr>
      </w:pPr>
      <w:r>
        <w:rPr>
          <w:rFonts w:ascii="Times New Roman" w:cs="Times New Roman" w:eastAsia="Times New Roman" w:hAnsi="Times New Roman"/>
          <w:sz w:val="17"/>
          <w:szCs w:val="17"/>
          <w:color w:val="auto"/>
        </w:rPr>
        <w:t>Section 27A of the Securities Act of 1933, as amended, or the Securities Act, and Section 21E of the Securities Exchange Act or 1934, as amended, or the Exchange Act. All statements, other than statements of historical fact, contained in or incorporated by reference in this prospectus, including statements regarding our strategy, future operations, future financial position, future revenue, projected costs, prospects, plans and objectives of management, are forward-looking statements. The words “aim,” “anticipate,” “believe,” “continue,” “could,” “estimate,” “expect,” “intend,” “may,” “might,” “plan,” “possible,” “predict,” “project,” “seek,” “should,” “will,” or “would” and similar expressions are intended to identify forward-looking statements, although not all forward-looking statements contain these identifying words. While we believe that our assumptions are reasonable, we caution that it is very difficult to predict the impact of known factors, and, of course, it is impossible for us to anticipate all factors that could affect our actual results. All forward-looking statements are based upon information available to us on the date of this prospectus.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forward-looking statements in this prospectus and the documents incorporated by reference herein include, among other things, statements about:</w:t>
      </w:r>
    </w:p>
    <w:p>
      <w:pPr>
        <w:spacing w:after="0" w:line="122" w:lineRule="exact"/>
        <w:rPr>
          <w:sz w:val="20"/>
          <w:szCs w:val="20"/>
          <w:color w:val="auto"/>
        </w:rPr>
      </w:pPr>
    </w:p>
    <w:p>
      <w:pPr>
        <w:ind w:left="1360" w:hanging="407"/>
        <w:spacing w:after="0" w:line="277"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progress and results of ongoing and planned preclinical studies and clinical trials for our neuromuscular (e.g., SGT-003, AVB-202-TT), cardiac (e.g., AVB-401, SGT-501) or other future candidates;</w:t>
      </w:r>
    </w:p>
    <w:p>
      <w:pPr>
        <w:spacing w:after="0" w:line="69" w:lineRule="exact"/>
        <w:rPr>
          <w:rFonts w:ascii="Times New Roman" w:cs="Times New Roman" w:eastAsia="Times New Roman" w:hAnsi="Times New Roman"/>
          <w:sz w:val="17"/>
          <w:szCs w:val="17"/>
          <w:color w:val="auto"/>
        </w:rPr>
      </w:pPr>
    </w:p>
    <w:p>
      <w:pPr>
        <w:ind w:left="1360" w:right="140" w:hanging="407"/>
        <w:spacing w:after="0" w:line="277"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or maintain collaborations or strategic relationships, including our collaboration with Ultragenyx Pharmaceutical Inc., or Ultragenyx;</w:t>
      </w:r>
    </w:p>
    <w:p>
      <w:pPr>
        <w:spacing w:after="0" w:line="69" w:lineRule="exact"/>
        <w:rPr>
          <w:rFonts w:ascii="Times New Roman" w:cs="Times New Roman" w:eastAsia="Times New Roman" w:hAnsi="Times New Roman"/>
          <w:sz w:val="17"/>
          <w:szCs w:val="17"/>
          <w:color w:val="auto"/>
        </w:rPr>
      </w:pPr>
    </w:p>
    <w:p>
      <w:pPr>
        <w:ind w:left="1360" w:hanging="407"/>
        <w:spacing w:after="0" w:line="277"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obtain and maintain U.S. and foreign regulatory approval of our neuromuscular (e.g., SGT-003, AVB-202-TT), cardiac (e.g., AVB-401, SGT-501) or other future candidates, and the timing and scope thereof;</w:t>
      </w:r>
    </w:p>
    <w:p>
      <w:pPr>
        <w:spacing w:after="0" w:line="69" w:lineRule="exact"/>
        <w:rPr>
          <w:rFonts w:ascii="Times New Roman" w:cs="Times New Roman" w:eastAsia="Times New Roman" w:hAnsi="Times New Roman"/>
          <w:sz w:val="17"/>
          <w:szCs w:val="17"/>
          <w:color w:val="auto"/>
        </w:rPr>
      </w:pPr>
    </w:p>
    <w:p>
      <w:pPr>
        <w:ind w:left="1360" w:right="180" w:hanging="407"/>
        <w:spacing w:after="0" w:line="277"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patient populations and potential market opportunity for our neuromuscular (e.g., SGT-003, AVB-202-TT), cardiac (e.g., AVB-401, SGT-501) or other future candidates, if approved for commercial use;</w:t>
      </w:r>
    </w:p>
    <w:p>
      <w:pPr>
        <w:spacing w:after="0" w:line="69" w:lineRule="exact"/>
        <w:rPr>
          <w:rFonts w:ascii="Times New Roman" w:cs="Times New Roman" w:eastAsia="Times New Roman" w:hAnsi="Times New Roman"/>
          <w:sz w:val="17"/>
          <w:szCs w:val="17"/>
          <w:color w:val="auto"/>
        </w:rPr>
      </w:pPr>
    </w:p>
    <w:p>
      <w:pPr>
        <w:ind w:left="1360" w:right="580" w:hanging="407"/>
        <w:spacing w:after="0" w:line="277"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capabilities and strategy, including the scalability and commercial viability of our manufacturing methods and processes;</w:t>
      </w:r>
    </w:p>
    <w:p>
      <w:pPr>
        <w:spacing w:after="0" w:line="69" w:lineRule="exact"/>
        <w:rPr>
          <w:rFonts w:ascii="Times New Roman" w:cs="Times New Roman" w:eastAsia="Times New Roman" w:hAnsi="Times New Roman"/>
          <w:sz w:val="17"/>
          <w:szCs w:val="17"/>
          <w:color w:val="auto"/>
        </w:rPr>
      </w:pPr>
    </w:p>
    <w:p>
      <w:pPr>
        <w:ind w:left="1360" w:right="240" w:hanging="407"/>
        <w:spacing w:after="0" w:line="277"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develop and commercialize our neuromuscular (e.g., SGT-003, AVB-202-TT), cardiac (e.g., AVB-401, SGT-501) or other future candidates, if approved;</w:t>
      </w:r>
    </w:p>
    <w:p>
      <w:pPr>
        <w:spacing w:after="0" w:line="69" w:lineRule="exact"/>
        <w:rPr>
          <w:rFonts w:ascii="Times New Roman" w:cs="Times New Roman" w:eastAsia="Times New Roman" w:hAnsi="Times New Roman"/>
          <w:sz w:val="17"/>
          <w:szCs w:val="17"/>
          <w:color w:val="auto"/>
        </w:rPr>
      </w:pPr>
    </w:p>
    <w:p>
      <w:pPr>
        <w:ind w:left="1360" w:right="240" w:hanging="407"/>
        <w:spacing w:after="0" w:line="277"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and reimbursement of our neuromuscular (e.g., SGT-003, AVB-202-TT), cardiac (e.g., AVB-401, SGT-501) or other future candidates we may develop, if approved;</w:t>
      </w:r>
    </w:p>
    <w:p>
      <w:pPr>
        <w:spacing w:after="0" w:line="69" w:lineRule="exact"/>
        <w:rPr>
          <w:rFonts w:ascii="Times New Roman" w:cs="Times New Roman" w:eastAsia="Times New Roman" w:hAnsi="Times New Roman"/>
          <w:sz w:val="17"/>
          <w:szCs w:val="17"/>
          <w:color w:val="auto"/>
        </w:rPr>
      </w:pPr>
    </w:p>
    <w:p>
      <w:pPr>
        <w:ind w:left="1360" w:right="380" w:hanging="407"/>
        <w:spacing w:after="0" w:line="277"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establishment of sales, marketing and distribution capabilities and entry into agreements with third parties to market and sell our neuromuscular (e.g., SGT-003, AVB-202-TT), cardiac (e.g., AVB-401, SGT-501) or other future candidates, if approved;</w:t>
      </w:r>
    </w:p>
    <w:p>
      <w:pPr>
        <w:spacing w:after="0" w:line="69" w:lineRule="exact"/>
        <w:rPr>
          <w:rFonts w:ascii="Times New Roman" w:cs="Times New Roman" w:eastAsia="Times New Roman" w:hAnsi="Times New Roman"/>
          <w:sz w:val="17"/>
          <w:szCs w:val="17"/>
          <w:color w:val="auto"/>
        </w:rPr>
      </w:pPr>
    </w:p>
    <w:p>
      <w:pPr>
        <w:ind w:left="1360" w:hanging="407"/>
        <w:spacing w:after="0" w:line="277"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neuromuscular (e.g., SGT-003, AVB-202-TT), cardiac (e.g., AVB-401, SGT-501) or other future candidates if approved;</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develop our platform technologies;</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related to our use of capital resources;</w:t>
      </w:r>
    </w:p>
    <w:p>
      <w:pPr>
        <w:spacing w:after="0" w:line="121" w:lineRule="exact"/>
        <w:rPr>
          <w:rFonts w:ascii="Times New Roman" w:cs="Times New Roman" w:eastAsia="Times New Roman" w:hAnsi="Times New Roman"/>
          <w:sz w:val="17"/>
          <w:szCs w:val="17"/>
          <w:color w:val="auto"/>
        </w:rPr>
      </w:pPr>
    </w:p>
    <w:p>
      <w:pPr>
        <w:ind w:left="1360" w:right="460" w:hanging="407"/>
        <w:spacing w:after="0" w:line="277" w:lineRule="auto"/>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ongoing losses, future revenue, capital requirements and need for and ability to obtain additional financing;</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intellectual property position;</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competitive and market position;</w:t>
      </w:r>
    </w:p>
    <w:p>
      <w:pPr>
        <w:spacing w:after="0" w:line="1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S-2</w:t>
      </w:r>
    </w:p>
    <w:p>
      <w:pPr>
        <w:sectPr>
          <w:pgSz w:w="11900" w:h="16838" w:orient="portrait"/>
          <w:cols w:equalWidth="0" w:num="1">
            <w:col w:w="10680"/>
          </w:cols>
          <w:pgMar w:left="320" w:top="437" w:right="8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1360" w:hanging="407"/>
        <w:spacing w:after="0"/>
        <w:tabs>
          <w:tab w:leader="none" w:pos="13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relating to our competitors and our industry;</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continue as a going concern;</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laws, regulations and global economic developments on our business, operations, strategy and goals; and</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expected use of proceeds from this offering.</w:t>
      </w:r>
    </w:p>
    <w:p>
      <w:pPr>
        <w:spacing w:after="0" w:line="211" w:lineRule="exact"/>
        <w:rPr>
          <w:sz w:val="20"/>
          <w:szCs w:val="20"/>
          <w:color w:val="auto"/>
        </w:rPr>
      </w:pPr>
    </w:p>
    <w:p>
      <w:pPr>
        <w:ind w:left="440" w:right="100"/>
        <w:spacing w:after="0" w:line="253" w:lineRule="auto"/>
        <w:rPr>
          <w:sz w:val="20"/>
          <w:szCs w:val="20"/>
          <w:color w:val="auto"/>
        </w:rPr>
      </w:pPr>
      <w:r>
        <w:rPr>
          <w:rFonts w:ascii="Times New Roman" w:cs="Times New Roman" w:eastAsia="Times New Roman" w:hAnsi="Times New Roman"/>
          <w:sz w:val="17"/>
          <w:szCs w:val="17"/>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You are cautioned that these forward-looking statements are only predictions and are subject to risks, uncertainties and assumptions that are referenced in the “Risk Factors” section included below and in the section of any accompanying prospectus supplement entitled “Risk Factors.” You should also carefully review the risk factors and cautionary statements described in the other documents we file from time to time with the SEC, specifically our most recent Annual Report on Form 10-K, our Quarterly Reports on Form 10-Q and our Current Reports on Form 8-K. Our forward-looking statements do not reflect the potential impact of any future acquisitions, mergers, dispositions, collaborations, joint ventures or investments that we may make or enter into.</w:t>
      </w:r>
    </w:p>
    <w:p>
      <w:pPr>
        <w:spacing w:after="0" w:line="179" w:lineRule="exact"/>
        <w:rPr>
          <w:sz w:val="20"/>
          <w:szCs w:val="20"/>
          <w:color w:val="auto"/>
        </w:rPr>
      </w:pPr>
    </w:p>
    <w:p>
      <w:pPr>
        <w:jc w:val="both"/>
        <w:ind w:left="440"/>
        <w:spacing w:after="0" w:line="263" w:lineRule="auto"/>
        <w:rPr>
          <w:sz w:val="20"/>
          <w:szCs w:val="20"/>
          <w:color w:val="auto"/>
        </w:rPr>
      </w:pPr>
      <w:r>
        <w:rPr>
          <w:rFonts w:ascii="Times New Roman" w:cs="Times New Roman" w:eastAsia="Times New Roman" w:hAnsi="Times New Roman"/>
          <w:sz w:val="17"/>
          <w:szCs w:val="17"/>
          <w:color w:val="auto"/>
        </w:rPr>
        <w:t>You should read this prospectus and the documents incorporated by reference herein completely and with the understanding that our actual future results may be materially different from what we expect. We do not assume any obligation to update any forward-looking statements, whether as a result of new information, future events or otherwise, except as required by law.</w:t>
      </w:r>
    </w:p>
    <w:p>
      <w:pPr>
        <w:spacing w:after="0" w:line="170" w:lineRule="exact"/>
        <w:rPr>
          <w:sz w:val="20"/>
          <w:szCs w:val="20"/>
          <w:color w:val="auto"/>
        </w:rPr>
      </w:pPr>
    </w:p>
    <w:p>
      <w:pPr>
        <w:ind w:left="440" w:right="20"/>
        <w:spacing w:after="0" w:line="253" w:lineRule="auto"/>
        <w:rPr>
          <w:sz w:val="20"/>
          <w:szCs w:val="20"/>
          <w:color w:val="auto"/>
        </w:rPr>
      </w:pPr>
      <w:r>
        <w:rPr>
          <w:rFonts w:ascii="Times New Roman" w:cs="Times New Roman" w:eastAsia="Times New Roman" w:hAnsi="Times New Roman"/>
          <w:sz w:val="17"/>
          <w:szCs w:val="17"/>
          <w:color w:val="auto"/>
        </w:rPr>
        <w:t>This prospectus incorporates by reference statistical and other industry and market data that we obtained from industry publications and research, surveys and studies conducted by third parties as well as our own estimates of potential market opportunities based on our analysis of these data, research, surveys and studies. All of the market data incorporated by reference in this prospectus involves a number of assumptions and limitations, and you are cautioned not to give undue weight to such data. Industry publications and third-party research, surveys and studies generally indicate that their information has been obtained from sources believed to be reliable, although they do not guarantee the accuracy or completeness of such information. Our estimates of the potential market opportunities for our candidates include a number of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w:t>
      </w:r>
    </w:p>
    <w:p>
      <w:pPr>
        <w:spacing w:after="0" w:line="11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S-3</w:t>
      </w:r>
    </w:p>
    <w:p>
      <w:pPr>
        <w:sectPr>
          <w:pgSz w:w="11900" w:h="16838" w:orient="portrait"/>
          <w:cols w:equalWidth="0" w:num="1">
            <w:col w:w="10800"/>
          </w:cols>
          <w:pgMar w:left="320" w:top="437" w:right="7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211" w:lineRule="exact"/>
        <w:rPr>
          <w:sz w:val="20"/>
          <w:szCs w:val="20"/>
          <w:color w:val="auto"/>
        </w:rPr>
      </w:pPr>
    </w:p>
    <w:p>
      <w:pPr>
        <w:ind w:left="440" w:right="120"/>
        <w:spacing w:after="0" w:line="256"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and in the documents we incorporate by reference herein. This summary does not contain all of the information you should consider before making an investment decision. You should read this entire prospectus carefully, especially the risks of investing in our common stock discussed under “Risk Factors” beginning on page S-7 of this prospectus and the “Risk Factor Summary” and “Risk Factors” sections of our most recent Annual Report on Form 10-K and our most recent Quarterly Report on Form 10-Q, along with our consolidated financial statements and notes to those consolidated financial statements and the other information incorporated by reference in this prospectus.</w:t>
      </w:r>
    </w:p>
    <w:p>
      <w:pPr>
        <w:spacing w:after="0" w:line="373"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Solid Biosciences Inc.</w:t>
      </w:r>
    </w:p>
    <w:p>
      <w:pPr>
        <w:spacing w:after="0" w:line="215" w:lineRule="exact"/>
        <w:rPr>
          <w:sz w:val="20"/>
          <w:szCs w:val="20"/>
          <w:color w:val="auto"/>
        </w:rPr>
      </w:pPr>
    </w:p>
    <w:p>
      <w:pPr>
        <w:ind w:left="440" w:right="20"/>
        <w:spacing w:after="0" w:line="276" w:lineRule="auto"/>
        <w:rPr>
          <w:sz w:val="20"/>
          <w:szCs w:val="20"/>
          <w:color w:val="auto"/>
        </w:rPr>
      </w:pPr>
      <w:r>
        <w:rPr>
          <w:rFonts w:ascii="Times New Roman" w:cs="Times New Roman" w:eastAsia="Times New Roman" w:hAnsi="Times New Roman"/>
          <w:sz w:val="16"/>
          <w:szCs w:val="16"/>
          <w:color w:val="auto"/>
        </w:rPr>
        <w:t>We are a life sciences company focused on advancing a portfolio of current and future gene therapy candidates, including SGT-003 for the treatment of Duchenne muscular dystrophy, or Duchenne, SGT-501 for the treatment of catecholaminergic polymorphic ventricular tachycardia and additional assets for the treatment of cardiac and other diseases, at different stages of development, with varying levels of investment. We are advancing our diverse pipeline across rare neuromuscular and cardiac diseases, bringing together experts in science, technology, disease management and care. Patient-focused and founded by those directly impacted by Duchenne, our mission is to improve the daily lives of patients living with these devastating diseases.</w:t>
      </w:r>
    </w:p>
    <w:p>
      <w:pPr>
        <w:spacing w:after="0" w:line="2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Company Information</w:t>
      </w:r>
    </w:p>
    <w:p>
      <w:pPr>
        <w:spacing w:after="0" w:line="113" w:lineRule="exact"/>
        <w:rPr>
          <w:sz w:val="20"/>
          <w:szCs w:val="20"/>
          <w:color w:val="auto"/>
        </w:rPr>
      </w:pPr>
    </w:p>
    <w:p>
      <w:pPr>
        <w:ind w:left="440" w:right="140"/>
        <w:spacing w:after="0" w:line="263" w:lineRule="auto"/>
        <w:rPr>
          <w:sz w:val="20"/>
          <w:szCs w:val="20"/>
          <w:color w:val="auto"/>
        </w:rPr>
      </w:pPr>
      <w:r>
        <w:rPr>
          <w:rFonts w:ascii="Times New Roman" w:cs="Times New Roman" w:eastAsia="Times New Roman" w:hAnsi="Times New Roman"/>
          <w:sz w:val="17"/>
          <w:szCs w:val="17"/>
          <w:color w:val="auto"/>
        </w:rPr>
        <w:t>Our principal executive offices are located at 500 Rutherford Avenue, Third Floor, Charlestown, MA 02129. Our main telephone number is (617) 337-4680. Our internet website is www.solidbio.com. The information contained on, or that can be accessed through, our website is not incorporated by reference and is not a part of this prospectus. We have included our website address in this prospectus solely as an inactive textual reference.</w:t>
      </w:r>
    </w:p>
    <w:p>
      <w:pPr>
        <w:spacing w:after="0" w:line="2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Implications of Being a Smaller Reporting Company</w:t>
      </w:r>
    </w:p>
    <w:p>
      <w:pPr>
        <w:spacing w:after="0" w:line="113"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7"/>
          <w:szCs w:val="17"/>
          <w:color w:val="auto"/>
        </w:rPr>
        <w:t>We are a “smaller reporting company,” as defined under Rule 405 of the Securities Act and, as such, we are permitted to rely on exemptions from certain public company reporting requirements. We have taken advantage of some reduced reporting requirements in this prospectus. Accordingly, the information contained herein may be different than the information you receive from other public companies in which you hold stock.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as of our most recently completed second fiscal quarter.</w:t>
      </w:r>
    </w:p>
    <w:p>
      <w:pPr>
        <w:spacing w:after="0" w:line="1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800"/>
          </w:cols>
          <w:pgMar w:left="320" w:top="437" w:right="77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EE"/>
              </w:rPr>
              <w:t>Table of Contents</w:t>
            </w:r>
          </w:p>
        </w:tc>
        <w:tc>
          <w:tcPr>
            <w:tcW w:w="6440" w:type="dxa"/>
            <w:vAlign w:val="bottom"/>
          </w:tcPr>
          <w:p>
            <w:pPr>
              <w:spacing w:after="0"/>
              <w:rPr>
                <w:sz w:val="17"/>
                <w:szCs w:val="17"/>
                <w:color w:val="auto"/>
              </w:rPr>
            </w:pPr>
          </w:p>
        </w:tc>
      </w:tr>
      <w:tr>
        <w:trPr>
          <w:trHeight w:val="500"/>
        </w:trPr>
        <w:tc>
          <w:tcPr>
            <w:tcW w:w="1260" w:type="dxa"/>
            <w:vAlign w:val="bottom"/>
            <w:tcBorders>
              <w:top w:val="single" w:sz="8" w:color="0000EE"/>
            </w:tcBorders>
          </w:tcPr>
          <w:p>
            <w:pPr>
              <w:spacing w:after="0"/>
              <w:rPr>
                <w:sz w:val="24"/>
                <w:szCs w:val="24"/>
                <w:color w:val="auto"/>
              </w:rPr>
            </w:pPr>
          </w:p>
        </w:tc>
        <w:tc>
          <w:tcPr>
            <w:tcW w:w="3080" w:type="dxa"/>
            <w:vAlign w:val="bottom"/>
          </w:tcPr>
          <w:p>
            <w:pPr>
              <w:spacing w:after="0"/>
              <w:rPr>
                <w:sz w:val="24"/>
                <w:szCs w:val="24"/>
                <w:color w:val="auto"/>
              </w:rPr>
            </w:pPr>
          </w:p>
        </w:tc>
        <w:tc>
          <w:tcPr>
            <w:tcW w:w="644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THE OFFERING</w:t>
            </w:r>
          </w:p>
        </w:tc>
      </w:tr>
      <w:tr>
        <w:trPr>
          <w:trHeight w:val="432"/>
        </w:trPr>
        <w:tc>
          <w:tcPr>
            <w:tcW w:w="43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Common Stock Offered by Us</w:t>
            </w: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Shares of our common stock having an aggregate offering price of up to $75,000,000.</w:t>
            </w:r>
          </w:p>
        </w:tc>
      </w:tr>
      <w:tr>
        <w:trPr>
          <w:trHeight w:val="310"/>
        </w:trPr>
        <w:tc>
          <w:tcPr>
            <w:tcW w:w="43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Common Stock to be Outstanding Immediately After</w:t>
            </w: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Up to 45,525,996 shares, assuming sales of 7,692,307 shares of our common stock in this</w:t>
            </w:r>
          </w:p>
        </w:tc>
      </w:tr>
      <w:tr>
        <w:trPr>
          <w:trHeight w:val="207"/>
        </w:trPr>
        <w:tc>
          <w:tcPr>
            <w:tcW w:w="4340" w:type="dxa"/>
            <w:vAlign w:val="bottom"/>
            <w:gridSpan w:val="2"/>
          </w:tcPr>
          <w:p>
            <w:pPr>
              <w:ind w:left="520"/>
              <w:spacing w:after="0"/>
              <w:rPr>
                <w:sz w:val="20"/>
                <w:szCs w:val="20"/>
                <w:color w:val="auto"/>
              </w:rPr>
            </w:pPr>
            <w:r>
              <w:rPr>
                <w:rFonts w:ascii="Times New Roman" w:cs="Times New Roman" w:eastAsia="Times New Roman" w:hAnsi="Times New Roman"/>
                <w:sz w:val="17"/>
                <w:szCs w:val="17"/>
                <w:b w:val="1"/>
                <w:bCs w:val="1"/>
                <w:color w:val="auto"/>
              </w:rPr>
              <w:t>This Offering</w:t>
            </w: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offering at an assumed public offering price of $9.75 per share, which was the last sale price</w:t>
            </w:r>
          </w:p>
        </w:tc>
      </w:tr>
      <w:tr>
        <w:trPr>
          <w:trHeight w:val="203"/>
        </w:trPr>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of our common stock reported on The Nasdaq Global Select Market on May 13, 2024. The</w:t>
            </w:r>
          </w:p>
        </w:tc>
      </w:tr>
      <w:tr>
        <w:trPr>
          <w:trHeight w:val="219"/>
        </w:trPr>
        <w:tc>
          <w:tcPr>
            <w:tcW w:w="1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actual number of shares issued will vary depending on the sales price under this offering.</w:t>
            </w:r>
          </w:p>
        </w:tc>
      </w:tr>
      <w:tr>
        <w:trPr>
          <w:trHeight w:val="302"/>
        </w:trPr>
        <w:tc>
          <w:tcPr>
            <w:tcW w:w="43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Plan of Distribution</w:t>
            </w: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8"/>
              </w:rPr>
              <w:t>“At the market” offering that may be made from time to time through our sales agent, Jefferies</w:t>
            </w:r>
          </w:p>
        </w:tc>
      </w:tr>
      <w:tr>
        <w:trPr>
          <w:trHeight w:val="219"/>
        </w:trPr>
        <w:tc>
          <w:tcPr>
            <w:tcW w:w="1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LLC. See “Plan of Distribution.”</w:t>
            </w:r>
          </w:p>
        </w:tc>
      </w:tr>
      <w:tr>
        <w:trPr>
          <w:trHeight w:val="302"/>
        </w:trPr>
        <w:tc>
          <w:tcPr>
            <w:tcW w:w="43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Use of Proceeds</w:t>
            </w: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We intend to use the net proceeds from the sale of any securities offered under this prospectus</w:t>
            </w:r>
          </w:p>
        </w:tc>
      </w:tr>
      <w:tr>
        <w:trPr>
          <w:trHeight w:val="203"/>
        </w:trPr>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for general corporate purposes. Although we have not yet identified specific uses for these</w:t>
            </w:r>
          </w:p>
        </w:tc>
      </w:tr>
      <w:tr>
        <w:trPr>
          <w:trHeight w:val="203"/>
        </w:trPr>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proceeds, we currently anticipate using the proceeds for some or all of the following purposes:</w:t>
            </w:r>
          </w:p>
        </w:tc>
      </w:tr>
      <w:tr>
        <w:trPr>
          <w:trHeight w:val="203"/>
        </w:trPr>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research and development costs, preclinical and clinical development, the acquisition or in-</w:t>
            </w:r>
          </w:p>
        </w:tc>
      </w:tr>
      <w:tr>
        <w:trPr>
          <w:trHeight w:val="203"/>
        </w:trPr>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9"/>
              </w:rPr>
              <w:t>license of products, product candidates, companies, businesses or technologies, repayment and</w:t>
            </w:r>
          </w:p>
        </w:tc>
      </w:tr>
      <w:tr>
        <w:trPr>
          <w:trHeight w:val="219"/>
        </w:trPr>
        <w:tc>
          <w:tcPr>
            <w:tcW w:w="1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refinancing of debt, working capital and capital expenditures. See “Use of Proceeds.”</w:t>
            </w:r>
          </w:p>
        </w:tc>
      </w:tr>
      <w:tr>
        <w:trPr>
          <w:trHeight w:val="302"/>
        </w:trPr>
        <w:tc>
          <w:tcPr>
            <w:tcW w:w="43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Risk Factors</w:t>
            </w: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8"/>
              </w:rPr>
              <w:t>You should read the “Risk Factors” section of this prospectus, the “Risk Factor Summary” and</w:t>
            </w:r>
          </w:p>
        </w:tc>
      </w:tr>
      <w:tr>
        <w:trPr>
          <w:trHeight w:val="203"/>
        </w:trPr>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“Risk Factors” sections of our most recent Annual Report on Form 10-K and our most recent</w:t>
            </w:r>
          </w:p>
        </w:tc>
      </w:tr>
      <w:tr>
        <w:trPr>
          <w:trHeight w:val="203"/>
        </w:trPr>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Quarterly Report on Form 10-Q, and the other documents incorporated by reference into this</w:t>
            </w:r>
          </w:p>
        </w:tc>
      </w:tr>
      <w:tr>
        <w:trPr>
          <w:trHeight w:val="203"/>
        </w:trPr>
        <w:tc>
          <w:tcPr>
            <w:tcW w:w="126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prospectus for a discussion of factors to consider carefully before deciding to purchase shares</w:t>
            </w:r>
          </w:p>
        </w:tc>
      </w:tr>
      <w:tr>
        <w:trPr>
          <w:trHeight w:val="219"/>
        </w:trPr>
        <w:tc>
          <w:tcPr>
            <w:tcW w:w="126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of our common stock.</w:t>
            </w:r>
          </w:p>
        </w:tc>
      </w:tr>
      <w:tr>
        <w:trPr>
          <w:trHeight w:val="317"/>
        </w:trPr>
        <w:tc>
          <w:tcPr>
            <w:tcW w:w="434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Nasdaq Global Select Market Symbol</w:t>
            </w:r>
          </w:p>
        </w:tc>
        <w:tc>
          <w:tcPr>
            <w:tcW w:w="644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“SLDB”</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181850" cy="36830"/>
                    </a:xfrm>
                    <a:prstGeom prst="rect">
                      <a:avLst/>
                    </a:prstGeom>
                    <a:noFill/>
                  </pic:spPr>
                </pic:pic>
              </a:graphicData>
            </a:graphic>
          </wp:anchor>
        </w:drawing>
      </w:r>
    </w:p>
    <w:p>
      <w:pPr>
        <w:ind w:left="440" w:right="20"/>
        <w:spacing w:after="0" w:line="277" w:lineRule="auto"/>
        <w:rPr>
          <w:sz w:val="20"/>
          <w:szCs w:val="20"/>
          <w:color w:val="auto"/>
        </w:rPr>
      </w:pPr>
      <w:r>
        <w:rPr>
          <w:rFonts w:ascii="Times New Roman" w:cs="Times New Roman" w:eastAsia="Times New Roman" w:hAnsi="Times New Roman"/>
          <w:sz w:val="17"/>
          <w:szCs w:val="17"/>
          <w:color w:val="auto"/>
        </w:rPr>
        <w:t>The number of shares of our common stock that will be outstanding immediately after this offering as shown above is based on 37,833,689 shares of our common stock issued and outstanding as of March 31, 2024, and excludes:</w:t>
      </w:r>
    </w:p>
    <w:p>
      <w:pPr>
        <w:spacing w:after="0" w:line="69" w:lineRule="exact"/>
        <w:rPr>
          <w:sz w:val="20"/>
          <w:szCs w:val="20"/>
          <w:color w:val="auto"/>
        </w:rPr>
      </w:pPr>
    </w:p>
    <w:p>
      <w:pPr>
        <w:ind w:left="1360" w:right="260" w:hanging="407"/>
        <w:spacing w:after="0" w:line="277" w:lineRule="auto"/>
        <w:tabs>
          <w:tab w:leader="none" w:pos="1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2,864,672 shares of our common stock issuable upon exercise of stock options outstanding as of March 31, 2024, at a weighted average exercise price of $18.72 per share;</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1,576,230 shares of our common stock issuable upon vesting of outstanding restricted stock units as of March 31, 2024;</w:t>
      </w:r>
    </w:p>
    <w:p>
      <w:pPr>
        <w:spacing w:after="0" w:line="121" w:lineRule="exact"/>
        <w:rPr>
          <w:rFonts w:ascii="Times New Roman" w:cs="Times New Roman" w:eastAsia="Times New Roman" w:hAnsi="Times New Roman"/>
          <w:sz w:val="17"/>
          <w:szCs w:val="17"/>
          <w:color w:val="auto"/>
        </w:rPr>
      </w:pPr>
    </w:p>
    <w:p>
      <w:pPr>
        <w:ind w:left="1360" w:right="20" w:hanging="407"/>
        <w:spacing w:after="0" w:line="277" w:lineRule="auto"/>
        <w:tabs>
          <w:tab w:leader="none" w:pos="1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9,230 shares of our common stock issuable upon the exercise of warrants outstanding as of March 31, 2024, at a weighted average exercise price of $47.39 per share;</w:t>
      </w:r>
    </w:p>
    <w:p>
      <w:pPr>
        <w:spacing w:after="0" w:line="69" w:lineRule="exact"/>
        <w:rPr>
          <w:rFonts w:ascii="Times New Roman" w:cs="Times New Roman" w:eastAsia="Times New Roman" w:hAnsi="Times New Roman"/>
          <w:sz w:val="17"/>
          <w:szCs w:val="17"/>
          <w:color w:val="auto"/>
        </w:rPr>
      </w:pPr>
    </w:p>
    <w:p>
      <w:pPr>
        <w:ind w:left="1360" w:right="80" w:hanging="407"/>
        <w:spacing w:after="0" w:line="277" w:lineRule="auto"/>
        <w:tabs>
          <w:tab w:leader="none" w:pos="1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2,712,478 shares of our common stock issuable upon the exercise of pre-funded warrants outstanding as of March 31, 2024, at an exercise price of $0.001 per share;</w:t>
      </w:r>
    </w:p>
    <w:p>
      <w:pPr>
        <w:spacing w:after="0" w:line="69" w:lineRule="exact"/>
        <w:rPr>
          <w:rFonts w:ascii="Times New Roman" w:cs="Times New Roman" w:eastAsia="Times New Roman" w:hAnsi="Times New Roman"/>
          <w:sz w:val="17"/>
          <w:szCs w:val="17"/>
          <w:color w:val="auto"/>
        </w:rPr>
      </w:pPr>
    </w:p>
    <w:p>
      <w:pPr>
        <w:ind w:left="1360" w:right="240" w:hanging="407"/>
        <w:spacing w:after="0" w:line="277" w:lineRule="auto"/>
        <w:tabs>
          <w:tab w:leader="none" w:pos="1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322,909 shares of our common stock available for future issuance, as of March 31, 2024, under our Amended and Restated 2020 Equity Incentive Plan;</w:t>
      </w:r>
    </w:p>
    <w:p>
      <w:pPr>
        <w:spacing w:after="0" w:line="69" w:lineRule="exact"/>
        <w:rPr>
          <w:rFonts w:ascii="Times New Roman" w:cs="Times New Roman" w:eastAsia="Times New Roman" w:hAnsi="Times New Roman"/>
          <w:sz w:val="17"/>
          <w:szCs w:val="17"/>
          <w:color w:val="auto"/>
        </w:rPr>
      </w:pPr>
    </w:p>
    <w:p>
      <w:pPr>
        <w:ind w:left="1360" w:hanging="407"/>
        <w:spacing w:after="0" w:line="277" w:lineRule="auto"/>
        <w:tabs>
          <w:tab w:leader="none" w:pos="136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601,402 shares of our common stock available for future issuance, as of March 31, 2024, under our Amended and Restated 2021 Employee Stock Purchase Plan;</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S-5</w:t>
      </w:r>
    </w:p>
    <w:p>
      <w:pPr>
        <w:sectPr>
          <w:pgSz w:w="11900" w:h="16838" w:orient="portrait"/>
          <w:cols w:equalWidth="0" w:num="1">
            <w:col w:w="10800"/>
          </w:cols>
          <w:pgMar w:left="320" w:top="426" w:right="7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1360" w:hanging="407"/>
        <w:spacing w:after="0" w:line="277" w:lineRule="auto"/>
        <w:tabs>
          <w:tab w:leader="none" w:pos="13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1,000,000 shares of our common stock available for future issuance, as of March 31, 2024, under our 2024 Inducement Stock Incentive Plan; and</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526,953 shares of our common stock issued pursuant to the sales agreement after March 31, 2024.</w:t>
      </w:r>
    </w:p>
    <w:p>
      <w:pPr>
        <w:spacing w:after="0" w:line="1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S-6</w:t>
      </w:r>
    </w:p>
    <w:p>
      <w:pPr>
        <w:sectPr>
          <w:pgSz w:w="11900" w:h="16838" w:orient="portrait"/>
          <w:cols w:equalWidth="0" w:num="1">
            <w:col w:w="10520"/>
          </w:cols>
          <w:pgMar w:left="320" w:top="437" w:right="10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211" w:lineRule="exact"/>
        <w:rPr>
          <w:sz w:val="20"/>
          <w:szCs w:val="20"/>
          <w:color w:val="auto"/>
        </w:rPr>
      </w:pPr>
    </w:p>
    <w:p>
      <w:pPr>
        <w:ind w:left="440" w:right="20"/>
        <w:spacing w:after="0" w:line="254" w:lineRule="auto"/>
        <w:rPr>
          <w:sz w:val="20"/>
          <w:szCs w:val="20"/>
          <w:color w:val="auto"/>
        </w:rPr>
      </w:pPr>
      <w:r>
        <w:rPr>
          <w:rFonts w:ascii="Times New Roman" w:cs="Times New Roman" w:eastAsia="Times New Roman" w:hAnsi="Times New Roman"/>
          <w:sz w:val="17"/>
          <w:szCs w:val="17"/>
          <w:i w:val="1"/>
          <w:iCs w:val="1"/>
          <w:color w:val="auto"/>
        </w:rPr>
        <w:t>Investing in our common stock involves a high degree of risk. You should carefully consider the risks and uncertainties described below together with all of the other information contained in this prospectus and the risk factors in our most recent Annual Report on Form 10-K, our most recent Quarterly Report on Form 10-Q and in our other filings with the SEC that we make from time to time, which are incorporated by reference in this prospectus, together with other information in this prospectus, the information and documents incorporated by reference in this prospectus, and in any prospectus supplement or free writing prospectus that we authorize for use in connection with this offering. If any of the following risks actually occur, our business, prospects, operating results and financial condition could suffer materially. In such event, the trading price of our common stock could decline and you might lose all or part of your investment.</w:t>
      </w:r>
    </w:p>
    <w:p>
      <w:pPr>
        <w:spacing w:after="0" w:line="2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Risks Related to our Common Stock and This Offering</w:t>
      </w:r>
    </w:p>
    <w:p>
      <w:pPr>
        <w:spacing w:after="0" w:line="109" w:lineRule="exact"/>
        <w:rPr>
          <w:sz w:val="20"/>
          <w:szCs w:val="20"/>
          <w:color w:val="auto"/>
        </w:rPr>
      </w:pPr>
    </w:p>
    <w:p>
      <w:pPr>
        <w:ind w:left="440" w:right="42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A significant number of our total outstanding shares may be sold into the market in the near future, which could cause the market price of our common stock to drop significantly, even if our business is performing well.</w:t>
      </w:r>
    </w:p>
    <w:p>
      <w:pPr>
        <w:spacing w:after="0" w:line="52"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7"/>
          <w:szCs w:val="17"/>
          <w:color w:val="auto"/>
        </w:rPr>
        <w:t>Sales of a substantial number of shares of our common stock in the public market could occur at any time. These sales, or the perception in the market that holders of a large number of shares intend to sell shares, could reduce the market price of our common stock. Our outstanding shares of common stock may be freely sold in the public market at any time to the extent permitted by Rules 144 and 701 under the Securities Act or to the extent such shares have already been registered under the Securities Act and are held by non-affiliates of ours. Moreover, holders of a substantial number of shares of our common stock have rights, subject to certain conditions, to require us to file registration statements covering their shares or to include their shares in registration statements that we may file for ourselves or other stockholders.</w:t>
      </w:r>
    </w:p>
    <w:p>
      <w:pPr>
        <w:spacing w:after="0" w:line="175" w:lineRule="exact"/>
        <w:rPr>
          <w:sz w:val="20"/>
          <w:szCs w:val="20"/>
          <w:color w:val="auto"/>
        </w:rPr>
      </w:pPr>
    </w:p>
    <w:p>
      <w:pPr>
        <w:ind w:left="440" w:right="20"/>
        <w:spacing w:after="0" w:line="263" w:lineRule="auto"/>
        <w:rPr>
          <w:sz w:val="20"/>
          <w:szCs w:val="20"/>
          <w:color w:val="auto"/>
        </w:rPr>
      </w:pPr>
      <w:r>
        <w:rPr>
          <w:rFonts w:ascii="Times New Roman" w:cs="Times New Roman" w:eastAsia="Times New Roman" w:hAnsi="Times New Roman"/>
          <w:sz w:val="17"/>
          <w:szCs w:val="17"/>
          <w:color w:val="auto"/>
        </w:rPr>
        <w:t>In October 2020, in connection with the execution of our collaboration and license agreement with Ultragenyx, we issued and sold 521,719 shares of our common stock to Ultragenyx. For the ten-year period after the date of such sale, subject to specified conditions and upon the request of Ultragenyx, we have agreed to file a registration statement in order to register all or a portion of the shares sold to Ultragenyx.</w:t>
      </w:r>
    </w:p>
    <w:p>
      <w:pPr>
        <w:spacing w:after="0" w:line="170"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7"/>
          <w:szCs w:val="17"/>
          <w:color w:val="auto"/>
        </w:rPr>
        <w:t>In July 2019, December 2020 and January 2024, we completed private placements of shares of our common stock and pre-funded warrants to purchase shares of our common stock to several accredited investors. In December 2022, we also issued shares of our common stock in our acquisition of AavantiBio, Inc., or the Acquisition, and in a related private placement to several accredited investors. We have filed registration statements covering the resale of these shares by the purchasers in these private placements and the stock consideration issued in the Acquisition, and we have agreed to keep such registration statements effective until the date the shares covered by the respective registration statement have been sold or can be resold without restriction under Rule 144 of the Securities Act.</w:t>
      </w:r>
    </w:p>
    <w:p>
      <w:pPr>
        <w:spacing w:after="0" w:line="175" w:lineRule="exact"/>
        <w:rPr>
          <w:sz w:val="20"/>
          <w:szCs w:val="20"/>
          <w:color w:val="auto"/>
        </w:rPr>
      </w:pPr>
    </w:p>
    <w:p>
      <w:pPr>
        <w:ind w:left="440" w:right="120"/>
        <w:spacing w:after="0" w:line="277" w:lineRule="auto"/>
        <w:rPr>
          <w:sz w:val="20"/>
          <w:szCs w:val="20"/>
          <w:color w:val="auto"/>
        </w:rPr>
      </w:pPr>
      <w:r>
        <w:rPr>
          <w:rFonts w:ascii="Times New Roman" w:cs="Times New Roman" w:eastAsia="Times New Roman" w:hAnsi="Times New Roman"/>
          <w:sz w:val="17"/>
          <w:szCs w:val="17"/>
          <w:color w:val="auto"/>
        </w:rPr>
        <w:t>In addition, we have filed registration statements registering all shares of common stock that we may issue under our equity compensation plans. These shares can be freely sold in the public market upon issuance, subject to black-out periods and volume limitations applicable to affiliates.</w:t>
      </w:r>
    </w:p>
    <w:p>
      <w:pPr>
        <w:spacing w:after="0" w:line="158" w:lineRule="exact"/>
        <w:rPr>
          <w:sz w:val="20"/>
          <w:szCs w:val="20"/>
          <w:color w:val="auto"/>
        </w:rPr>
      </w:pPr>
    </w:p>
    <w:p>
      <w:pPr>
        <w:ind w:left="440" w:right="140"/>
        <w:spacing w:after="0" w:line="263" w:lineRule="auto"/>
        <w:rPr>
          <w:sz w:val="20"/>
          <w:szCs w:val="20"/>
          <w:color w:val="auto"/>
        </w:rPr>
      </w:pPr>
      <w:r>
        <w:rPr>
          <w:rFonts w:ascii="Times New Roman" w:cs="Times New Roman" w:eastAsia="Times New Roman" w:hAnsi="Times New Roman"/>
          <w:sz w:val="17"/>
          <w:szCs w:val="17"/>
          <w:color w:val="auto"/>
        </w:rPr>
        <w:t>We currently have on file with the SEC a universal shelf registration statement which allows us to offer and sell registered common stock, preferred stock, debt securities, depositary shares, warrants and/or units from time to time pursuant to one or more offerings at prices and terms to be determined at the time of sale.</w:t>
      </w:r>
    </w:p>
    <w:p>
      <w:pPr>
        <w:spacing w:after="0" w:line="2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We have broad discretion in the use of the net proceeds from this offering and may not use them effectively.</w:t>
      </w:r>
    </w:p>
    <w:p>
      <w:pPr>
        <w:spacing w:after="0" w:line="113" w:lineRule="exact"/>
        <w:rPr>
          <w:sz w:val="20"/>
          <w:szCs w:val="20"/>
          <w:color w:val="auto"/>
        </w:rPr>
      </w:pPr>
    </w:p>
    <w:p>
      <w:pPr>
        <w:ind w:left="440" w:right="240"/>
        <w:spacing w:after="0" w:line="277" w:lineRule="auto"/>
        <w:rPr>
          <w:sz w:val="20"/>
          <w:szCs w:val="20"/>
          <w:color w:val="auto"/>
        </w:rPr>
      </w:pPr>
      <w:r>
        <w:rPr>
          <w:rFonts w:ascii="Times New Roman" w:cs="Times New Roman" w:eastAsia="Times New Roman" w:hAnsi="Times New Roman"/>
          <w:sz w:val="17"/>
          <w:szCs w:val="17"/>
          <w:color w:val="auto"/>
        </w:rPr>
        <w:t>Our management will have broad discretion in the application of the net proceeds from this offering and could spend the proceeds in ways that do not improve our results of operations or enhance the value of our common</w:t>
      </w:r>
    </w:p>
    <w:p>
      <w:pPr>
        <w:spacing w:after="0" w:line="9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S-7</w:t>
      </w:r>
    </w:p>
    <w:p>
      <w:pPr>
        <w:sectPr>
          <w:pgSz w:w="11900" w:h="16838" w:orient="portrait"/>
          <w:cols w:equalWidth="0" w:num="1">
            <w:col w:w="10800"/>
          </w:cols>
          <w:pgMar w:left="320" w:top="437" w:right="7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jc w:val="both"/>
        <w:ind w:left="440"/>
        <w:spacing w:after="0" w:line="263" w:lineRule="auto"/>
        <w:rPr>
          <w:sz w:val="20"/>
          <w:szCs w:val="20"/>
          <w:color w:val="auto"/>
        </w:rPr>
      </w:pPr>
      <w:r>
        <w:rPr>
          <w:rFonts w:ascii="Times New Roman" w:cs="Times New Roman" w:eastAsia="Times New Roman" w:hAnsi="Times New Roman"/>
          <w:sz w:val="17"/>
          <w:szCs w:val="17"/>
          <w:color w:val="auto"/>
        </w:rPr>
        <w:t>stock. The failure by our management to apply these funds effectively could result in financial losses that could cause the price of our common stock to decline and delay the development of our product candidates. Pending their use, we may invest the net proceeds from this offering in a manner that does not produce income or that loses value.</w:t>
      </w:r>
    </w:p>
    <w:p>
      <w:pPr>
        <w:spacing w:after="0" w:line="2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i w:val="1"/>
          <w:iCs w:val="1"/>
          <w:color w:val="auto"/>
        </w:rPr>
        <w:t>Purchasers will experience immediate dilution in the book value per share of the common stock purchased in the offering.</w:t>
      </w:r>
    </w:p>
    <w:p>
      <w:pPr>
        <w:spacing w:after="0" w:line="113" w:lineRule="exact"/>
        <w:rPr>
          <w:sz w:val="20"/>
          <w:szCs w:val="20"/>
          <w:color w:val="auto"/>
        </w:rPr>
      </w:pPr>
    </w:p>
    <w:p>
      <w:pPr>
        <w:ind w:left="440"/>
        <w:spacing w:after="0" w:line="272" w:lineRule="auto"/>
        <w:rPr>
          <w:sz w:val="20"/>
          <w:szCs w:val="20"/>
          <w:color w:val="auto"/>
        </w:rPr>
      </w:pPr>
      <w:r>
        <w:rPr>
          <w:rFonts w:ascii="Times New Roman" w:cs="Times New Roman" w:eastAsia="Times New Roman" w:hAnsi="Times New Roman"/>
          <w:sz w:val="16"/>
          <w:szCs w:val="16"/>
          <w:color w:val="auto"/>
        </w:rPr>
        <w:t>The shares sold in this offering, if any, will be sold from time to time at various prices. However, we expect that the offering price of our common stock will be substantially higher than the net tangible book value per share of our outstanding common stock. After giving effect to the sale of shares of our common stock in the aggregate amount of $75.0 million at an assumed offering price of $9.75 per share, the last sale price of our common stock on May 13, 2024 on The Nasdaq Global Select Market, and after deducting estimated commissions and estimated offering expenses, our as adjusted net tangible book value as of March 31, 2024 would have been approximately $283.2 million, or approximately $6.22 per share. This represents an immediate increase in as adjusted net tangible book value of approximately $0.65 per share to our existing stockholders and an immediate dilution in as adjusted net tangible book value of approximately $3.53 per share to purchasers of our common stock in this offering. See “Dilution” for more information.</w:t>
      </w:r>
    </w:p>
    <w:p>
      <w:pPr>
        <w:spacing w:after="0" w:line="165"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7"/>
          <w:szCs w:val="17"/>
          <w:color w:val="auto"/>
        </w:rPr>
        <w:t>In addition to this offering, subject to market conditions and other factors, we may pursue additional equity financings in the future, including future public offerings or future private placements of equity securities or securities convertible into or exchangeable for equity securities at prices that may be higher or lower than the price per share in this offering. Further, the exercise of outstanding options, warrants or pre-funded warrants or the vesting of restricted stock units could result in further dilution to investors and any additional shares issued in connection with acquisitions will result in dilution to investors. In addition, the market price of our common stock could fall as a result of resales of any of these shares of common stock due to an increased number of shares available for sale in the market.</w:t>
      </w:r>
    </w:p>
    <w:p>
      <w:pPr>
        <w:spacing w:after="0" w:line="273" w:lineRule="exact"/>
        <w:rPr>
          <w:sz w:val="20"/>
          <w:szCs w:val="20"/>
          <w:color w:val="auto"/>
        </w:rPr>
      </w:pPr>
    </w:p>
    <w:p>
      <w:pPr>
        <w:ind w:left="440" w:right="10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Because we do not anticipate paying any cash dividends on our capital stock in the foreseeable future, capital appreciation, if any, will be your sole source of gain for an investment in our common stock.</w:t>
      </w:r>
    </w:p>
    <w:p>
      <w:pPr>
        <w:spacing w:after="0" w:line="52" w:lineRule="exact"/>
        <w:rPr>
          <w:sz w:val="20"/>
          <w:szCs w:val="20"/>
          <w:color w:val="auto"/>
        </w:rPr>
      </w:pPr>
    </w:p>
    <w:p>
      <w:pPr>
        <w:ind w:left="440" w:right="20"/>
        <w:spacing w:after="0" w:line="263" w:lineRule="auto"/>
        <w:rPr>
          <w:sz w:val="20"/>
          <w:szCs w:val="20"/>
          <w:color w:val="auto"/>
        </w:rPr>
      </w:pPr>
      <w:r>
        <w:rPr>
          <w:rFonts w:ascii="Times New Roman" w:cs="Times New Roman" w:eastAsia="Times New Roman" w:hAnsi="Times New Roman"/>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an investor for the foreseeable future.</w:t>
      </w:r>
    </w:p>
    <w:p>
      <w:pPr>
        <w:spacing w:after="0" w:line="267" w:lineRule="exact"/>
        <w:rPr>
          <w:sz w:val="20"/>
          <w:szCs w:val="20"/>
          <w:color w:val="auto"/>
        </w:rPr>
      </w:pPr>
    </w:p>
    <w:p>
      <w:pPr>
        <w:ind w:left="440" w:right="36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It is not possible to predict the price per share at which shares may be sold, the actual number of shares we will issue or the aggregate proceeds resulting from sales made under the sales agreement.</w:t>
      </w:r>
    </w:p>
    <w:p>
      <w:pPr>
        <w:spacing w:after="0" w:line="52" w:lineRule="exact"/>
        <w:rPr>
          <w:sz w:val="20"/>
          <w:szCs w:val="20"/>
          <w:color w:val="auto"/>
        </w:rPr>
      </w:pPr>
    </w:p>
    <w:p>
      <w:pPr>
        <w:ind w:left="440"/>
        <w:spacing w:after="0" w:line="272" w:lineRule="auto"/>
        <w:rPr>
          <w:sz w:val="20"/>
          <w:szCs w:val="20"/>
          <w:color w:val="auto"/>
        </w:rPr>
      </w:pPr>
      <w:r>
        <w:rPr>
          <w:rFonts w:ascii="Times New Roman" w:cs="Times New Roman" w:eastAsia="Times New Roman" w:hAnsi="Times New Roman"/>
          <w:sz w:val="16"/>
          <w:szCs w:val="16"/>
          <w:color w:val="auto"/>
        </w:rPr>
        <w:t>Subject to certain limitations in the sales agreement, and compliance with applicable law, we have the discretion to deliver a placement notice to Jefferies at any time throughout the term of the sales agreement. The price per share and the number of shares that are sold through Jefferies after delivering a placement notice will fluctuate based on a number of factors, including the market price of our common stock during the sales period, any limits we may set with Jefferies in any applicable placement notice and the demand for our common stock. As such, it is not possible to predict the price per share at which shares may be sold or the number of shares to be sold pursuant to the sales agreement. Because the price per share of each share sold pursuant to the sales agreement will fluctuate over time and because it is not possible to predict the number of shares of common stock that will be sold pursuant to the sales agreement, it is not possible to predict the aggregate proceeds to be raised in connection with sales under the sales agreement.</w:t>
      </w:r>
    </w:p>
    <w:p>
      <w:pPr>
        <w:spacing w:after="0" w:line="10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S-8</w:t>
      </w:r>
    </w:p>
    <w:p>
      <w:pPr>
        <w:sectPr>
          <w:pgSz w:w="11900" w:h="16838" w:orient="portrait"/>
          <w:cols w:equalWidth="0" w:num="1">
            <w:col w:w="10760"/>
          </w:cols>
          <w:pgMar w:left="320" w:top="437" w:right="8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40" w:right="8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The common stock offered hereby will be sold in “at the market offerings,” and investors who buy shares at different times will likely pay different prices.</w:t>
      </w:r>
    </w:p>
    <w:p>
      <w:pPr>
        <w:spacing w:after="0" w:line="52"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7"/>
          <w:szCs w:val="17"/>
          <w:color w:val="auto"/>
        </w:rPr>
        <w:t>Investors who purchase shares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of directors (or any committee thereof)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w:t>
      </w:r>
    </w:p>
    <w:p>
      <w:pPr>
        <w:spacing w:after="0" w:line="112"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7"/>
          <w:szCs w:val="17"/>
          <w:color w:val="auto"/>
        </w:rPr>
        <w:t>S-9</w:t>
      </w:r>
    </w:p>
    <w:p>
      <w:pPr>
        <w:sectPr>
          <w:pgSz w:w="11900" w:h="16838" w:orient="portrait"/>
          <w:cols w:equalWidth="0" w:num="1">
            <w:col w:w="10700"/>
          </w:cols>
          <w:pgMar w:left="320" w:top="437" w:right="8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215" w:lineRule="exact"/>
        <w:rPr>
          <w:sz w:val="20"/>
          <w:szCs w:val="20"/>
          <w:color w:val="auto"/>
        </w:rPr>
      </w:pPr>
    </w:p>
    <w:p>
      <w:pPr>
        <w:ind w:left="440" w:right="100"/>
        <w:spacing w:after="0" w:line="258" w:lineRule="auto"/>
        <w:rPr>
          <w:sz w:val="20"/>
          <w:szCs w:val="20"/>
          <w:color w:val="auto"/>
        </w:rPr>
      </w:pPr>
      <w:r>
        <w:rPr>
          <w:rFonts w:ascii="Times New Roman" w:cs="Times New Roman" w:eastAsia="Times New Roman" w:hAnsi="Times New Roman"/>
          <w:sz w:val="17"/>
          <w:szCs w:val="17"/>
          <w:color w:val="auto"/>
        </w:rPr>
        <w:t>We may issue and sell shares of our common stock having aggregate sales proceeds of up to $75.0 million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Jefferies as a source of financing.</w:t>
      </w:r>
    </w:p>
    <w:p>
      <w:pPr>
        <w:spacing w:after="0" w:line="175" w:lineRule="exact"/>
        <w:rPr>
          <w:sz w:val="20"/>
          <w:szCs w:val="20"/>
          <w:color w:val="auto"/>
        </w:rPr>
      </w:pPr>
    </w:p>
    <w:p>
      <w:pPr>
        <w:ind w:left="440" w:right="280"/>
        <w:spacing w:after="0" w:line="258" w:lineRule="auto"/>
        <w:rPr>
          <w:sz w:val="20"/>
          <w:szCs w:val="20"/>
          <w:color w:val="auto"/>
        </w:rPr>
      </w:pPr>
      <w:r>
        <w:rPr>
          <w:rFonts w:ascii="Times New Roman" w:cs="Times New Roman" w:eastAsia="Times New Roman" w:hAnsi="Times New Roman"/>
          <w:sz w:val="17"/>
          <w:szCs w:val="17"/>
          <w:color w:val="auto"/>
        </w:rPr>
        <w:t>We intend to use the net proceeds, if any, from the sale of any shares of common stock offered under this prospectus for general corporate purposes. Although we have not yet identified specific uses for these proceeds, we currently anticipate using any proceeds for some or all of the following purposes: research and development costs, the acquisition or in-license of other products, product candidates, companies, businesses or technologies, repayment and refinancing of debt, working capital and capital expenditures.</w:t>
      </w:r>
    </w:p>
    <w:p>
      <w:pPr>
        <w:spacing w:after="0" w:line="175" w:lineRule="exact"/>
        <w:rPr>
          <w:sz w:val="20"/>
          <w:szCs w:val="20"/>
          <w:color w:val="auto"/>
        </w:rPr>
      </w:pPr>
    </w:p>
    <w:p>
      <w:pPr>
        <w:ind w:left="440"/>
        <w:spacing w:after="0" w:line="273" w:lineRule="auto"/>
        <w:rPr>
          <w:sz w:val="20"/>
          <w:szCs w:val="20"/>
          <w:color w:val="auto"/>
        </w:rPr>
      </w:pPr>
      <w:r>
        <w:rPr>
          <w:rFonts w:ascii="Times New Roman" w:cs="Times New Roman" w:eastAsia="Times New Roman" w:hAnsi="Times New Roman"/>
          <w:sz w:val="16"/>
          <w:szCs w:val="16"/>
          <w:color w:val="auto"/>
        </w:rPr>
        <w:t>This expected use of net proceeds from this offering represents our intentions based upon our current plans and business conditions, which could change in the future as our plans and business conditions evolve. We have not determined the exact amounts we plan to spend on any of the items listed above or the timing of these expenditures. The amounts and timing of our actual expenditures may vary significantly depending on numerous factors, including the actual net proceeds from this offering, the progress of our development efforts, the status of and results from clinical trials, the timing of regulatory submissions and the outcome of regulatory review, as well as any collaborations that we may enter into with third parties for our product candidates, and any unforeseen cash needs. As a result, our management will retain broad discretion over the allocation of the net proceeds from this offering.</w:t>
      </w:r>
    </w:p>
    <w:p>
      <w:pPr>
        <w:spacing w:after="0" w:line="166" w:lineRule="exact"/>
        <w:rPr>
          <w:sz w:val="20"/>
          <w:szCs w:val="20"/>
          <w:color w:val="auto"/>
        </w:rPr>
      </w:pPr>
    </w:p>
    <w:p>
      <w:pPr>
        <w:ind w:left="440" w:right="320"/>
        <w:spacing w:after="0" w:line="277" w:lineRule="auto"/>
        <w:rPr>
          <w:sz w:val="20"/>
          <w:szCs w:val="20"/>
          <w:color w:val="auto"/>
        </w:rPr>
      </w:pPr>
      <w:r>
        <w:rPr>
          <w:rFonts w:ascii="Times New Roman" w:cs="Times New Roman" w:eastAsia="Times New Roman" w:hAnsi="Times New Roman"/>
          <w:sz w:val="17"/>
          <w:szCs w:val="17"/>
          <w:color w:val="auto"/>
        </w:rPr>
        <w:t>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S-10</w:t>
      </w:r>
    </w:p>
    <w:p>
      <w:pPr>
        <w:sectPr>
          <w:pgSz w:w="11900" w:h="16838" w:orient="portrait"/>
          <w:cols w:equalWidth="0" w:num="1">
            <w:col w:w="10800"/>
          </w:cols>
          <w:pgMar w:left="320" w:top="437" w:right="7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DILUTION</w:t>
      </w:r>
    </w:p>
    <w:p>
      <w:pPr>
        <w:spacing w:after="0" w:line="215" w:lineRule="exact"/>
        <w:rPr>
          <w:sz w:val="20"/>
          <w:szCs w:val="20"/>
          <w:color w:val="auto"/>
        </w:rPr>
      </w:pPr>
    </w:p>
    <w:p>
      <w:pPr>
        <w:ind w:left="440" w:right="120"/>
        <w:spacing w:after="0" w:line="277" w:lineRule="auto"/>
        <w:rPr>
          <w:sz w:val="20"/>
          <w:szCs w:val="20"/>
          <w:color w:val="auto"/>
        </w:rPr>
      </w:pPr>
      <w:r>
        <w:rPr>
          <w:rFonts w:ascii="Times New Roman" w:cs="Times New Roman" w:eastAsia="Times New Roman" w:hAnsi="Times New Roman"/>
          <w:sz w:val="17"/>
          <w:szCs w:val="17"/>
          <w:color w:val="auto"/>
        </w:rPr>
        <w:t>If you invest in our common stock in this offering, your ownership interest will be diluted immediately to the extent of the difference between the price per share you pay in this offering and the as adjusted net tangible book value per share of our common stock immediately after this offering.</w:t>
      </w:r>
    </w:p>
    <w:p>
      <w:pPr>
        <w:spacing w:after="0" w:line="158" w:lineRule="exact"/>
        <w:rPr>
          <w:sz w:val="20"/>
          <w:szCs w:val="20"/>
          <w:color w:val="auto"/>
        </w:rPr>
      </w:pPr>
    </w:p>
    <w:p>
      <w:pPr>
        <w:ind w:left="440" w:right="140"/>
        <w:spacing w:after="0" w:line="263" w:lineRule="auto"/>
        <w:rPr>
          <w:sz w:val="20"/>
          <w:szCs w:val="20"/>
          <w:color w:val="auto"/>
        </w:rPr>
      </w:pPr>
      <w:r>
        <w:rPr>
          <w:rFonts w:ascii="Times New Roman" w:cs="Times New Roman" w:eastAsia="Times New Roman" w:hAnsi="Times New Roman"/>
          <w:sz w:val="17"/>
          <w:szCs w:val="17"/>
          <w:color w:val="auto"/>
        </w:rPr>
        <w:t>Our historical net tangible book value as of March 31, 2024 was approximately $210.7 million, or $5.57 per share of our common stock. Our historical net tangible book value is the amount of our total tangible assets less our total liabilities. Historical net tangible book value per share represents historical net tangible book value divided by the 37,833,689 shares of our common stock outstanding as of March 31, 2024.</w:t>
      </w:r>
    </w:p>
    <w:p>
      <w:pPr>
        <w:spacing w:after="0" w:line="170" w:lineRule="exact"/>
        <w:rPr>
          <w:sz w:val="20"/>
          <w:szCs w:val="20"/>
          <w:color w:val="auto"/>
        </w:rPr>
      </w:pPr>
    </w:p>
    <w:p>
      <w:pPr>
        <w:ind w:left="440" w:right="60"/>
        <w:spacing w:after="0" w:line="256" w:lineRule="auto"/>
        <w:rPr>
          <w:sz w:val="20"/>
          <w:szCs w:val="20"/>
          <w:color w:val="auto"/>
        </w:rPr>
      </w:pPr>
      <w:r>
        <w:rPr>
          <w:rFonts w:ascii="Times New Roman" w:cs="Times New Roman" w:eastAsia="Times New Roman" w:hAnsi="Times New Roman"/>
          <w:sz w:val="17"/>
          <w:szCs w:val="17"/>
          <w:color w:val="auto"/>
        </w:rPr>
        <w:t>After giving effect to the assumed sale by us of shares of our common stock in the aggregate amount of $75.0 million at an assumed public offering price of $9.75 per share (the last sale price of our common stock on May 13, 2024 as reported on The Nasdaq Global Select Market), less the estimated commissions and estimated offering expenses payable by us, our as adjusted net tangible book value at March 31, 2024 would have been approximately $283.2 million, or $6.22 per share. This represents an immediate increase in as adjusted net tangible book value of $0.65 per share to existing stockholders and an immediate dilution of $3.53 per share to investors in this offering. The following table illustrates this per share dilution.</w:t>
      </w:r>
    </w:p>
    <w:p>
      <w:pPr>
        <w:spacing w:after="0" w:line="218" w:lineRule="exact"/>
        <w:rPr>
          <w:sz w:val="20"/>
          <w:szCs w:val="20"/>
          <w:color w:val="auto"/>
        </w:rPr>
      </w:pPr>
    </w:p>
    <w:tbl>
      <w:tblPr>
        <w:tblLayout w:type="fixed"/>
        <w:tblInd w:w="860" w:type="dxa"/>
        <w:tblCellMar>
          <w:top w:w="0" w:type="dxa"/>
          <w:left w:w="0" w:type="dxa"/>
          <w:bottom w:w="0" w:type="dxa"/>
          <w:right w:w="0" w:type="dxa"/>
        </w:tblCellMar>
      </w:tblPr>
      <w:tr>
        <w:trPr>
          <w:trHeight w:val="20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Assumed public offering price per share</w:t>
            </w:r>
          </w:p>
        </w:tc>
        <w:tc>
          <w:tcPr>
            <w:tcW w:w="22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$9.75</w:t>
            </w:r>
          </w:p>
        </w:tc>
      </w:tr>
      <w:tr>
        <w:trPr>
          <w:trHeight w:val="203"/>
        </w:trPr>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Historical net tangible book value per share as of March 31, 2024</w:t>
            </w:r>
          </w:p>
        </w:tc>
        <w:tc>
          <w:tcPr>
            <w:tcW w:w="1820" w:type="dxa"/>
            <w:vAlign w:val="bottom"/>
            <w:gridSpan w:val="3"/>
          </w:tcPr>
          <w:p>
            <w:pPr>
              <w:jc w:val="right"/>
              <w:ind w:right="355"/>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5.57</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5"/>
        </w:trPr>
        <w:tc>
          <w:tcPr>
            <w:tcW w:w="7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Increase in as adjusted net tangible book value per share attributable to this offering</w:t>
            </w:r>
          </w:p>
        </w:tc>
        <w:tc>
          <w:tcPr>
            <w:tcW w:w="1820" w:type="dxa"/>
            <w:vAlign w:val="bottom"/>
            <w:gridSpan w:val="3"/>
            <w:shd w:val="clear" w:color="auto" w:fill="CCEEFF"/>
          </w:tcPr>
          <w:p>
            <w:pPr>
              <w:jc w:val="right"/>
              <w:ind w:right="355"/>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0.65</w:t>
            </w: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8"/>
        </w:trPr>
        <w:tc>
          <w:tcPr>
            <w:tcW w:w="7260" w:type="dxa"/>
            <w:vAlign w:val="bottom"/>
          </w:tcPr>
          <w:p>
            <w:pPr>
              <w:spacing w:after="0"/>
              <w:rPr>
                <w:sz w:val="20"/>
                <w:szCs w:val="20"/>
                <w:color w:val="auto"/>
              </w:rPr>
            </w:pPr>
            <w:r>
              <w:rPr>
                <w:rFonts w:ascii="Times New Roman" w:cs="Times New Roman" w:eastAsia="Times New Roman" w:hAnsi="Times New Roman"/>
                <w:sz w:val="17"/>
                <w:szCs w:val="17"/>
                <w:color w:val="auto"/>
              </w:rPr>
              <w:t>As adjusted net tangible book value per share immediately after giving effect to this offering</w:t>
            </w:r>
          </w:p>
        </w:tc>
        <w:tc>
          <w:tcPr>
            <w:tcW w:w="10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6.22</w:t>
            </w:r>
          </w:p>
        </w:tc>
      </w:tr>
      <w:tr>
        <w:trPr>
          <w:trHeight w:val="26"/>
        </w:trPr>
        <w:tc>
          <w:tcPr>
            <w:tcW w:w="7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03"/>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Dilution of net tangible book value per share to new investors in this offering</w:t>
            </w:r>
          </w:p>
        </w:tc>
        <w:tc>
          <w:tcPr>
            <w:tcW w:w="22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3.53</w:t>
            </w:r>
          </w:p>
        </w:tc>
      </w:tr>
      <w:tr>
        <w:trPr>
          <w:trHeight w:val="20"/>
        </w:trPr>
        <w:tc>
          <w:tcPr>
            <w:tcW w:w="7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9" w:lineRule="exact"/>
        <w:rPr>
          <w:sz w:val="20"/>
          <w:szCs w:val="20"/>
          <w:color w:val="auto"/>
        </w:rPr>
      </w:pPr>
    </w:p>
    <w:p>
      <w:pPr>
        <w:ind w:left="440" w:right="20"/>
        <w:spacing w:after="0" w:line="263" w:lineRule="auto"/>
        <w:rPr>
          <w:sz w:val="20"/>
          <w:szCs w:val="20"/>
          <w:color w:val="auto"/>
        </w:rPr>
      </w:pPr>
      <w:r>
        <w:rPr>
          <w:rFonts w:ascii="Times New Roman" w:cs="Times New Roman" w:eastAsia="Times New Roman" w:hAnsi="Times New Roman"/>
          <w:sz w:val="17"/>
          <w:szCs w:val="17"/>
          <w:color w:val="auto"/>
        </w:rPr>
        <w:t>The as adjusted information is illustrative only and will adjust based on the actual price to the public, the actual number of shares sold and other terms of the offering determined at the time shares of our common stock are sold pursuant to this prospectus. The shares sold in this offering, if any, will be sold from time to time at various prices.</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Except as noted above, the above discussion and table exclude the following:</w:t>
      </w:r>
    </w:p>
    <w:p>
      <w:pPr>
        <w:spacing w:after="0" w:line="122" w:lineRule="exact"/>
        <w:rPr>
          <w:sz w:val="20"/>
          <w:szCs w:val="20"/>
          <w:color w:val="auto"/>
        </w:rPr>
      </w:pPr>
    </w:p>
    <w:p>
      <w:pPr>
        <w:ind w:left="1360" w:right="260" w:hanging="407"/>
        <w:spacing w:after="0" w:line="277" w:lineRule="auto"/>
        <w:tabs>
          <w:tab w:leader="none" w:pos="13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2,864,672 shares of our common stock issuable upon exercise of stock options outstanding as of March 31, 2024, at a weighted average exercise price of $18.72 per share;</w:t>
      </w:r>
    </w:p>
    <w:p>
      <w:pPr>
        <w:spacing w:after="0" w:line="69"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1,576,230 shares of our common stock issuable upon vesting of outstanding restricted stock units as of March 31, 2024;</w:t>
      </w:r>
    </w:p>
    <w:p>
      <w:pPr>
        <w:spacing w:after="0" w:line="121" w:lineRule="exact"/>
        <w:rPr>
          <w:rFonts w:ascii="Times New Roman" w:cs="Times New Roman" w:eastAsia="Times New Roman" w:hAnsi="Times New Roman"/>
          <w:sz w:val="17"/>
          <w:szCs w:val="17"/>
          <w:color w:val="auto"/>
        </w:rPr>
      </w:pPr>
    </w:p>
    <w:p>
      <w:pPr>
        <w:ind w:left="1360" w:right="20" w:hanging="407"/>
        <w:spacing w:after="0" w:line="277" w:lineRule="auto"/>
        <w:tabs>
          <w:tab w:leader="none" w:pos="13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9,230 shares of our common stock issuable upon the exercise of warrants outstanding as of March 31, 2024, at a weighted average exercise price of $47.39 per share;</w:t>
      </w:r>
    </w:p>
    <w:p>
      <w:pPr>
        <w:spacing w:after="0" w:line="69" w:lineRule="exact"/>
        <w:rPr>
          <w:rFonts w:ascii="Times New Roman" w:cs="Times New Roman" w:eastAsia="Times New Roman" w:hAnsi="Times New Roman"/>
          <w:sz w:val="17"/>
          <w:szCs w:val="17"/>
          <w:color w:val="auto"/>
        </w:rPr>
      </w:pPr>
    </w:p>
    <w:p>
      <w:pPr>
        <w:ind w:left="1360" w:right="80" w:hanging="407"/>
        <w:spacing w:after="0" w:line="277" w:lineRule="auto"/>
        <w:tabs>
          <w:tab w:leader="none" w:pos="13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2,712,478 shares of our common stock issuable upon the exercise of pre-funded warrants outstanding as of March 31, 2024, at an exercise price of $0.001 per share;</w:t>
      </w:r>
    </w:p>
    <w:p>
      <w:pPr>
        <w:spacing w:after="0" w:line="69" w:lineRule="exact"/>
        <w:rPr>
          <w:rFonts w:ascii="Times New Roman" w:cs="Times New Roman" w:eastAsia="Times New Roman" w:hAnsi="Times New Roman"/>
          <w:sz w:val="17"/>
          <w:szCs w:val="17"/>
          <w:color w:val="auto"/>
        </w:rPr>
      </w:pPr>
    </w:p>
    <w:p>
      <w:pPr>
        <w:ind w:left="1360" w:right="240" w:hanging="407"/>
        <w:spacing w:after="0" w:line="277" w:lineRule="auto"/>
        <w:tabs>
          <w:tab w:leader="none" w:pos="13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322,909 shares of our common stock available for future issuance, as of March 31, 2024, under our Amended and Restated 2020 Equity Incentive Plan;</w:t>
      </w:r>
    </w:p>
    <w:p>
      <w:pPr>
        <w:spacing w:after="0" w:line="69" w:lineRule="exact"/>
        <w:rPr>
          <w:rFonts w:ascii="Times New Roman" w:cs="Times New Roman" w:eastAsia="Times New Roman" w:hAnsi="Times New Roman"/>
          <w:sz w:val="17"/>
          <w:szCs w:val="17"/>
          <w:color w:val="auto"/>
        </w:rPr>
      </w:pPr>
    </w:p>
    <w:p>
      <w:pPr>
        <w:ind w:left="1360" w:hanging="407"/>
        <w:spacing w:after="0" w:line="277" w:lineRule="auto"/>
        <w:tabs>
          <w:tab w:leader="none" w:pos="13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601,402 shares of our common stock available for future issuance, as of March 31, 2024, under our Amended and Restated 2021 Employee Stock Purchase Plan;</w:t>
      </w:r>
    </w:p>
    <w:p>
      <w:pPr>
        <w:spacing w:after="0" w:line="69" w:lineRule="exact"/>
        <w:rPr>
          <w:rFonts w:ascii="Times New Roman" w:cs="Times New Roman" w:eastAsia="Times New Roman" w:hAnsi="Times New Roman"/>
          <w:sz w:val="17"/>
          <w:szCs w:val="17"/>
          <w:color w:val="auto"/>
        </w:rPr>
      </w:pPr>
    </w:p>
    <w:p>
      <w:pPr>
        <w:ind w:left="1360" w:right="280" w:hanging="407"/>
        <w:spacing w:after="0" w:line="277" w:lineRule="auto"/>
        <w:tabs>
          <w:tab w:leader="none" w:pos="13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1,000,000 shares of our common stock available for future issuance, as of March 31, 2024, under our 2024 Inducement Stock Incentive Plan; and</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S-11</w:t>
      </w:r>
    </w:p>
    <w:p>
      <w:pPr>
        <w:sectPr>
          <w:pgSz w:w="11900" w:h="16838" w:orient="portrait"/>
          <w:cols w:equalWidth="0" w:num="1">
            <w:col w:w="10800"/>
          </w:cols>
          <w:pgMar w:left="320" w:top="437" w:right="77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1360" w:hanging="407"/>
        <w:spacing w:after="0"/>
        <w:tabs>
          <w:tab w:leader="none" w:pos="136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526,953 shares of our common stock issued pursuant to the sales agreement after March 31, 2024.</w:t>
      </w:r>
    </w:p>
    <w:p>
      <w:pPr>
        <w:spacing w:after="0" w:line="211" w:lineRule="exact"/>
        <w:rPr>
          <w:sz w:val="20"/>
          <w:szCs w:val="20"/>
          <w:color w:val="auto"/>
        </w:rPr>
      </w:pPr>
    </w:p>
    <w:p>
      <w:pPr>
        <w:ind w:left="440"/>
        <w:spacing w:after="0" w:line="263" w:lineRule="auto"/>
        <w:rPr>
          <w:sz w:val="20"/>
          <w:szCs w:val="20"/>
          <w:color w:val="auto"/>
        </w:rPr>
      </w:pPr>
      <w:r>
        <w:rPr>
          <w:rFonts w:ascii="Times New Roman" w:cs="Times New Roman" w:eastAsia="Times New Roman" w:hAnsi="Times New Roman"/>
          <w:sz w:val="17"/>
          <w:szCs w:val="17"/>
          <w:color w:val="auto"/>
        </w:rPr>
        <w:t>We may choose to raise additional capital due to market conditions or strategic considerations even if we believe we have sufficient funds for our current or future operating plans. To the extent that additional capital is raised through the sale of equity or securities convertible into common stock, the issuance of these securities could result in further dilution to our stockholders.</w:t>
      </w:r>
    </w:p>
    <w:p>
      <w:pPr>
        <w:spacing w:after="0" w:line="10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S-12</w:t>
      </w:r>
    </w:p>
    <w:p>
      <w:pPr>
        <w:sectPr>
          <w:pgSz w:w="11900" w:h="16838" w:orient="portrait"/>
          <w:cols w:equalWidth="0" w:num="1">
            <w:col w:w="10800"/>
          </w:cols>
          <w:pgMar w:left="320" w:top="437" w:right="7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215" w:lineRule="exact"/>
        <w:rPr>
          <w:sz w:val="20"/>
          <w:szCs w:val="20"/>
          <w:color w:val="auto"/>
        </w:rPr>
      </w:pPr>
    </w:p>
    <w:p>
      <w:pPr>
        <w:ind w:left="440" w:right="180"/>
        <w:spacing w:after="0" w:line="258" w:lineRule="auto"/>
        <w:rPr>
          <w:sz w:val="20"/>
          <w:szCs w:val="20"/>
          <w:color w:val="auto"/>
        </w:rPr>
      </w:pPr>
      <w:r>
        <w:rPr>
          <w:rFonts w:ascii="Times New Roman" w:cs="Times New Roman" w:eastAsia="Times New Roman" w:hAnsi="Times New Roman"/>
          <w:sz w:val="17"/>
          <w:szCs w:val="17"/>
          <w:color w:val="auto"/>
        </w:rPr>
        <w:t>The following description of our capital stock is intended as a summary only and therefore is not a complete description of our capital stock. This description is based upon, and is qualified by reference to, our certificate of incorporation, which we refer to as our charter, our bylaws and applicable provisions of Delaware corporate law. You should read our charter and bylaws, which are filed as exhibits to the registration statement of which this prospectus forms a part, for the provisions that are important to you.</w:t>
      </w:r>
    </w:p>
    <w:p>
      <w:pPr>
        <w:spacing w:after="0" w:line="175" w:lineRule="exact"/>
        <w:rPr>
          <w:sz w:val="20"/>
          <w:szCs w:val="20"/>
          <w:color w:val="auto"/>
        </w:rPr>
      </w:pPr>
    </w:p>
    <w:p>
      <w:pPr>
        <w:ind w:left="440" w:right="140"/>
        <w:spacing w:after="0" w:line="277" w:lineRule="auto"/>
        <w:rPr>
          <w:sz w:val="20"/>
          <w:szCs w:val="20"/>
          <w:color w:val="auto"/>
        </w:rPr>
      </w:pPr>
      <w:r>
        <w:rPr>
          <w:rFonts w:ascii="Times New Roman" w:cs="Times New Roman" w:eastAsia="Times New Roman" w:hAnsi="Times New Roman"/>
          <w:sz w:val="17"/>
          <w:szCs w:val="17"/>
          <w:color w:val="auto"/>
        </w:rPr>
        <w:t>Our charter authorizes 60,000,000 shares of common stock, $0.001 par value per share, and 10,000,000 shares of preferred stock, $0.001 par value per share, all of which preferred stock is undesignated.</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Common Stock</w:t>
      </w:r>
    </w:p>
    <w:p>
      <w:pPr>
        <w:spacing w:after="0" w:line="109" w:lineRule="exact"/>
        <w:rPr>
          <w:sz w:val="20"/>
          <w:szCs w:val="20"/>
          <w:color w:val="auto"/>
        </w:rPr>
      </w:pPr>
    </w:p>
    <w:p>
      <w:pPr>
        <w:jc w:val="both"/>
        <w:ind w:left="440" w:right="20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Voting Rights. </w:t>
      </w:r>
      <w:r>
        <w:rPr>
          <w:rFonts w:ascii="Times New Roman" w:cs="Times New Roman" w:eastAsia="Times New Roman" w:hAnsi="Times New Roman"/>
          <w:sz w:val="17"/>
          <w:szCs w:val="17"/>
          <w:color w:val="auto"/>
        </w:rPr>
        <w:t>Each holder of our common stock is entitled to one vote for each share on all matters submitted to a vote of the stockholders, including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election of directors. Our stockholders do not have cumulative voting rights in the election of directors. Accordingly, holders of a majority of the voting shares are able to elect all of the directors.</w:t>
      </w:r>
    </w:p>
    <w:p>
      <w:pPr>
        <w:spacing w:after="0" w:line="162" w:lineRule="exact"/>
        <w:rPr>
          <w:sz w:val="20"/>
          <w:szCs w:val="20"/>
          <w:color w:val="auto"/>
        </w:rPr>
      </w:pPr>
    </w:p>
    <w:p>
      <w:pPr>
        <w:jc w:val="both"/>
        <w:ind w:left="440" w:right="220"/>
        <w:spacing w:after="0" w:line="282" w:lineRule="auto"/>
        <w:rPr>
          <w:sz w:val="20"/>
          <w:szCs w:val="20"/>
          <w:color w:val="auto"/>
        </w:rPr>
      </w:pPr>
      <w:r>
        <w:rPr>
          <w:rFonts w:ascii="Times New Roman" w:cs="Times New Roman" w:eastAsia="Times New Roman" w:hAnsi="Times New Roman"/>
          <w:sz w:val="17"/>
          <w:szCs w:val="17"/>
          <w:i w:val="1"/>
          <w:iCs w:val="1"/>
          <w:color w:val="auto"/>
        </w:rPr>
        <w:t xml:space="preserve">Dividends. </w:t>
      </w:r>
      <w:r>
        <w:rPr>
          <w:rFonts w:ascii="Times New Roman" w:cs="Times New Roman" w:eastAsia="Times New Roman" w:hAnsi="Times New Roman"/>
          <w:sz w:val="17"/>
          <w:szCs w:val="17"/>
          <w:color w:val="auto"/>
        </w:rPr>
        <w:t>Subject to preferences that may be applicable to any then-outstanding preferred stock, holders of our common stock are entitled to receive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dividends, if any, as may be declared from time to time by our board of directors out of legally available funds.</w:t>
      </w:r>
    </w:p>
    <w:p>
      <w:pPr>
        <w:spacing w:after="0" w:line="150" w:lineRule="exact"/>
        <w:rPr>
          <w:sz w:val="20"/>
          <w:szCs w:val="20"/>
          <w:color w:val="auto"/>
        </w:rPr>
      </w:pPr>
    </w:p>
    <w:p>
      <w:pPr>
        <w:ind w:left="440" w:right="30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Liquidation. </w:t>
      </w:r>
      <w:r>
        <w:rPr>
          <w:rFonts w:ascii="Times New Roman" w:cs="Times New Roman" w:eastAsia="Times New Roman" w:hAnsi="Times New Roman"/>
          <w:sz w:val="17"/>
          <w:szCs w:val="17"/>
          <w:color w:val="auto"/>
        </w:rPr>
        <w:t>In the event of our liquidation, dissolution or winding up, holders of our common stock will be entitled to share ratably in the net assets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legally available for distribution to stockholders after the payment of all of our debts and other liabilities and the satisfaction of any liquidation preference granted to the holders of any then-outstanding shares of preferred stock.</w:t>
      </w:r>
    </w:p>
    <w:p>
      <w:pPr>
        <w:spacing w:after="0" w:line="162" w:lineRule="exact"/>
        <w:rPr>
          <w:sz w:val="20"/>
          <w:szCs w:val="20"/>
          <w:color w:val="auto"/>
        </w:rPr>
      </w:pPr>
    </w:p>
    <w:p>
      <w:pPr>
        <w:ind w:left="440" w:right="2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Other Rights. </w:t>
      </w:r>
      <w:r>
        <w:rPr>
          <w:rFonts w:ascii="Times New Roman" w:cs="Times New Roman" w:eastAsia="Times New Roman" w:hAnsi="Times New Roman"/>
          <w:sz w:val="17"/>
          <w:szCs w:val="17"/>
          <w:color w:val="auto"/>
        </w:rPr>
        <w:t>Holders of our common stock have no preemptive, conversion, subscription or other similar rights, and there are no redemption or sinking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 xml:space="preserve">Transfer Agent and Registrar. </w:t>
      </w:r>
      <w:r>
        <w:rPr>
          <w:rFonts w:ascii="Times New Roman" w:cs="Times New Roman" w:eastAsia="Times New Roman" w:hAnsi="Times New Roman"/>
          <w:sz w:val="17"/>
          <w:szCs w:val="17"/>
          <w:color w:val="auto"/>
        </w:rPr>
        <w:t>The transfer agent and registrar for the shares of our common stock is Computershare Trust Company, N.A.</w:t>
      </w:r>
    </w:p>
    <w:p>
      <w:pPr>
        <w:spacing w:after="0" w:line="3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13"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7"/>
          <w:szCs w:val="17"/>
          <w:color w:val="auto"/>
        </w:rPr>
        <w:t>We are authorized to issue “blank check” preferred stock, which may be issued in one or more series upon authorization of our board of directors. Our board of directors is authorized to fix the designations, powers, preferences and the relative, participating, optional or other special rights and any qualifications, limitations and restrictions of the shares of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w:t>
      </w:r>
    </w:p>
    <w:p>
      <w:pPr>
        <w:spacing w:after="0" w:line="2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Amended and Restated Registration Rights Agreement</w:t>
      </w:r>
    </w:p>
    <w:p>
      <w:pPr>
        <w:spacing w:after="0" w:line="113" w:lineRule="exact"/>
        <w:rPr>
          <w:sz w:val="20"/>
          <w:szCs w:val="20"/>
          <w:color w:val="auto"/>
        </w:rPr>
      </w:pPr>
    </w:p>
    <w:p>
      <w:pPr>
        <w:ind w:left="440" w:right="40"/>
        <w:spacing w:after="0" w:line="277" w:lineRule="auto"/>
        <w:rPr>
          <w:sz w:val="20"/>
          <w:szCs w:val="20"/>
          <w:color w:val="auto"/>
        </w:rPr>
      </w:pPr>
      <w:r>
        <w:rPr>
          <w:rFonts w:ascii="Times New Roman" w:cs="Times New Roman" w:eastAsia="Times New Roman" w:hAnsi="Times New Roman"/>
          <w:sz w:val="17"/>
          <w:szCs w:val="17"/>
          <w:color w:val="auto"/>
        </w:rPr>
        <w:t>We are party to the Amended and Restated Registration Rights Agreement, dated March 29, 2017, or the Registration Rights Agreement, with certain of our stockholders, or the Investors, pursuant to which holders of a</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S-13</w:t>
      </w:r>
    </w:p>
    <w:p>
      <w:pPr>
        <w:sectPr>
          <w:pgSz w:w="11900" w:h="16838" w:orient="portrait"/>
          <w:cols w:equalWidth="0" w:num="1">
            <w:col w:w="10780"/>
          </w:cols>
          <w:pgMar w:left="320" w:top="437" w:right="7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jc w:val="both"/>
        <w:ind w:left="440" w:right="120"/>
        <w:spacing w:after="0" w:line="263" w:lineRule="auto"/>
        <w:rPr>
          <w:sz w:val="20"/>
          <w:szCs w:val="20"/>
          <w:color w:val="auto"/>
        </w:rPr>
      </w:pPr>
      <w:r>
        <w:rPr>
          <w:rFonts w:ascii="Times New Roman" w:cs="Times New Roman" w:eastAsia="Times New Roman" w:hAnsi="Times New Roman"/>
          <w:sz w:val="17"/>
          <w:szCs w:val="17"/>
          <w:color w:val="auto"/>
        </w:rPr>
        <w:t>substantial number of shares of our common stock have the right to require us to register these shares under the Securities Act. The Registration Rights Agreement provides for demand and piggyback registration rights for the Investors. All expenses of registration (other than underwriting discounts and commissions) under the Registration Rights Agreement will be borne by us.</w:t>
      </w:r>
    </w:p>
    <w:p>
      <w:pPr>
        <w:spacing w:after="0" w:line="166" w:lineRule="exact"/>
        <w:rPr>
          <w:sz w:val="20"/>
          <w:szCs w:val="20"/>
          <w:color w:val="auto"/>
        </w:rPr>
      </w:pPr>
    </w:p>
    <w:p>
      <w:pPr>
        <w:ind w:left="440"/>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Demand Registration Rights. </w:t>
      </w:r>
      <w:r>
        <w:rPr>
          <w:rFonts w:ascii="Times New Roman" w:cs="Times New Roman" w:eastAsia="Times New Roman" w:hAnsi="Times New Roman"/>
          <w:sz w:val="17"/>
          <w:szCs w:val="17"/>
          <w:color w:val="auto"/>
        </w:rPr>
        <w:t>The Investors are entitled to demand registration rights. Under the terms of the Registration Rights Agreement, we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required, upon the written request of Investors holding at least 20% of the securities eligible for registration then outstanding, to file a registration statement and use our best efforts to effect as soon as practicable the registration of such shares. We are required to effect up to two such demand registrations pursuant to the Registration Rights Agreement. In addition, so long as we are eligible to register the sale of securities on Form S-3 or any similar “short-form” registration statement under the Securities Act, the Investors have the right to demand unlimited registrations under the Registration Rights Agreement (but not to exceed two registrations on Form S-3 in any calendar year) provided that the securities for sale on Form S-3 have an aggregate price to the public of not less than $2.0 million.</w:t>
      </w:r>
    </w:p>
    <w:p>
      <w:pPr>
        <w:spacing w:after="0" w:line="176" w:lineRule="exact"/>
        <w:rPr>
          <w:sz w:val="20"/>
          <w:szCs w:val="20"/>
          <w:color w:val="auto"/>
        </w:rPr>
      </w:pPr>
    </w:p>
    <w:p>
      <w:pPr>
        <w:ind w:left="440" w:right="160"/>
        <w:spacing w:after="0" w:line="254" w:lineRule="auto"/>
        <w:rPr>
          <w:sz w:val="20"/>
          <w:szCs w:val="20"/>
          <w:color w:val="auto"/>
        </w:rPr>
      </w:pPr>
      <w:r>
        <w:rPr>
          <w:rFonts w:ascii="Times New Roman" w:cs="Times New Roman" w:eastAsia="Times New Roman" w:hAnsi="Times New Roman"/>
          <w:sz w:val="17"/>
          <w:szCs w:val="17"/>
          <w:b w:val="1"/>
          <w:bCs w:val="1"/>
          <w:i w:val="1"/>
          <w:iCs w:val="1"/>
          <w:color w:val="auto"/>
        </w:rPr>
        <w:t xml:space="preserve">Piggyback Registration Rights. </w:t>
      </w:r>
      <w:r>
        <w:rPr>
          <w:rFonts w:ascii="Times New Roman" w:cs="Times New Roman" w:eastAsia="Times New Roman" w:hAnsi="Times New Roman"/>
          <w:sz w:val="17"/>
          <w:szCs w:val="17"/>
          <w:color w:val="auto"/>
        </w:rPr>
        <w:t>If we register any of our equity securities either for our own account or for the account of other security holders (other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than certain registrations on Form S-8 or Form S-4), the Investors are entitled to piggyback registration rights and may include their shares in the registration. The Investors waived these piggyback registration rights in connection with the filing of this registration statement. The underwriters may advise us to limit the number of shares included in any underwritten offering to the number of shares which we and the underwriters determine in our sole discretion will not jeopardize the success of the offering. If this occurs, the aggregate number of securities held by the Investors that may be included in the underwriting shall be allocated among all requesting Investors in proportion to the amount of securities sought to be sold by each Investor.</w:t>
      </w:r>
    </w:p>
    <w:p>
      <w:pPr>
        <w:spacing w:after="0" w:line="176" w:lineRule="exact"/>
        <w:rPr>
          <w:sz w:val="20"/>
          <w:szCs w:val="20"/>
          <w:color w:val="auto"/>
        </w:rPr>
      </w:pPr>
    </w:p>
    <w:p>
      <w:pPr>
        <w:ind w:left="440" w:right="640"/>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Fees; Indemnification. </w:t>
      </w:r>
      <w:r>
        <w:rPr>
          <w:rFonts w:ascii="Times New Roman" w:cs="Times New Roman" w:eastAsia="Times New Roman" w:hAnsi="Times New Roman"/>
          <w:sz w:val="17"/>
          <w:szCs w:val="17"/>
          <w:color w:val="auto"/>
        </w:rPr>
        <w:t>Under the Registration Rights Agreement, we will be responsible, subject to certain exceptions, for the expenses of any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registration of securities pursuant to the agreement, other than underwriting discounts and commissions.</w:t>
      </w:r>
    </w:p>
    <w:p>
      <w:pPr>
        <w:spacing w:after="0" w:line="154"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7"/>
          <w:szCs w:val="17"/>
          <w:color w:val="auto"/>
        </w:rPr>
        <w:t>The Registration Rights Agreement contains customary cross-indemnification provisions, under which we are obligated to indemnify the Investors in the event of material misstatements or omissions in the registration statement or any violation of the Securities Act, Exchange Act, state securities law or any rule or regulation promulgated thereunder attributable to us, and they are obligated to indemnify us, severally and not jointly, for material misstatements, omissions or any violation of the Securities Act, Exchange Act, state securities law or any rule or regulation promulgated thereunder attributable to them.</w:t>
      </w:r>
    </w:p>
    <w:p>
      <w:pPr>
        <w:spacing w:after="0" w:line="172" w:lineRule="exact"/>
        <w:rPr>
          <w:sz w:val="20"/>
          <w:szCs w:val="20"/>
          <w:color w:val="auto"/>
        </w:rPr>
      </w:pPr>
    </w:p>
    <w:p>
      <w:pPr>
        <w:ind w:left="440" w:right="280"/>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Termination of Registration Rights. </w:t>
      </w:r>
      <w:r>
        <w:rPr>
          <w:rFonts w:ascii="Times New Roman" w:cs="Times New Roman" w:eastAsia="Times New Roman" w:hAnsi="Times New Roman"/>
          <w:sz w:val="16"/>
          <w:szCs w:val="16"/>
          <w:color w:val="auto"/>
        </w:rPr>
        <w:t>The demand registration rights and the piggyback registration rights granted under the Registration Rights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Agreement will terminate, with respect to each Investor, as of the date when all registrable securities held by and issued to such Investor may be sold under Rule 144 under the Securities Act during any 90 day period, provided such Investor owns less than 1% of our outstanding common stock.</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Investor Agreement</w:t>
      </w:r>
    </w:p>
    <w:p>
      <w:pPr>
        <w:spacing w:after="0" w:line="113" w:lineRule="exact"/>
        <w:rPr>
          <w:sz w:val="20"/>
          <w:szCs w:val="20"/>
          <w:color w:val="auto"/>
        </w:rPr>
      </w:pPr>
    </w:p>
    <w:p>
      <w:pPr>
        <w:ind w:left="440" w:right="20"/>
        <w:spacing w:after="0" w:line="254" w:lineRule="auto"/>
        <w:rPr>
          <w:sz w:val="20"/>
          <w:szCs w:val="20"/>
          <w:color w:val="auto"/>
        </w:rPr>
      </w:pPr>
      <w:r>
        <w:rPr>
          <w:rFonts w:ascii="Times New Roman" w:cs="Times New Roman" w:eastAsia="Times New Roman" w:hAnsi="Times New Roman"/>
          <w:sz w:val="17"/>
          <w:szCs w:val="17"/>
          <w:color w:val="auto"/>
        </w:rPr>
        <w:t>In October 2020, in connection with the execution of our collaboration and license agreement with Ultragenyx, we issued and sold 521,719 shares of our common stock to Ultragenyx. We are party to an Investor Agreement with Ultragenyx, dated October 22, 2020, pursuant to which we have agreed to file a registration statement registering all or a portion of the Ultragenyx shares upon receipt of a request from Ultragenyx within the ten year-period following Ultragenyx’s acquisition of the shares. In addition to other exceptions, we will not be required to effect more than two such demand registrations for Ultragenyx in the aggregate and we are not required to effect more than one such demand registration in any 12-month period. Ultragenyx is also entitled to certain “piggyback” registration rights such that for the ten year period following Ultragenyx’s acquisition of shares, subject to specified conditions and so long as Ultragenyx holds at least 1% of our outstanding common</w:t>
      </w:r>
    </w:p>
    <w:p>
      <w:pPr>
        <w:spacing w:after="0" w:line="113"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S-14</w:t>
      </w:r>
    </w:p>
    <w:p>
      <w:pPr>
        <w:sectPr>
          <w:pgSz w:w="11900" w:h="16838" w:orient="portrait"/>
          <w:cols w:equalWidth="0" w:num="1">
            <w:col w:w="10800"/>
          </w:cols>
          <w:pgMar w:left="320" w:top="437" w:right="7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right="560"/>
        <w:spacing w:after="0" w:line="263" w:lineRule="auto"/>
        <w:rPr>
          <w:sz w:val="20"/>
          <w:szCs w:val="20"/>
          <w:color w:val="auto"/>
        </w:rPr>
      </w:pPr>
      <w:r>
        <w:rPr>
          <w:rFonts w:ascii="Times New Roman" w:cs="Times New Roman" w:eastAsia="Times New Roman" w:hAnsi="Times New Roman"/>
          <w:sz w:val="17"/>
          <w:szCs w:val="17"/>
          <w:color w:val="auto"/>
        </w:rPr>
        <w:t>stock, whenever we propose to file a registration statement that includes shares of common stock by one or more selling stockholders (other than Ultragenyx), Ultragenyx will have the right to include some or all of its shares in such registration. The Investor Agreement also contains other customary terms and conditions of the parties with respect to the registration of the Ultragenyx shares.</w:t>
      </w:r>
    </w:p>
    <w:p>
      <w:pPr>
        <w:spacing w:after="0" w:line="2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Provisions of Our Certificate of Incorporation and Bylaws and Delaware Law That May Have Anti-Takeover Effects</w:t>
      </w:r>
    </w:p>
    <w:p>
      <w:pPr>
        <w:spacing w:after="0" w:line="113"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7"/>
          <w:szCs w:val="17"/>
          <w:color w:val="auto"/>
        </w:rPr>
        <w:t>Some provisions of the Delaware General Corporation Law, or the DGCL, our charter and our bylaws contain provisions that could have the effect of delaying, deterring or preventing another party from acquiring or seeking to acquire control of us through the use of the following: acquisition of us by means of a tender offer; acquisition of us by means of a proxy contest or otherwise; or removal of our incumbent officers and directors. These provisions may delay, deter or prevent a change in control or other takeover of us that our stockholders might consider to be in their best interests, including transactions that might result in a premium being paid over the market price of our common stock and also may limit the price that investors are willing to pay in the future for our common stock. These provisions may also have the effect of preventing changes in our management.</w:t>
      </w:r>
    </w:p>
    <w:p>
      <w:pPr>
        <w:spacing w:after="0" w:line="175" w:lineRule="exact"/>
        <w:rPr>
          <w:sz w:val="20"/>
          <w:szCs w:val="20"/>
          <w:color w:val="auto"/>
        </w:rPr>
      </w:pPr>
    </w:p>
    <w:p>
      <w:pPr>
        <w:ind w:left="440" w:right="120"/>
        <w:spacing w:after="0" w:line="258" w:lineRule="auto"/>
        <w:rPr>
          <w:sz w:val="20"/>
          <w:szCs w:val="20"/>
          <w:color w:val="auto"/>
        </w:rPr>
      </w:pPr>
      <w:r>
        <w:rPr>
          <w:rFonts w:ascii="Times New Roman" w:cs="Times New Roman" w:eastAsia="Times New Roman" w:hAnsi="Times New Roman"/>
          <w:sz w:val="17"/>
          <w:szCs w:val="17"/>
          <w:color w:val="auto"/>
        </w:rPr>
        <w:t>These provisions are intended to discourage certain types of coercive takeover practices and inadequate takeover bids and to encourage anyone seeking to acquire control of us to negotiate first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82" w:lineRule="exact"/>
        <w:rPr>
          <w:sz w:val="20"/>
          <w:szCs w:val="20"/>
          <w:color w:val="auto"/>
        </w:rPr>
      </w:pPr>
    </w:p>
    <w:p>
      <w:pPr>
        <w:ind w:left="1360" w:right="60" w:hanging="407"/>
        <w:spacing w:after="0" w:line="257" w:lineRule="auto"/>
        <w:tabs>
          <w:tab w:leader="none" w:pos="13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Board of Directors Vacancies: </w:t>
      </w:r>
      <w:r>
        <w:rPr>
          <w:rFonts w:ascii="Times New Roman" w:cs="Times New Roman" w:eastAsia="Times New Roman" w:hAnsi="Times New Roman"/>
          <w:sz w:val="17"/>
          <w:szCs w:val="17"/>
          <w:color w:val="auto"/>
        </w:rPr>
        <w:t>Our charter and bylaws authorize only our board of directors to fill vacant directorships, including newly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created seats. In addition, the number of directors constituting our board of directors may only be set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82" w:lineRule="exact"/>
        <w:rPr>
          <w:rFonts w:ascii="Times New Roman" w:cs="Times New Roman" w:eastAsia="Times New Roman" w:hAnsi="Times New Roman"/>
          <w:sz w:val="17"/>
          <w:szCs w:val="17"/>
          <w:color w:val="auto"/>
        </w:rPr>
      </w:pPr>
    </w:p>
    <w:p>
      <w:pPr>
        <w:ind w:left="1360" w:right="60" w:hanging="407"/>
        <w:spacing w:after="0" w:line="266" w:lineRule="auto"/>
        <w:tabs>
          <w:tab w:leader="none" w:pos="13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Classified Board: </w:t>
      </w:r>
      <w:r>
        <w:rPr>
          <w:rFonts w:ascii="Times New Roman" w:cs="Times New Roman" w:eastAsia="Times New Roman" w:hAnsi="Times New Roman"/>
          <w:sz w:val="17"/>
          <w:szCs w:val="17"/>
          <w:color w:val="auto"/>
        </w:rPr>
        <w:t>Our charter and bylaws provide that our board of directors will be classified into three classes of directors, each with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staggered three-year terms.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73" w:lineRule="exact"/>
        <w:rPr>
          <w:rFonts w:ascii="Times New Roman" w:cs="Times New Roman" w:eastAsia="Times New Roman" w:hAnsi="Times New Roman"/>
          <w:sz w:val="17"/>
          <w:szCs w:val="17"/>
          <w:color w:val="auto"/>
        </w:rPr>
      </w:pPr>
    </w:p>
    <w:p>
      <w:pPr>
        <w:ind w:left="1360" w:right="120" w:hanging="407"/>
        <w:spacing w:after="0" w:line="254" w:lineRule="auto"/>
        <w:tabs>
          <w:tab w:leader="none" w:pos="13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Stockholder Action; Special Meetings of Stockholders: </w:t>
      </w:r>
      <w:r>
        <w:rPr>
          <w:rFonts w:ascii="Times New Roman" w:cs="Times New Roman" w:eastAsia="Times New Roman" w:hAnsi="Times New Roman"/>
          <w:sz w:val="17"/>
          <w:szCs w:val="17"/>
          <w:color w:val="auto"/>
        </w:rPr>
        <w:t>Our charter provides that our stockholders may not take action by written consent,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but may only take action at annual or special meetings of our stockholders. As a result, a holder controlling a majority of our capital stock would not be able to amend our bylaws or remove directors without holding a meeting of our stockholders called in accordance with our bylaws. Further, our bylaws and charter will provide that special meetings of our stockholders may be called only by a majority of our board of directors, the Chairman of our board of directors or our Chief Executive Officer,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87" w:lineRule="exact"/>
        <w:rPr>
          <w:rFonts w:ascii="Times New Roman" w:cs="Times New Roman" w:eastAsia="Times New Roman" w:hAnsi="Times New Roman"/>
          <w:sz w:val="17"/>
          <w:szCs w:val="17"/>
          <w:color w:val="auto"/>
        </w:rPr>
      </w:pPr>
    </w:p>
    <w:p>
      <w:pPr>
        <w:ind w:left="1360" w:right="160" w:hanging="407"/>
        <w:spacing w:after="0" w:line="257" w:lineRule="auto"/>
        <w:tabs>
          <w:tab w:leader="none" w:pos="136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Advance Notice Requirements for Stockholder Proposals and Director Nominations: </w:t>
      </w:r>
      <w:r>
        <w:rPr>
          <w:rFonts w:ascii="Times New Roman" w:cs="Times New Roman" w:eastAsia="Times New Roman" w:hAnsi="Times New Roman"/>
          <w:sz w:val="17"/>
          <w:szCs w:val="17"/>
          <w:color w:val="auto"/>
        </w:rPr>
        <w:t>Our bylaws provide advance notice procedures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stockholders seeking to bring matters before our annual meeting of stockholders or to nominate candidates for election as directors at our annual meeting of stockholders. Our bylaws also specify certain requirements regarding the form and content of a stockholder’s notice. These provisions might preclude our stockholders from bringing matters before our annual meeting of stockholders or from making nominations for directors at our annual meeting of</w:t>
      </w:r>
    </w:p>
    <w:p>
      <w:pPr>
        <w:spacing w:after="0" w:line="112"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S-15</w:t>
      </w:r>
    </w:p>
    <w:p>
      <w:pPr>
        <w:sectPr>
          <w:pgSz w:w="11900" w:h="16838" w:orient="portrait"/>
          <w:cols w:equalWidth="0" w:num="1">
            <w:col w:w="10800"/>
          </w:cols>
          <w:pgMar w:left="320" w:top="437" w:right="7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1380" w:right="100"/>
        <w:spacing w:after="0" w:line="263" w:lineRule="auto"/>
        <w:rPr>
          <w:sz w:val="20"/>
          <w:szCs w:val="20"/>
          <w:color w:val="auto"/>
        </w:rPr>
      </w:pPr>
      <w:r>
        <w:rPr>
          <w:rFonts w:ascii="Times New Roman" w:cs="Times New Roman" w:eastAsia="Times New Roman" w:hAnsi="Times New Roman"/>
          <w:sz w:val="17"/>
          <w:szCs w:val="17"/>
          <w:color w:val="auto"/>
        </w:rPr>
        <w:t>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77" w:lineRule="exact"/>
        <w:rPr>
          <w:sz w:val="20"/>
          <w:szCs w:val="20"/>
          <w:color w:val="auto"/>
        </w:rPr>
      </w:pPr>
    </w:p>
    <w:p>
      <w:pPr>
        <w:ind w:left="1360" w:hanging="407"/>
        <w:spacing w:after="0" w:line="256" w:lineRule="auto"/>
        <w:tabs>
          <w:tab w:leader="none" w:pos="13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Supermajority Voting: </w:t>
      </w:r>
      <w:r>
        <w:rPr>
          <w:rFonts w:ascii="Times New Roman" w:cs="Times New Roman" w:eastAsia="Times New Roman" w:hAnsi="Times New Roman"/>
          <w:sz w:val="17"/>
          <w:szCs w:val="17"/>
          <w:color w:val="auto"/>
        </w:rPr>
        <w:t>The DGCL provides, generally, that the affirmative vote of a majority of the shares entitled to vote on any matter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to amend a corporation’s certificate of incorporation or bylaws, unless a corporation’s certificate of incorporation or bylaws, as the case may be, requires a greater percentage. Our bylaws may be amended or repealed by a majority vote of our board of directors or the affirmative vote of the holders of at least two-thirds of the votes that all our stockholders would be entitled to cast in an annual election of directors. In addition, the affirmative vote of the holders of at least two-thirds of the votes that all our stockholders would be entitled to cast in an election of directors is required to amend or repeal or to adopt certain provisions of our charter.</w:t>
      </w:r>
    </w:p>
    <w:p>
      <w:pPr>
        <w:spacing w:after="0" w:line="81" w:lineRule="exact"/>
        <w:rPr>
          <w:rFonts w:ascii="Times New Roman" w:cs="Times New Roman" w:eastAsia="Times New Roman" w:hAnsi="Times New Roman"/>
          <w:sz w:val="17"/>
          <w:szCs w:val="17"/>
          <w:color w:val="auto"/>
        </w:rPr>
      </w:pPr>
    </w:p>
    <w:p>
      <w:pPr>
        <w:ind w:left="1360" w:right="380" w:hanging="407"/>
        <w:spacing w:after="0" w:line="282" w:lineRule="auto"/>
        <w:tabs>
          <w:tab w:leader="none" w:pos="13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Cumulative Voting: </w:t>
      </w:r>
      <w:r>
        <w:rPr>
          <w:rFonts w:ascii="Times New Roman" w:cs="Times New Roman" w:eastAsia="Times New Roman" w:hAnsi="Times New Roman"/>
          <w:sz w:val="17"/>
          <w:szCs w:val="17"/>
          <w:color w:val="auto"/>
        </w:rPr>
        <w:t>The DGCL provides that stockholders are not entitled to the right to cumulate votes in the election of directors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unless a corporation’s certificate of incorporation provides otherwise. Our charter does not provide for cumulative voting.</w:t>
      </w:r>
    </w:p>
    <w:p>
      <w:pPr>
        <w:spacing w:after="0" w:line="60" w:lineRule="exact"/>
        <w:rPr>
          <w:rFonts w:ascii="Times New Roman" w:cs="Times New Roman" w:eastAsia="Times New Roman" w:hAnsi="Times New Roman"/>
          <w:sz w:val="17"/>
          <w:szCs w:val="17"/>
          <w:color w:val="auto"/>
        </w:rPr>
      </w:pPr>
    </w:p>
    <w:p>
      <w:pPr>
        <w:ind w:left="1360" w:right="620" w:hanging="407"/>
        <w:spacing w:after="0" w:line="282" w:lineRule="auto"/>
        <w:tabs>
          <w:tab w:leader="none" w:pos="13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Removal of Directors Only for Cause: </w:t>
      </w:r>
      <w:r>
        <w:rPr>
          <w:rFonts w:ascii="Times New Roman" w:cs="Times New Roman" w:eastAsia="Times New Roman" w:hAnsi="Times New Roman"/>
          <w:sz w:val="17"/>
          <w:szCs w:val="17"/>
          <w:color w:val="auto"/>
        </w:rPr>
        <w:t>Our charter provides that stockholders may remove directors only for cause and only by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affirmative vote of the holders of at least two-thirds of our outstanding common stock.</w:t>
      </w:r>
    </w:p>
    <w:p>
      <w:pPr>
        <w:spacing w:after="0" w:line="60" w:lineRule="exact"/>
        <w:rPr>
          <w:rFonts w:ascii="Times New Roman" w:cs="Times New Roman" w:eastAsia="Times New Roman" w:hAnsi="Times New Roman"/>
          <w:sz w:val="17"/>
          <w:szCs w:val="17"/>
          <w:color w:val="auto"/>
        </w:rPr>
      </w:pPr>
    </w:p>
    <w:p>
      <w:pPr>
        <w:ind w:left="1360" w:right="80" w:hanging="407"/>
        <w:spacing w:after="0" w:line="256" w:lineRule="auto"/>
        <w:tabs>
          <w:tab w:leader="none" w:pos="13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Exclusive Forum: </w:t>
      </w:r>
      <w:r>
        <w:rPr>
          <w:rFonts w:ascii="Times New Roman" w:cs="Times New Roman" w:eastAsia="Times New Roman" w:hAnsi="Times New Roman"/>
          <w:sz w:val="17"/>
          <w:szCs w:val="17"/>
          <w:color w:val="auto"/>
        </w:rPr>
        <w:t>Our charter provides that the Court of Chancery of the State of Delaware will be the exclusive forum for: any derivative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action or proceeding brought on our behalf; any action asserting a breach of fiduciary duty; any action asserting a claim against us arising pursuant to the DGCL, our charter or our bylaws; any action to interpret, apply, enforce or determine the validity of our charter or our bylaws; or any action asserting a claim against us that is governed by the internal affairs doctrine. We do not intend to have this choice of forum provision apply to, and this choice of forum provision will not apply to, actions arising under the Securities Act or the Exchange Act.</w:t>
      </w:r>
    </w:p>
    <w:p>
      <w:pPr>
        <w:spacing w:after="0" w:line="81" w:lineRule="exact"/>
        <w:rPr>
          <w:rFonts w:ascii="Times New Roman" w:cs="Times New Roman" w:eastAsia="Times New Roman" w:hAnsi="Times New Roman"/>
          <w:sz w:val="17"/>
          <w:szCs w:val="17"/>
          <w:color w:val="auto"/>
        </w:rPr>
      </w:pPr>
    </w:p>
    <w:p>
      <w:pPr>
        <w:ind w:left="1360" w:right="60" w:hanging="407"/>
        <w:spacing w:after="0" w:line="256" w:lineRule="auto"/>
        <w:tabs>
          <w:tab w:leader="none" w:pos="13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Delaware Business Combination Statute. </w:t>
      </w:r>
      <w:r>
        <w:rPr>
          <w:rFonts w:ascii="Times New Roman" w:cs="Times New Roman" w:eastAsia="Times New Roman" w:hAnsi="Times New Roman"/>
          <w:sz w:val="17"/>
          <w:szCs w:val="17"/>
          <w:color w:val="auto"/>
        </w:rPr>
        <w:t>We are subject to Section 203 of the DGCL, or Section 203, which prohibits a Delaware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 from engaging in business combinations with an interested stockholder. An interested stockholder is generally defined as an entity or person beneficially owning 15% or more of the outstanding voting stock of the corporation or any entity or person affiliated with or controlling or controlled by such entity or person, or the interested stockholder. Section 203 provides that an interested stockholder may not engage in business combinations with the corporation for a period of three years after the date that such stockholder became an interested stockholder, with the following exceptions:</w:t>
      </w:r>
    </w:p>
    <w:p>
      <w:pPr>
        <w:spacing w:after="0" w:line="85" w:lineRule="exact"/>
        <w:rPr>
          <w:rFonts w:ascii="Times New Roman" w:cs="Times New Roman" w:eastAsia="Times New Roman" w:hAnsi="Times New Roman"/>
          <w:sz w:val="17"/>
          <w:szCs w:val="17"/>
          <w:color w:val="auto"/>
        </w:rPr>
      </w:pPr>
    </w:p>
    <w:p>
      <w:pPr>
        <w:ind w:left="1780" w:hanging="306"/>
        <w:spacing w:after="0" w:line="277" w:lineRule="auto"/>
        <w:tabs>
          <w:tab w:leader="none" w:pos="178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before such date, the board of directors of the corporation approved either the business combination or the transaction that resulted in the stockholder becoming an interested stockholder;</w:t>
      </w:r>
    </w:p>
    <w:p>
      <w:pPr>
        <w:spacing w:after="0" w:line="69" w:lineRule="exact"/>
        <w:rPr>
          <w:rFonts w:ascii="Times New Roman" w:cs="Times New Roman" w:eastAsia="Times New Roman" w:hAnsi="Times New Roman"/>
          <w:sz w:val="17"/>
          <w:szCs w:val="17"/>
          <w:color w:val="auto"/>
        </w:rPr>
      </w:pPr>
    </w:p>
    <w:p>
      <w:pPr>
        <w:ind w:left="1780" w:right="200" w:hanging="306"/>
        <w:spacing w:after="0" w:line="276" w:lineRule="auto"/>
        <w:tabs>
          <w:tab w:leader="none" w:pos="1780" w:val="left"/>
        </w:tabs>
        <w:numPr>
          <w:ilvl w:val="1"/>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71" w:lineRule="exact"/>
        <w:rPr>
          <w:rFonts w:ascii="Times New Roman" w:cs="Times New Roman" w:eastAsia="Times New Roman" w:hAnsi="Times New Roman"/>
          <w:sz w:val="16"/>
          <w:szCs w:val="16"/>
          <w:color w:val="auto"/>
        </w:rPr>
      </w:pPr>
    </w:p>
    <w:p>
      <w:pPr>
        <w:jc w:val="both"/>
        <w:ind w:left="1780" w:right="80" w:hanging="306"/>
        <w:spacing w:after="0" w:line="263" w:lineRule="auto"/>
        <w:tabs>
          <w:tab w:leader="none" w:pos="178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 general, Section 203 defines business combinations to include the following:</w:t>
      </w:r>
    </w:p>
    <w:p>
      <w:pPr>
        <w:spacing w:after="0" w:line="122" w:lineRule="exact"/>
        <w:rPr>
          <w:sz w:val="20"/>
          <w:szCs w:val="20"/>
          <w:color w:val="auto"/>
        </w:rPr>
      </w:pPr>
    </w:p>
    <w:p>
      <w:pPr>
        <w:ind w:left="5460" w:right="3240" w:hanging="3986"/>
        <w:spacing w:after="0" w:line="449" w:lineRule="auto"/>
        <w:tabs>
          <w:tab w:leader="none" w:pos="1774"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merger or consolidation involving the corporation and the interested stockholder; S-16</w:t>
      </w:r>
    </w:p>
    <w:p>
      <w:pPr>
        <w:sectPr>
          <w:pgSz w:w="11900" w:h="16838" w:orient="portrait"/>
          <w:cols w:equalWidth="0" w:num="1">
            <w:col w:w="10800"/>
          </w:cols>
          <w:pgMar w:left="320" w:top="437" w:right="7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1780" w:right="100" w:hanging="306"/>
        <w:spacing w:after="0" w:line="277" w:lineRule="auto"/>
        <w:tabs>
          <w:tab w:leader="none" w:pos="17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lease, transfer, pledge or other disposition of 10% or more of the aggregate market value of the assets of the corporation to or with the interested stockholder;</w:t>
      </w:r>
    </w:p>
    <w:p>
      <w:pPr>
        <w:spacing w:after="0" w:line="69" w:lineRule="exact"/>
        <w:rPr>
          <w:rFonts w:ascii="Times New Roman" w:cs="Times New Roman" w:eastAsia="Times New Roman" w:hAnsi="Times New Roman"/>
          <w:sz w:val="17"/>
          <w:szCs w:val="17"/>
          <w:color w:val="auto"/>
        </w:rPr>
      </w:pPr>
    </w:p>
    <w:p>
      <w:pPr>
        <w:ind w:left="1780" w:right="20" w:hanging="306"/>
        <w:spacing w:after="0" w:line="277" w:lineRule="auto"/>
        <w:tabs>
          <w:tab w:leader="none" w:pos="17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certain exceptions, any transaction that results in the issuance or transfer by the corporation of any stock of the corporation to the interested stockholder;</w:t>
      </w:r>
    </w:p>
    <w:p>
      <w:pPr>
        <w:spacing w:after="0" w:line="69" w:lineRule="exact"/>
        <w:rPr>
          <w:rFonts w:ascii="Times New Roman" w:cs="Times New Roman" w:eastAsia="Times New Roman" w:hAnsi="Times New Roman"/>
          <w:sz w:val="17"/>
          <w:szCs w:val="17"/>
          <w:color w:val="auto"/>
        </w:rPr>
      </w:pPr>
    </w:p>
    <w:p>
      <w:pPr>
        <w:ind w:left="1780" w:hanging="306"/>
        <w:spacing w:after="0" w:line="277" w:lineRule="auto"/>
        <w:tabs>
          <w:tab w:leader="none" w:pos="17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69" w:lineRule="exact"/>
        <w:rPr>
          <w:rFonts w:ascii="Times New Roman" w:cs="Times New Roman" w:eastAsia="Times New Roman" w:hAnsi="Times New Roman"/>
          <w:sz w:val="17"/>
          <w:szCs w:val="17"/>
          <w:color w:val="auto"/>
        </w:rPr>
      </w:pPr>
    </w:p>
    <w:p>
      <w:pPr>
        <w:ind w:left="1780" w:right="220" w:hanging="306"/>
        <w:spacing w:after="0" w:line="277" w:lineRule="auto"/>
        <w:tabs>
          <w:tab w:leader="none" w:pos="17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the interested stockholder of the benefit of any loans, advances, guarantees, pledges or other financial benefits by or through the corporation.</w:t>
      </w:r>
    </w:p>
    <w:p>
      <w:pPr>
        <w:spacing w:after="0" w:line="95"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S-17</w:t>
      </w:r>
    </w:p>
    <w:p>
      <w:pPr>
        <w:sectPr>
          <w:pgSz w:w="11900" w:h="16838" w:orient="portrait"/>
          <w:cols w:equalWidth="0" w:num="1">
            <w:col w:w="10800"/>
          </w:cols>
          <w:pgMar w:left="320" w:top="437" w:right="7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7"/>
          <w:szCs w:val="17"/>
          <w:b w:val="1"/>
          <w:bCs w:val="1"/>
          <w:color w:val="auto"/>
        </w:rPr>
        <w:t>PLAN OF DISTRIBUTION</w:t>
      </w:r>
    </w:p>
    <w:p>
      <w:pPr>
        <w:spacing w:after="0" w:line="215"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7"/>
          <w:szCs w:val="17"/>
          <w:color w:val="auto"/>
        </w:rPr>
        <w:t>We have entered into a sales agreement with Jefferies relating to the sale of shares of our common stock. In accordance with the terms of the sales agreement, under this prospectus we may offer and sell shares of our common stock having an aggregate offering price of up to $75,000,000 from time to time through Jefferies, acting as our sales agent. As of the date of this prospectus, we have issued and sold shares of our common stock for aggregate gross proceeds of $11,679,045 pursuant to the sales agreement and a prior prospectus dated August 27, 2021. The below description of the material provisions of the sales agreement does not purport to be a complete statement of its terms and conditions. The sales agreement has been filed as an exhibit to our registration statement on Form S-3 of which this prospectus forms a part.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Sales of our common stock, if any, may be made in transactions that are deemed to be “at the market offerings,” as defined in Rule 415(a)</w:t>
      </w:r>
    </w:p>
    <w:p>
      <w:pPr>
        <w:spacing w:after="0" w:line="23" w:lineRule="exact"/>
        <w:rPr>
          <w:sz w:val="20"/>
          <w:szCs w:val="20"/>
          <w:color w:val="auto"/>
        </w:rPr>
      </w:pPr>
    </w:p>
    <w:p>
      <w:pPr>
        <w:ind w:left="440" w:firstLine="6"/>
        <w:spacing w:after="0" w:line="252" w:lineRule="auto"/>
        <w:tabs>
          <w:tab w:leader="none" w:pos="679"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promulgated under the Securities Act, including sales made directly on or through The Nasdaq Global Select Market, the existing trading market for our common stock. We may instruct Jefferies not to sell our common stock pursuant to the sales agreement if the sales cannot be effected at or above a price designated by us from time to time. Jefferies may purchase shares of our common stock as principal. We or Jefferies may suspend the offering of common stock upon notice and subject to other conditions.</w:t>
      </w:r>
    </w:p>
    <w:p>
      <w:pPr>
        <w:spacing w:after="0" w:line="179" w:lineRule="exact"/>
        <w:rPr>
          <w:sz w:val="20"/>
          <w:szCs w:val="20"/>
          <w:color w:val="auto"/>
        </w:rPr>
      </w:pPr>
    </w:p>
    <w:p>
      <w:pPr>
        <w:ind w:left="440" w:right="20"/>
        <w:spacing w:after="0" w:line="276" w:lineRule="auto"/>
        <w:rPr>
          <w:sz w:val="20"/>
          <w:szCs w:val="20"/>
          <w:color w:val="auto"/>
        </w:rPr>
      </w:pPr>
      <w:r>
        <w:rPr>
          <w:rFonts w:ascii="Times New Roman" w:cs="Times New Roman" w:eastAsia="Times New Roman" w:hAnsi="Times New Roman"/>
          <w:sz w:val="16"/>
          <w:szCs w:val="16"/>
          <w:color w:val="auto"/>
        </w:rPr>
        <w:t>We will pay Jefferies commissions, in cash, for its services in acting as sales agent in the sale of our common stock. Jefferies will be entitled to compensation at a fixed commission rate of up to 3% of the gross sales price per share sold pursuant to the sales agreement. Because there is no minimum offering amount required as a condition to close this offering, the actual total public offering amount, commissions and proceeds to us, if any, are not determinable at this time. We have also agreed to reimburse Jefferies for certain specified expenses. We estimate that the total expenses for the offering, excluding compensation and reimbursements payable to Jefferies under the terms of the sales agreement, will be approximately $250,000.</w:t>
      </w:r>
    </w:p>
    <w:p>
      <w:pPr>
        <w:spacing w:after="0" w:line="160"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7"/>
          <w:szCs w:val="17"/>
          <w:color w:val="auto"/>
        </w:rPr>
        <w:t>As of the date of this prospectus, settlement for sales of common stock will generally occur on the second business day that is also a trading day following the date on which any sales are made, in return for payment of the net proceeds to us. Pursuant to recent amendments to Rule 15c6-1 of the Exchange Act, settlement for any securities offered under this prospectus on or after May 28, 2024, will generally occur on the first business day that is also a trading day following the date on which any sales were made in return for payment of the net proceeds to us. Sales of our common stock as contemplated in this prospectus will be settled through the facilities of The Depository Trust Company or by such other means as we and Jefferies may agree upon. There is no arrangement for funds to be received in an escrow, trust or similar arrangement.</w:t>
      </w:r>
    </w:p>
    <w:p>
      <w:pPr>
        <w:spacing w:after="0" w:line="175" w:lineRule="exact"/>
        <w:rPr>
          <w:sz w:val="20"/>
          <w:szCs w:val="20"/>
          <w:color w:val="auto"/>
        </w:rPr>
      </w:pPr>
    </w:p>
    <w:p>
      <w:pPr>
        <w:ind w:left="440" w:right="40"/>
        <w:spacing w:after="0" w:line="256" w:lineRule="auto"/>
        <w:rPr>
          <w:sz w:val="20"/>
          <w:szCs w:val="20"/>
          <w:color w:val="auto"/>
        </w:rPr>
      </w:pPr>
      <w:r>
        <w:rPr>
          <w:rFonts w:ascii="Times New Roman" w:cs="Times New Roman" w:eastAsia="Times New Roman" w:hAnsi="Times New Roman"/>
          <w:sz w:val="17"/>
          <w:szCs w:val="17"/>
          <w:color w:val="auto"/>
        </w:rPr>
        <w:t>Jefferies will use commercially reasonable efforts, consistent with its normal sales and trading practices, to place the shares of common stock under the terms and subject to the conditions set forth in the sales agreement. In connection with the sale of the common stock on our behalf, Jefferies will be deemed to be an “underwriter” within the meaning of the Securities Act and the compensation of Jefferies will be deemed to be underwriting commissions or discounts. We have agreed to provide indemnification and contribution to Jefferies against certain civil liabilities, including liabilities under the Securities Act.</w:t>
      </w:r>
    </w:p>
    <w:p>
      <w:pPr>
        <w:spacing w:after="0" w:line="176" w:lineRule="exact"/>
        <w:rPr>
          <w:sz w:val="20"/>
          <w:szCs w:val="20"/>
          <w:color w:val="auto"/>
        </w:rPr>
      </w:pPr>
    </w:p>
    <w:p>
      <w:pPr>
        <w:ind w:left="440" w:right="40"/>
        <w:spacing w:after="0" w:line="263" w:lineRule="auto"/>
        <w:rPr>
          <w:sz w:val="20"/>
          <w:szCs w:val="20"/>
          <w:color w:val="auto"/>
        </w:rPr>
      </w:pPr>
      <w:r>
        <w:rPr>
          <w:rFonts w:ascii="Times New Roman" w:cs="Times New Roman" w:eastAsia="Times New Roman" w:hAnsi="Times New Roman"/>
          <w:sz w:val="17"/>
          <w:szCs w:val="17"/>
          <w:color w:val="auto"/>
        </w:rPr>
        <w:t>The offering of our common stock pursuant to the sales agreement will terminate upon the earliest of (1) the sale of all shares of our common stock subject to the sales agreement and (2) termination of the sales agreement as permitted therein. We and Jefferies may each terminate the sales agreement at any time by giving written notice as required by the sales agreement upon five trading days’ notice to the other party.</w:t>
      </w:r>
    </w:p>
    <w:p>
      <w:pPr>
        <w:spacing w:after="0" w:line="170" w:lineRule="exact"/>
        <w:rPr>
          <w:sz w:val="20"/>
          <w:szCs w:val="20"/>
          <w:color w:val="auto"/>
        </w:rPr>
      </w:pPr>
    </w:p>
    <w:p>
      <w:pPr>
        <w:ind w:left="440"/>
        <w:spacing w:after="0" w:line="258" w:lineRule="auto"/>
        <w:rPr>
          <w:sz w:val="20"/>
          <w:szCs w:val="20"/>
          <w:color w:val="auto"/>
        </w:rPr>
      </w:pPr>
      <w:r>
        <w:rPr>
          <w:rFonts w:ascii="Times New Roman" w:cs="Times New Roman" w:eastAsia="Times New Roman" w:hAnsi="Times New Roman"/>
          <w:sz w:val="17"/>
          <w:szCs w:val="17"/>
          <w:color w:val="auto"/>
        </w:rPr>
        <w:t>Jefferies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Jefferies and certain of its affiliates have, from time to time, performed, and may in the future perform, various commercial and investment banking and financial advisory services for us and our affiliates, for which they received or may in the future</w:t>
      </w:r>
    </w:p>
    <w:p>
      <w:pPr>
        <w:spacing w:after="0" w:line="11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S-18</w:t>
      </w:r>
    </w:p>
    <w:p>
      <w:pPr>
        <w:sectPr>
          <w:pgSz w:w="11900" w:h="16838" w:orient="portrait"/>
          <w:cols w:equalWidth="0" w:num="1">
            <w:col w:w="10720"/>
          </w:cols>
          <w:pgMar w:left="320" w:top="437" w:right="8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spacing w:after="0" w:line="277" w:lineRule="auto"/>
        <w:rPr>
          <w:sz w:val="20"/>
          <w:szCs w:val="20"/>
          <w:color w:val="auto"/>
        </w:rPr>
      </w:pPr>
      <w:r>
        <w:rPr>
          <w:rFonts w:ascii="Times New Roman" w:cs="Times New Roman" w:eastAsia="Times New Roman" w:hAnsi="Times New Roman"/>
          <w:sz w:val="17"/>
          <w:szCs w:val="17"/>
          <w:color w:val="auto"/>
        </w:rPr>
        <w:t>receive customary fees and expenses. To the extent required by Regulation M, Jefferies will not engage in any market making activities involving our common stock while the offering is ongoing under this prospectus.</w:t>
      </w:r>
    </w:p>
    <w:p>
      <w:pPr>
        <w:spacing w:after="0" w:line="158" w:lineRule="exact"/>
        <w:rPr>
          <w:sz w:val="20"/>
          <w:szCs w:val="20"/>
          <w:color w:val="auto"/>
        </w:rPr>
      </w:pPr>
    </w:p>
    <w:p>
      <w:pPr>
        <w:ind w:left="440" w:right="600"/>
        <w:spacing w:after="0" w:line="277" w:lineRule="auto"/>
        <w:rPr>
          <w:sz w:val="20"/>
          <w:szCs w:val="20"/>
          <w:color w:val="auto"/>
        </w:rPr>
      </w:pPr>
      <w:r>
        <w:rPr>
          <w:rFonts w:ascii="Times New Roman" w:cs="Times New Roman" w:eastAsia="Times New Roman" w:hAnsi="Times New Roman"/>
          <w:sz w:val="17"/>
          <w:szCs w:val="17"/>
          <w:color w:val="auto"/>
        </w:rPr>
        <w:t>This prospectus in electronic format may be made available on a website maintained by Jefferies and Jefferies may distribute this prospectus electronically.</w:t>
      </w:r>
    </w:p>
    <w:p>
      <w:pPr>
        <w:spacing w:after="0" w:line="9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7"/>
          <w:szCs w:val="17"/>
          <w:color w:val="auto"/>
        </w:rPr>
        <w:t>S-19</w:t>
      </w:r>
    </w:p>
    <w:p>
      <w:pPr>
        <w:sectPr>
          <w:pgSz w:w="11900" w:h="16838" w:orient="portrait"/>
          <w:cols w:equalWidth="0" w:num="1">
            <w:col w:w="10560"/>
          </w:cols>
          <w:pgMar w:left="320" w:top="437" w:right="10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215" w:lineRule="exact"/>
        <w:rPr>
          <w:sz w:val="20"/>
          <w:szCs w:val="20"/>
          <w:color w:val="auto"/>
        </w:rPr>
      </w:pPr>
    </w:p>
    <w:p>
      <w:pPr>
        <w:ind w:left="440" w:right="680"/>
        <w:spacing w:after="0" w:line="310" w:lineRule="auto"/>
        <w:rPr>
          <w:sz w:val="20"/>
          <w:szCs w:val="20"/>
          <w:color w:val="auto"/>
        </w:rPr>
      </w:pPr>
      <w:r>
        <w:rPr>
          <w:rFonts w:ascii="Times New Roman" w:cs="Times New Roman" w:eastAsia="Times New Roman" w:hAnsi="Times New Roman"/>
          <w:sz w:val="16"/>
          <w:szCs w:val="16"/>
          <w:color w:val="auto"/>
        </w:rPr>
        <w:t>The validity of the shares of common stock offered hereby will be passed upon for us by Wilmer Cutler Pickering Hale and Dorr LLP, Boston, Massachusetts. Davis Polk &amp; Wardwell LLP, New York, New York, is acting as counsel for Jefferies LLC in connection with this offering.</w:t>
      </w:r>
    </w:p>
    <w:p>
      <w:pPr>
        <w:spacing w:after="0" w:line="33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215" w:lineRule="exact"/>
        <w:rPr>
          <w:sz w:val="20"/>
          <w:szCs w:val="20"/>
          <w:color w:val="auto"/>
        </w:rPr>
      </w:pPr>
    </w:p>
    <w:p>
      <w:pPr>
        <w:ind w:left="440" w:right="40"/>
        <w:spacing w:after="0" w:line="263" w:lineRule="auto"/>
        <w:rPr>
          <w:sz w:val="20"/>
          <w:szCs w:val="20"/>
          <w:color w:val="auto"/>
        </w:rPr>
      </w:pPr>
      <w:r>
        <w:rPr>
          <w:rFonts w:ascii="Times New Roman" w:cs="Times New Roman" w:eastAsia="Times New Roman" w:hAnsi="Times New Roman"/>
          <w:sz w:val="17"/>
          <w:szCs w:val="17"/>
          <w:color w:val="auto"/>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36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215" w:lineRule="exact"/>
        <w:rPr>
          <w:sz w:val="20"/>
          <w:szCs w:val="20"/>
          <w:color w:val="auto"/>
        </w:rPr>
      </w:pPr>
    </w:p>
    <w:p>
      <w:pPr>
        <w:ind w:left="440" w:right="60"/>
        <w:spacing w:after="0" w:line="258"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www.solidbio.com. Our website is not a part of this prospectus and information contained on, or that can be accessed through, our website is not incorporated by reference in this prospectus.</w:t>
      </w:r>
    </w:p>
    <w:p>
      <w:pPr>
        <w:spacing w:after="0" w:line="175"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7"/>
          <w:szCs w:val="17"/>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our consolidated subsidiaries and the securities we are offering. Statements in this prospectus concerning any document we filed as an exhibit to the registration statement or that we otherwise filed with the SEC are not intended to be comprehensive and are qualified by reference to these filings and the exhibits attached thereto. You should review the complete document to evaluate these statements. You can obtain a copy of the registration statement from the SEC’s website.</w:t>
      </w:r>
    </w:p>
    <w:p>
      <w:pPr>
        <w:spacing w:after="0" w:line="11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S-20</w:t>
      </w:r>
    </w:p>
    <w:p>
      <w:pPr>
        <w:sectPr>
          <w:pgSz w:w="11900" w:h="16838" w:orient="portrait"/>
          <w:cols w:equalWidth="0" w:num="1">
            <w:col w:w="10760"/>
          </w:cols>
          <w:pgMar w:left="320" w:top="437" w:right="8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b w:val="1"/>
          <w:bCs w:val="1"/>
          <w:color w:val="auto"/>
        </w:rPr>
        <w:t>INCORPORATION BY REFERENCE</w:t>
      </w:r>
    </w:p>
    <w:p>
      <w:pPr>
        <w:spacing w:after="0" w:line="215"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7"/>
          <w:szCs w:val="17"/>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001-38360) and any future filings we make with the SEC under Sections 13(a), 13(c), 14 or 15(d) of the Exchange Act (in each case, other than those documents or the portions of those documents not deemed to be filed) between the date of the initial registration statement and the effectiveness of the registration statement and following the effectiveness of the registration statement until the offering of the securities under the registration statement is terminated or completed:</w:t>
      </w:r>
    </w:p>
    <w:p>
      <w:pPr>
        <w:spacing w:after="0" w:line="95" w:lineRule="exact"/>
        <w:rPr>
          <w:sz w:val="20"/>
          <w:szCs w:val="20"/>
          <w:color w:val="auto"/>
        </w:rPr>
      </w:pPr>
    </w:p>
    <w:p>
      <w:pPr>
        <w:ind w:left="1360" w:right="80" w:hanging="407"/>
        <w:spacing w:after="0" w:line="263" w:lineRule="auto"/>
        <w:tabs>
          <w:tab w:leader="none" w:pos="13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Annual Report on </w:t>
      </w:r>
      <w:hyperlink r:id="rId26">
        <w:r>
          <w:rPr>
            <w:rFonts w:ascii="Times New Roman" w:cs="Times New Roman" w:eastAsia="Times New Roman" w:hAnsi="Times New Roman"/>
            <w:sz w:val="17"/>
            <w:szCs w:val="17"/>
            <w:u w:val="single" w:color="auto"/>
            <w:color w:val="0000EE"/>
          </w:rPr>
          <w:t>Form 10-K</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for the fiscal year ended December 31, 2023, as filed with the SEC on March 13, 2024, including the information specifically incorporated by reference into the Annual Report on Form 10-K from our </w:t>
      </w:r>
      <w:hyperlink r:id="rId27">
        <w:r>
          <w:rPr>
            <w:rFonts w:ascii="Times New Roman" w:cs="Times New Roman" w:eastAsia="Times New Roman" w:hAnsi="Times New Roman"/>
            <w:sz w:val="17"/>
            <w:szCs w:val="17"/>
            <w:u w:val="single" w:color="auto"/>
            <w:color w:val="0000EE"/>
          </w:rPr>
          <w:t>definitive proxy statement</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2024 Annual Meeting of Stockholders, as filed with the SEC on April 26, 2024;</w:t>
      </w:r>
    </w:p>
    <w:p>
      <w:pPr>
        <w:spacing w:after="0" w:line="80"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Quarterly Report on </w:t>
      </w:r>
      <w:hyperlink r:id="rId28">
        <w:r>
          <w:rPr>
            <w:rFonts w:ascii="Times New Roman" w:cs="Times New Roman" w:eastAsia="Times New Roman" w:hAnsi="Times New Roman"/>
            <w:sz w:val="17"/>
            <w:szCs w:val="17"/>
            <w:u w:val="single" w:color="auto"/>
            <w:color w:val="0000EE"/>
          </w:rPr>
          <w:t>Form 10-Q</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for the quarterly period ended March 31, 2024, as filed with the SEC on May 15, 2024;</w:t>
      </w:r>
    </w:p>
    <w:p>
      <w:pPr>
        <w:spacing w:after="0" w:line="121" w:lineRule="exact"/>
        <w:rPr>
          <w:rFonts w:ascii="Times New Roman" w:cs="Times New Roman" w:eastAsia="Times New Roman" w:hAnsi="Times New Roman"/>
          <w:sz w:val="17"/>
          <w:szCs w:val="17"/>
          <w:color w:val="auto"/>
        </w:rPr>
      </w:pPr>
    </w:p>
    <w:p>
      <w:pPr>
        <w:ind w:left="1360" w:hanging="407"/>
        <w:spacing w:after="0"/>
        <w:tabs>
          <w:tab w:leader="none" w:pos="13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Current Report on Form 8-K as filed with the SEC on </w:t>
      </w:r>
      <w:hyperlink r:id="rId29">
        <w:r>
          <w:rPr>
            <w:rFonts w:ascii="Times New Roman" w:cs="Times New Roman" w:eastAsia="Times New Roman" w:hAnsi="Times New Roman"/>
            <w:sz w:val="17"/>
            <w:szCs w:val="17"/>
            <w:u w:val="single" w:color="auto"/>
            <w:color w:val="0000EE"/>
          </w:rPr>
          <w:t>January 8, 2024</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(except for Items 2.02 and 7.01); and</w:t>
      </w:r>
    </w:p>
    <w:p>
      <w:pPr>
        <w:spacing w:after="0" w:line="121" w:lineRule="exact"/>
        <w:rPr>
          <w:rFonts w:ascii="Times New Roman" w:cs="Times New Roman" w:eastAsia="Times New Roman" w:hAnsi="Times New Roman"/>
          <w:sz w:val="17"/>
          <w:szCs w:val="17"/>
          <w:color w:val="auto"/>
        </w:rPr>
      </w:pPr>
    </w:p>
    <w:p>
      <w:pPr>
        <w:ind w:left="1360" w:right="60" w:hanging="407"/>
        <w:spacing w:after="0" w:line="258" w:lineRule="auto"/>
        <w:tabs>
          <w:tab w:leader="none" w:pos="13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our common stock contained in our Registration Statement on </w:t>
      </w:r>
      <w:hyperlink r:id="rId30">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as filed with the SEC on January 22, 2018, as the description therein has been updated and superseded by the description of our capital stock contained in </w:t>
      </w:r>
      <w:hyperlink r:id="rId31">
        <w:r>
          <w:rPr>
            <w:rFonts w:ascii="Times New Roman" w:cs="Times New Roman" w:eastAsia="Times New Roman" w:hAnsi="Times New Roman"/>
            <w:sz w:val="17"/>
            <w:szCs w:val="17"/>
            <w:u w:val="single" w:color="auto"/>
            <w:color w:val="0000EE"/>
          </w:rPr>
          <w:t>Exhibit 4.2</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to our Annual Report on Form 10-K for the fiscal year ended December 31, 2022, as filed with the SEC on March 23, 2023, and including any amendments and reports filed for the purpose of updating such description.</w:t>
      </w:r>
    </w:p>
    <w:p>
      <w:pPr>
        <w:spacing w:after="0" w:line="175" w:lineRule="exact"/>
        <w:rPr>
          <w:rFonts w:ascii="Times New Roman" w:cs="Times New Roman" w:eastAsia="Times New Roman" w:hAnsi="Times New Roman"/>
          <w:sz w:val="17"/>
          <w:szCs w:val="17"/>
          <w:color w:val="auto"/>
        </w:rPr>
      </w:pPr>
    </w:p>
    <w:p>
      <w:pPr>
        <w:ind w:left="440"/>
        <w:spacing w:after="0"/>
        <w:rPr>
          <w:sz w:val="20"/>
          <w:szCs w:val="20"/>
          <w:color w:val="auto"/>
        </w:rPr>
      </w:pPr>
      <w:r>
        <w:rPr>
          <w:rFonts w:ascii="Times New Roman" w:cs="Times New Roman" w:eastAsia="Times New Roman" w:hAnsi="Times New Roman"/>
          <w:sz w:val="17"/>
          <w:szCs w:val="17"/>
          <w:color w:val="auto"/>
        </w:rPr>
        <w:t>You may request a copy of these filings, at no cost, by writing or calling us at the following address or telephone number:</w:t>
      </w:r>
    </w:p>
    <w:p>
      <w:pPr>
        <w:spacing w:after="0" w:line="109" w:lineRule="exact"/>
        <w:rPr>
          <w:rFonts w:ascii="Times New Roman" w:cs="Times New Roman" w:eastAsia="Times New Roman" w:hAnsi="Times New Roman"/>
          <w:sz w:val="17"/>
          <w:szCs w:val="17"/>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Solid Biosciences Inc.</w:t>
      </w:r>
    </w:p>
    <w:p>
      <w:pPr>
        <w:spacing w:after="0" w:line="23" w:lineRule="exact"/>
        <w:rPr>
          <w:rFonts w:ascii="Times New Roman" w:cs="Times New Roman" w:eastAsia="Times New Roman" w:hAnsi="Times New Roman"/>
          <w:sz w:val="17"/>
          <w:szCs w:val="17"/>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Attn: Investor Relations</w:t>
      </w:r>
    </w:p>
    <w:p>
      <w:pPr>
        <w:spacing w:after="0" w:line="8" w:lineRule="exact"/>
        <w:rPr>
          <w:rFonts w:ascii="Times New Roman" w:cs="Times New Roman" w:eastAsia="Times New Roman" w:hAnsi="Times New Roman"/>
          <w:sz w:val="17"/>
          <w:szCs w:val="17"/>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500 Rutherford Avenue, Third Floor</w:t>
      </w:r>
    </w:p>
    <w:p>
      <w:pPr>
        <w:spacing w:after="0" w:line="8" w:lineRule="exact"/>
        <w:rPr>
          <w:rFonts w:ascii="Times New Roman" w:cs="Times New Roman" w:eastAsia="Times New Roman" w:hAnsi="Times New Roman"/>
          <w:sz w:val="17"/>
          <w:szCs w:val="17"/>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Charlestown, MA 02129</w:t>
      </w:r>
    </w:p>
    <w:p>
      <w:pPr>
        <w:spacing w:after="0" w:line="8" w:lineRule="exact"/>
        <w:rPr>
          <w:rFonts w:ascii="Times New Roman" w:cs="Times New Roman" w:eastAsia="Times New Roman" w:hAnsi="Times New Roman"/>
          <w:sz w:val="17"/>
          <w:szCs w:val="17"/>
          <w:color w:val="auto"/>
        </w:rPr>
      </w:pPr>
    </w:p>
    <w:p>
      <w:pPr>
        <w:ind w:left="5460" w:right="4620" w:hanging="364"/>
        <w:spacing w:after="0" w:line="430" w:lineRule="auto"/>
        <w:tabs>
          <w:tab w:leader="none" w:pos="55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337-4680 S-21</w:t>
      </w:r>
    </w:p>
    <w:p>
      <w:pPr>
        <w:sectPr>
          <w:pgSz w:w="11900" w:h="16838" w:orient="portrait"/>
          <w:cols w:equalWidth="0" w:num="1">
            <w:col w:w="10780"/>
          </w:cols>
          <w:pgMar w:left="320" w:top="437" w:right="7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226695</wp:posOffset>
            </wp:positionV>
            <wp:extent cx="6576695"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6576695" cy="1587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275590</wp:posOffset>
            </wp:positionV>
            <wp:extent cx="65766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65766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7"/>
          <w:szCs w:val="27"/>
          <w:b w:val="1"/>
          <w:bCs w:val="1"/>
          <w:color w:val="auto"/>
        </w:rPr>
        <w:t>$75,000,000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2386330</wp:posOffset>
            </wp:positionH>
            <wp:positionV relativeFrom="paragraph">
              <wp:posOffset>325120</wp:posOffset>
            </wp:positionV>
            <wp:extent cx="2369185" cy="7416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2369185" cy="741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3739"/>
        <w:spacing w:after="0"/>
        <w:rPr>
          <w:sz w:val="20"/>
          <w:szCs w:val="20"/>
          <w:color w:val="auto"/>
        </w:rPr>
      </w:pPr>
      <w:r>
        <w:rPr>
          <w:rFonts w:ascii="Times New Roman" w:cs="Times New Roman" w:eastAsia="Times New Roman" w:hAnsi="Times New Roman"/>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977265</wp:posOffset>
            </wp:positionV>
            <wp:extent cx="13862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6">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0"/>
          <w:szCs w:val="20"/>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2878455</wp:posOffset>
            </wp:positionH>
            <wp:positionV relativeFrom="paragraph">
              <wp:posOffset>227330</wp:posOffset>
            </wp:positionV>
            <wp:extent cx="13862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7">
                      <a:extLst>
                        <a:ext uri="{28A0092B-C50C-407E-A947-70E740481C1C}"/>
                      </a:extLst>
                    </a:blip>
                    <a:srcRect/>
                    <a:stretch>
                      <a:fillRect/>
                    </a:stretch>
                  </pic:blipFill>
                  <pic:spPr bwMode="auto">
                    <a:xfrm>
                      <a:off x="0" y="0"/>
                      <a:ext cx="13862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7"/>
          <w:szCs w:val="27"/>
          <w:b w:val="1"/>
          <w:bCs w:val="1"/>
          <w:color w:val="auto"/>
        </w:rPr>
        <w:t>Jefferies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404495</wp:posOffset>
            </wp:positionV>
            <wp:extent cx="657669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8">
                      <a:extLst>
                        <a:ext uri="{28A0092B-C50C-407E-A947-70E740481C1C}"/>
                      </a:extLst>
                    </a:blip>
                    <a:srcRect/>
                    <a:stretch>
                      <a:fillRect/>
                    </a:stretch>
                  </pic:blipFill>
                  <pic:spPr bwMode="auto">
                    <a:xfrm>
                      <a:off x="0" y="0"/>
                      <a:ext cx="6576695" cy="8255"/>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469265</wp:posOffset>
            </wp:positionV>
            <wp:extent cx="6576695" cy="158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9">
                      <a:extLst>
                        <a:ext uri="{28A0092B-C50C-407E-A947-70E740481C1C}"/>
                      </a:extLst>
                    </a:blip>
                    <a:srcRect/>
                    <a:stretch>
                      <a:fillRect/>
                    </a:stretch>
                  </pic:blipFill>
                  <pic:spPr bwMode="auto">
                    <a:xfrm>
                      <a:off x="0" y="0"/>
                      <a:ext cx="6576695" cy="15875"/>
                    </a:xfrm>
                    <a:prstGeom prst="rect">
                      <a:avLst/>
                    </a:prstGeom>
                    <a:noFill/>
                  </pic:spPr>
                </pic:pic>
              </a:graphicData>
            </a:graphic>
          </wp:anchor>
        </w:drawing>
      </w:r>
    </w:p>
    <w:p>
      <w:pPr>
        <w:sectPr>
          <w:pgSz w:w="11900" w:h="16838" w:orient="portrait"/>
          <w:cols w:equalWidth="0" w:num="1">
            <w:col w:w="10139"/>
          </w:cols>
          <w:pgMar w:left="320" w:top="437"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0">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109"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Item 14. Other Expenses of Issuance and Distribution.</w:t>
      </w:r>
    </w:p>
    <w:p>
      <w:pPr>
        <w:spacing w:after="0" w:line="113" w:lineRule="exact"/>
        <w:rPr>
          <w:sz w:val="20"/>
          <w:szCs w:val="20"/>
          <w:color w:val="auto"/>
        </w:rPr>
      </w:pPr>
    </w:p>
    <w:p>
      <w:pPr>
        <w:ind w:left="440" w:right="220"/>
        <w:spacing w:after="0" w:line="277" w:lineRule="auto"/>
        <w:rPr>
          <w:sz w:val="20"/>
          <w:szCs w:val="20"/>
          <w:color w:val="auto"/>
        </w:rPr>
      </w:pPr>
      <w:r>
        <w:rPr>
          <w:rFonts w:ascii="Times New Roman" w:cs="Times New Roman" w:eastAsia="Times New Roman" w:hAnsi="Times New Roman"/>
          <w:sz w:val="17"/>
          <w:szCs w:val="17"/>
          <w:color w:val="auto"/>
        </w:rPr>
        <w:t>Set forth below are estimates (except in the case of the SEC registration fee) of the amount of fees and expenses to be incurred in connection with the issuance and distribution of the offered securities, other than underwriting discounts and commissions.</w:t>
      </w:r>
    </w:p>
    <w:p>
      <w:pPr>
        <w:spacing w:after="0" w:line="200" w:lineRule="exact"/>
        <w:rPr>
          <w:sz w:val="20"/>
          <w:szCs w:val="20"/>
          <w:color w:val="auto"/>
        </w:rPr>
      </w:pPr>
    </w:p>
    <w:tbl>
      <w:tblPr>
        <w:tblLayout w:type="fixed"/>
        <w:tblInd w:w="1680" w:type="dxa"/>
        <w:tblCellMar>
          <w:top w:w="0" w:type="dxa"/>
          <w:left w:w="0" w:type="dxa"/>
          <w:bottom w:w="0" w:type="dxa"/>
          <w:right w:w="0" w:type="dxa"/>
        </w:tblCellMar>
      </w:tblP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w w:val="96"/>
              </w:rPr>
              <w:t>16,483.83</w:t>
            </w:r>
          </w:p>
        </w:tc>
        <w:tc>
          <w:tcPr>
            <w:tcW w:w="20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Printing and engraving</w:t>
            </w:r>
          </w:p>
        </w:tc>
        <w:tc>
          <w:tcPr>
            <w:tcW w:w="1480" w:type="dxa"/>
            <w:vAlign w:val="bottom"/>
          </w:tcPr>
          <w:p>
            <w:pPr>
              <w:spacing w:after="0"/>
              <w:rPr>
                <w:sz w:val="17"/>
                <w:szCs w:val="17"/>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8"/>
              </w:rPr>
              <w:t>(1)</w:t>
            </w: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Accounting services</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3"/>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(1)</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Legal fees of registrant’s counsel</w:t>
            </w:r>
          </w:p>
        </w:tc>
        <w:tc>
          <w:tcPr>
            <w:tcW w:w="1480" w:type="dxa"/>
            <w:vAlign w:val="bottom"/>
          </w:tcPr>
          <w:p>
            <w:pPr>
              <w:spacing w:after="0"/>
              <w:rPr>
                <w:sz w:val="17"/>
                <w:szCs w:val="17"/>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8"/>
              </w:rPr>
              <w:t>(1)</w:t>
            </w: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Transfer agent’s, trustee’s and depositary’s fees and expenses</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w w:val="93"/>
              </w:rPr>
              <w:t> </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(1)</w:t>
            </w: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1480" w:type="dxa"/>
            <w:vAlign w:val="bottom"/>
          </w:tcPr>
          <w:p>
            <w:pPr>
              <w:spacing w:after="0"/>
              <w:rPr>
                <w:sz w:val="17"/>
                <w:szCs w:val="17"/>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7"/>
                <w:szCs w:val="17"/>
                <w:color w:val="auto"/>
                <w:w w:val="93"/>
              </w:rPr>
              <w:t> </w:t>
            </w:r>
          </w:p>
        </w:tc>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93"/>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78"/>
              </w:rPr>
              <w:t>(1)</w:t>
            </w:r>
          </w:p>
        </w:tc>
      </w:tr>
      <w:tr>
        <w:trPr>
          <w:trHeight w:val="203"/>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xml:space="preserve">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78"/>
              </w:rPr>
              <w:t>(1)</w:t>
            </w:r>
          </w:p>
        </w:tc>
      </w:tr>
    </w:tbl>
    <w:p>
      <w:pPr>
        <w:spacing w:after="0" w:line="212" w:lineRule="exact"/>
        <w:rPr>
          <w:sz w:val="20"/>
          <w:szCs w:val="20"/>
          <w:color w:val="auto"/>
        </w:rPr>
      </w:pPr>
    </w:p>
    <w:p>
      <w:pPr>
        <w:ind w:left="860" w:right="120" w:hanging="414"/>
        <w:spacing w:after="0" w:line="277" w:lineRule="auto"/>
        <w:tabs>
          <w:tab w:leader="none" w:pos="86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These fees and expenses are calculated based on the securities offered and the number of issuances and accordingly are not estimated at this time and will be reflected in the applicable prospectus supplement.</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Item 15. Indemnification of Directors and Officers.</w:t>
      </w:r>
    </w:p>
    <w:p>
      <w:pPr>
        <w:spacing w:after="0" w:line="113" w:lineRule="exact"/>
        <w:rPr>
          <w:sz w:val="20"/>
          <w:szCs w:val="20"/>
          <w:color w:val="auto"/>
        </w:rPr>
      </w:pPr>
    </w:p>
    <w:p>
      <w:pPr>
        <w:ind w:left="440" w:right="260"/>
        <w:spacing w:after="0" w:line="277" w:lineRule="auto"/>
        <w:rPr>
          <w:sz w:val="20"/>
          <w:szCs w:val="20"/>
          <w:color w:val="auto"/>
        </w:rPr>
      </w:pPr>
      <w:r>
        <w:rPr>
          <w:rFonts w:ascii="Times New Roman" w:cs="Times New Roman" w:eastAsia="Times New Roman" w:hAnsi="Times New Roman"/>
          <w:sz w:val="17"/>
          <w:szCs w:val="17"/>
          <w:color w:val="auto"/>
        </w:rPr>
        <w:t>The following summary is qualified in its entirety by reference to the complete Delaware General Corporation Law (“DGCL”) and our Certificate of Incorporation, as amended (the “Certificate”), and Bylaws (the “Bylaws”).</w:t>
      </w:r>
    </w:p>
    <w:p>
      <w:pPr>
        <w:spacing w:after="0" w:line="158" w:lineRule="exact"/>
        <w:rPr>
          <w:sz w:val="20"/>
          <w:szCs w:val="20"/>
          <w:color w:val="auto"/>
        </w:rPr>
      </w:pPr>
    </w:p>
    <w:p>
      <w:pPr>
        <w:ind w:left="440" w:right="20"/>
        <w:spacing w:after="0" w:line="252" w:lineRule="auto"/>
        <w:rPr>
          <w:sz w:val="20"/>
          <w:szCs w:val="20"/>
          <w:color w:val="auto"/>
        </w:rPr>
      </w:pPr>
      <w:r>
        <w:rPr>
          <w:rFonts w:ascii="Times New Roman" w:cs="Times New Roman" w:eastAsia="Times New Roman" w:hAnsi="Times New Roman"/>
          <w:sz w:val="17"/>
          <w:szCs w:val="17"/>
          <w:color w:val="auto"/>
        </w:rPr>
        <w:t xml:space="preserve">Section 145 of the DGCL provides, generally, that a corporation shall have the power to indemnify any person who was or is a party or is threatened to be made a party to any threatened, pending or completed action, suit or proceeding (except actions by or in the right of the corporation) by reason of the fact that such person is or was a director, officer, employee or agent of the corporation against all expenses,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his or her conduct was unlawful. A corporation may similarly indemnify such person for expenses actually and reasonably incurred by such person in connection with the defense or settlement of any action or suit by or in the right of the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person acted in good faith and in a manner he or she reasonably believed to be in or not opposed to the best interests of the corporation, and, in the case of claims, issues and matters as to which such person shall have been adjudged liable to the corporation,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court shall have determined, upon application, that, despite the adjudication of liability but in view of all of the circumstances of the case, such person is fairly and reasonably entitled to indemnity for such expenses which such court shall deem proper.</w:t>
      </w:r>
    </w:p>
    <w:p>
      <w:pPr>
        <w:spacing w:after="0" w:line="179" w:lineRule="exact"/>
        <w:rPr>
          <w:sz w:val="20"/>
          <w:szCs w:val="20"/>
          <w:color w:val="auto"/>
        </w:rPr>
      </w:pPr>
    </w:p>
    <w:p>
      <w:pPr>
        <w:ind w:left="440"/>
        <w:spacing w:after="0" w:line="252" w:lineRule="auto"/>
        <w:rPr>
          <w:sz w:val="20"/>
          <w:szCs w:val="20"/>
          <w:color w:val="auto"/>
        </w:rPr>
      </w:pPr>
      <w:r>
        <w:rPr>
          <w:rFonts w:ascii="Times New Roman" w:cs="Times New Roman" w:eastAsia="Times New Roman" w:hAnsi="Times New Roman"/>
          <w:sz w:val="17"/>
          <w:szCs w:val="17"/>
          <w:color w:val="auto"/>
        </w:rPr>
        <w:t xml:space="preserve">Section 102(b)(7) of the DGCL provides, generally, that a corporation’s certificate of incorporation may contain a provision eliminating or limiting the personal liability of a director or officer to the corporation or its stockholders for monetary damages for breach of fiduciary duty as a director or officer,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provision may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or (v) an officer in any action by or in the right of the corporation. No such provision may eliminate or limit the liability of a director or officer for any act or omission occurring prior to the date when such provision became effective. Our Certificate provides, to the fullest extent permitted by the DGCL, that no director shall be personally liable to us or our stockholders for monetary damages arising from a breach of fiduciary duty as a director.</w:t>
      </w:r>
    </w:p>
    <w:p>
      <w:pPr>
        <w:spacing w:after="0" w:line="12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7"/>
          <w:szCs w:val="17"/>
          <w:color w:val="auto"/>
        </w:rPr>
        <w:t>II-1</w:t>
      </w:r>
    </w:p>
    <w:p>
      <w:pPr>
        <w:sectPr>
          <w:pgSz w:w="11900" w:h="16838" w:orient="portrait"/>
          <w:cols w:equalWidth="0" w:num="1">
            <w:col w:w="10780"/>
          </w:cols>
          <w:pgMar w:left="320" w:top="437" w:right="7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1">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right="20"/>
        <w:spacing w:after="0" w:line="251" w:lineRule="auto"/>
        <w:rPr>
          <w:sz w:val="20"/>
          <w:szCs w:val="20"/>
          <w:color w:val="auto"/>
        </w:rPr>
      </w:pPr>
      <w:r>
        <w:rPr>
          <w:rFonts w:ascii="Times New Roman" w:cs="Times New Roman" w:eastAsia="Times New Roman" w:hAnsi="Times New Roman"/>
          <w:sz w:val="17"/>
          <w:szCs w:val="17"/>
          <w:color w:val="auto"/>
        </w:rPr>
        <w:t>Our Certificate and Bylaws provide for the indemnification of our directors and officers to the fullest extent permitted under the DGCL. As permitted by the DGCL, we have also entered into and expect to continue to enter into agreements to indemnify our directors, executive officers and other employees as determined by our board of directors. Under the terms of our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the company or any of its subsidiaries or was serving at our request in an official capacity for another entity. We must indemnify our officers and directors against (1) attorneys’ fees and (2) all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set forth certain procedures that will apply in the event of a claim for indemnification thereunder. These indemnification provisions and the indemnification agreements may be sufficiently broad to permit indemnification of our officers and directors for liabilities, including reimbursement of expenses incurred, arising under the Securities Act.</w:t>
      </w:r>
    </w:p>
    <w:p>
      <w:pPr>
        <w:spacing w:after="0" w:line="187" w:lineRule="exact"/>
        <w:rPr>
          <w:sz w:val="20"/>
          <w:szCs w:val="20"/>
          <w:color w:val="auto"/>
        </w:rPr>
      </w:pPr>
    </w:p>
    <w:p>
      <w:pPr>
        <w:ind w:left="440" w:right="200"/>
        <w:spacing w:after="0" w:line="277" w:lineRule="auto"/>
        <w:rPr>
          <w:sz w:val="20"/>
          <w:szCs w:val="20"/>
          <w:color w:val="auto"/>
        </w:rPr>
      </w:pPr>
      <w:r>
        <w:rPr>
          <w:rFonts w:ascii="Times New Roman" w:cs="Times New Roman" w:eastAsia="Times New Roman" w:hAnsi="Times New Roman"/>
          <w:sz w:val="17"/>
          <w:szCs w:val="17"/>
          <w:color w:val="auto"/>
        </w:rPr>
        <w:t>In addition, we have purchased a policy of directors’ and officers’ liability insurance that insures our directors and officers against the cost of defense, settlement or payment of a judgment in some circumstances.</w:t>
      </w:r>
    </w:p>
    <w:p>
      <w:pPr>
        <w:spacing w:after="0" w:line="2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Item 16. Exhibits.</w:t>
      </w:r>
    </w:p>
    <w:p>
      <w:pPr>
        <w:spacing w:after="0" w:line="232" w:lineRule="exact"/>
        <w:rPr>
          <w:sz w:val="20"/>
          <w:szCs w:val="20"/>
          <w:color w:val="auto"/>
        </w:rPr>
      </w:pPr>
    </w:p>
    <w:tbl>
      <w:tblPr>
        <w:tblLayout w:type="fixed"/>
        <w:tblInd w:w="440" w:type="dxa"/>
        <w:tblCellMar>
          <w:top w:w="0" w:type="dxa"/>
          <w:left w:w="0" w:type="dxa"/>
          <w:bottom w:w="0" w:type="dxa"/>
          <w:right w:w="0" w:type="dxa"/>
        </w:tblCellMar>
      </w:tblPr>
      <w:tr>
        <w:trPr>
          <w:trHeight w:val="177"/>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Exhibit No.</w:t>
            </w:r>
          </w:p>
        </w:tc>
        <w:tc>
          <w:tcPr>
            <w:tcW w:w="70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180" w:type="dxa"/>
            <w:vAlign w:val="bottom"/>
            <w:tcBorders>
              <w:bottom w:val="single" w:sz="8" w:color="auto"/>
            </w:tcBorders>
            <w:gridSpan w:val="9"/>
          </w:tcPr>
          <w:p>
            <w:pPr>
              <w:ind w:left="3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84"/>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    1.1*</w:t>
            </w:r>
          </w:p>
        </w:tc>
        <w:tc>
          <w:tcPr>
            <w:tcW w:w="700" w:type="dxa"/>
            <w:vAlign w:val="bottom"/>
          </w:tcPr>
          <w:p>
            <w:pPr>
              <w:spacing w:after="0"/>
              <w:rPr>
                <w:sz w:val="24"/>
                <w:szCs w:val="24"/>
                <w:color w:val="auto"/>
              </w:rPr>
            </w:pPr>
          </w:p>
        </w:tc>
        <w:tc>
          <w:tcPr>
            <w:tcW w:w="898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Form of Underwriting Agreement</w:t>
            </w:r>
          </w:p>
        </w:tc>
      </w:tr>
      <w:tr>
        <w:trPr>
          <w:trHeight w:val="267"/>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    1.2</w:t>
            </w:r>
          </w:p>
        </w:tc>
        <w:tc>
          <w:tcPr>
            <w:tcW w:w="700" w:type="dxa"/>
            <w:vAlign w:val="bottom"/>
          </w:tcPr>
          <w:p>
            <w:pPr>
              <w:spacing w:after="0"/>
              <w:rPr>
                <w:sz w:val="23"/>
                <w:szCs w:val="23"/>
                <w:color w:val="auto"/>
              </w:rPr>
            </w:pPr>
          </w:p>
        </w:tc>
        <w:tc>
          <w:tcPr>
            <w:tcW w:w="8960" w:type="dxa"/>
            <w:vAlign w:val="bottom"/>
            <w:tcBorders>
              <w:bottom w:val="single" w:sz="8" w:color="0000EE"/>
            </w:tcBorders>
            <w:gridSpan w:val="16"/>
          </w:tcPr>
          <w:p>
            <w:pPr>
              <w:spacing w:after="0"/>
              <w:rPr>
                <w:rFonts w:ascii="Times New Roman" w:cs="Times New Roman" w:eastAsia="Times New Roman" w:hAnsi="Times New Roman"/>
                <w:sz w:val="17"/>
                <w:szCs w:val="17"/>
                <w:color w:val="0000EE"/>
              </w:rPr>
            </w:pPr>
            <w:hyperlink r:id="rId112">
              <w:r>
                <w:rPr>
                  <w:rFonts w:ascii="Times New Roman" w:cs="Times New Roman" w:eastAsia="Times New Roman" w:hAnsi="Times New Roman"/>
                  <w:sz w:val="17"/>
                  <w:szCs w:val="17"/>
                  <w:color w:val="0000EE"/>
                </w:rPr>
                <w:t>Amended and Restated Sales Agreement, dated March 13, 2024, by and between the Registrant and Jefferies LLC (incorporated by</w:t>
              </w:r>
            </w:hyperlink>
          </w:p>
        </w:tc>
        <w:tc>
          <w:tcPr>
            <w:tcW w:w="20" w:type="dxa"/>
            <w:vAlign w:val="bottom"/>
          </w:tcPr>
          <w:p>
            <w:pPr>
              <w:spacing w:after="0"/>
              <w:rPr>
                <w:sz w:val="23"/>
                <w:szCs w:val="23"/>
                <w:color w:val="auto"/>
              </w:rPr>
            </w:pPr>
          </w:p>
        </w:tc>
      </w:tr>
      <w:tr>
        <w:trPr>
          <w:trHeight w:val="183"/>
        </w:trPr>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780" w:type="dxa"/>
            <w:vAlign w:val="bottom"/>
            <w:tcBorders>
              <w:bottom w:val="single" w:sz="8" w:color="0000EE"/>
            </w:tcBorders>
            <w:gridSpan w:val="10"/>
          </w:tcPr>
          <w:p>
            <w:pPr>
              <w:spacing w:after="0" w:line="183" w:lineRule="exact"/>
              <w:rPr>
                <w:rFonts w:ascii="Times New Roman" w:cs="Times New Roman" w:eastAsia="Times New Roman" w:hAnsi="Times New Roman"/>
                <w:sz w:val="17"/>
                <w:szCs w:val="17"/>
                <w:color w:val="0000EE"/>
                <w:w w:val="99"/>
              </w:rPr>
            </w:pPr>
            <w:hyperlink r:id="rId112">
              <w:r>
                <w:rPr>
                  <w:rFonts w:ascii="Times New Roman" w:cs="Times New Roman" w:eastAsia="Times New Roman" w:hAnsi="Times New Roman"/>
                  <w:sz w:val="17"/>
                  <w:szCs w:val="17"/>
                  <w:color w:val="0000EE"/>
                  <w:w w:val="99"/>
                </w:rPr>
                <w:t>reference to Exhibit 10.30 to the Registrant’s Annual Report on Form 10-K filed with the SEC on March 13, 2024)</w:t>
              </w:r>
            </w:hyperlink>
          </w:p>
        </w:tc>
        <w:tc>
          <w:tcPr>
            <w:tcW w:w="1200" w:type="dxa"/>
            <w:vAlign w:val="bottom"/>
            <w:gridSpan w:val="7"/>
          </w:tcPr>
          <w:p>
            <w:pPr>
              <w:spacing w:after="0"/>
              <w:rPr>
                <w:sz w:val="15"/>
                <w:szCs w:val="15"/>
                <w:color w:val="auto"/>
              </w:rPr>
            </w:pPr>
          </w:p>
        </w:tc>
      </w:tr>
      <w:tr>
        <w:trPr>
          <w:trHeight w:val="28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    2.1</w:t>
            </w:r>
          </w:p>
        </w:tc>
        <w:tc>
          <w:tcPr>
            <w:tcW w:w="700" w:type="dxa"/>
            <w:vAlign w:val="bottom"/>
          </w:tcPr>
          <w:p>
            <w:pPr>
              <w:spacing w:after="0"/>
              <w:rPr>
                <w:sz w:val="24"/>
                <w:szCs w:val="24"/>
                <w:color w:val="auto"/>
              </w:rPr>
            </w:pPr>
          </w:p>
        </w:tc>
        <w:tc>
          <w:tcPr>
            <w:tcW w:w="8380" w:type="dxa"/>
            <w:vAlign w:val="bottom"/>
            <w:tcBorders>
              <w:bottom w:val="single" w:sz="8" w:color="0000EE"/>
            </w:tcBorders>
            <w:gridSpan w:val="11"/>
          </w:tcPr>
          <w:p>
            <w:pPr>
              <w:spacing w:after="0"/>
              <w:rPr>
                <w:rFonts w:ascii="Times New Roman" w:cs="Times New Roman" w:eastAsia="Times New Roman" w:hAnsi="Times New Roman"/>
                <w:sz w:val="17"/>
                <w:szCs w:val="17"/>
                <w:color w:val="0000EE"/>
                <w:w w:val="99"/>
              </w:rPr>
            </w:pPr>
            <w:hyperlink r:id="rId113">
              <w:r>
                <w:rPr>
                  <w:rFonts w:ascii="Times New Roman" w:cs="Times New Roman" w:eastAsia="Times New Roman" w:hAnsi="Times New Roman"/>
                  <w:sz w:val="17"/>
                  <w:szCs w:val="17"/>
                  <w:color w:val="0000EE"/>
                  <w:w w:val="99"/>
                </w:rPr>
                <w:t>Agreement and Plan of Merger, dated as of September 29, 2022, by and among the Registrant, Greenland Merger Sub LLC,</w:t>
              </w:r>
            </w:hyperlink>
          </w:p>
        </w:tc>
        <w:tc>
          <w:tcPr>
            <w:tcW w:w="600" w:type="dxa"/>
            <w:vAlign w:val="bottom"/>
            <w:gridSpan w:val="6"/>
          </w:tcPr>
          <w:p>
            <w:pPr>
              <w:spacing w:after="0"/>
              <w:rPr>
                <w:sz w:val="24"/>
                <w:szCs w:val="24"/>
                <w:color w:val="auto"/>
              </w:rPr>
            </w:pPr>
          </w:p>
        </w:tc>
      </w:tr>
      <w:tr>
        <w:trPr>
          <w:trHeight w:val="183"/>
        </w:trPr>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940" w:type="dxa"/>
            <w:vAlign w:val="bottom"/>
            <w:tcBorders>
              <w:bottom w:val="single" w:sz="8" w:color="0000EE"/>
            </w:tcBorders>
            <w:gridSpan w:val="15"/>
          </w:tcPr>
          <w:p>
            <w:pPr>
              <w:spacing w:after="0" w:line="183" w:lineRule="exact"/>
              <w:rPr>
                <w:rFonts w:ascii="Times New Roman" w:cs="Times New Roman" w:eastAsia="Times New Roman" w:hAnsi="Times New Roman"/>
                <w:sz w:val="17"/>
                <w:szCs w:val="17"/>
                <w:color w:val="0000EE"/>
                <w:w w:val="99"/>
              </w:rPr>
            </w:pPr>
            <w:hyperlink r:id="rId113">
              <w:r>
                <w:rPr>
                  <w:rFonts w:ascii="Times New Roman" w:cs="Times New Roman" w:eastAsia="Times New Roman" w:hAnsi="Times New Roman"/>
                  <w:sz w:val="17"/>
                  <w:szCs w:val="17"/>
                  <w:color w:val="0000EE"/>
                  <w:w w:val="99"/>
                </w:rPr>
                <w:t>AavantiBio, Inc. and, solely in his capacity as the Equityholder Representative, Doug Swirsky (incorporated by reference to Exhibit</w:t>
              </w:r>
            </w:hyperlink>
          </w:p>
        </w:tc>
        <w:tc>
          <w:tcPr>
            <w:tcW w:w="40" w:type="dxa"/>
            <w:vAlign w:val="bottom"/>
            <w:gridSpan w:val="2"/>
          </w:tcPr>
          <w:p>
            <w:pPr>
              <w:spacing w:after="0"/>
              <w:rPr>
                <w:sz w:val="15"/>
                <w:szCs w:val="15"/>
                <w:color w:val="auto"/>
              </w:rPr>
            </w:pPr>
          </w:p>
        </w:tc>
      </w:tr>
      <w:tr>
        <w:trPr>
          <w:trHeight w:val="183"/>
        </w:trPr>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40" w:type="dxa"/>
            <w:vAlign w:val="bottom"/>
            <w:tcBorders>
              <w:bottom w:val="single" w:sz="8" w:color="0000EE"/>
            </w:tcBorders>
            <w:gridSpan w:val="9"/>
          </w:tcPr>
          <w:p>
            <w:pPr>
              <w:spacing w:after="0" w:line="183" w:lineRule="exact"/>
              <w:rPr>
                <w:rFonts w:ascii="Times New Roman" w:cs="Times New Roman" w:eastAsia="Times New Roman" w:hAnsi="Times New Roman"/>
                <w:sz w:val="17"/>
                <w:szCs w:val="17"/>
                <w:color w:val="0000EE"/>
                <w:w w:val="99"/>
              </w:rPr>
            </w:pPr>
            <w:hyperlink r:id="rId113">
              <w:r>
                <w:rPr>
                  <w:rFonts w:ascii="Times New Roman" w:cs="Times New Roman" w:eastAsia="Times New Roman" w:hAnsi="Times New Roman"/>
                  <w:sz w:val="17"/>
                  <w:szCs w:val="17"/>
                  <w:color w:val="0000EE"/>
                  <w:w w:val="99"/>
                </w:rPr>
                <w:t>2.</w:t>
              </w:r>
              <w:r>
                <w:rPr>
                  <w:rFonts w:ascii="Times New Roman" w:cs="Times New Roman" w:eastAsia="Times New Roman" w:hAnsi="Times New Roman"/>
                  <w:sz w:val="17"/>
                  <w:szCs w:val="17"/>
                  <w:u w:val="single" w:color="auto"/>
                  <w:color w:val="0000EE"/>
                  <w:w w:val="99"/>
                </w:rPr>
                <w:t>1</w:t>
              </w:r>
              <w:r>
                <w:rPr>
                  <w:rFonts w:ascii="Times New Roman" w:cs="Times New Roman" w:eastAsia="Times New Roman" w:hAnsi="Times New Roman"/>
                  <w:sz w:val="17"/>
                  <w:szCs w:val="17"/>
                  <w:color w:val="0000EE"/>
                  <w:w w:val="99"/>
                </w:rPr>
                <w:t xml:space="preserve"> to the Registrant’s Current Report on Form 8-K filed with the SEC on September 30, 2022)</w:t>
              </w:r>
            </w:hyperlink>
          </w:p>
        </w:tc>
        <w:tc>
          <w:tcPr>
            <w:tcW w:w="2540" w:type="dxa"/>
            <w:vAlign w:val="bottom"/>
            <w:gridSpan w:val="8"/>
          </w:tcPr>
          <w:p>
            <w:pPr>
              <w:spacing w:after="0"/>
              <w:rPr>
                <w:sz w:val="15"/>
                <w:szCs w:val="15"/>
                <w:color w:val="auto"/>
              </w:rPr>
            </w:pPr>
          </w:p>
        </w:tc>
      </w:tr>
      <w:tr>
        <w:trPr>
          <w:trHeight w:val="28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    4.1</w:t>
            </w:r>
          </w:p>
        </w:tc>
        <w:tc>
          <w:tcPr>
            <w:tcW w:w="700" w:type="dxa"/>
            <w:vAlign w:val="bottom"/>
          </w:tcPr>
          <w:p>
            <w:pPr>
              <w:spacing w:after="0"/>
              <w:rPr>
                <w:sz w:val="24"/>
                <w:szCs w:val="24"/>
                <w:color w:val="auto"/>
              </w:rPr>
            </w:pPr>
          </w:p>
        </w:tc>
        <w:tc>
          <w:tcPr>
            <w:tcW w:w="8860" w:type="dxa"/>
            <w:vAlign w:val="bottom"/>
            <w:tcBorders>
              <w:bottom w:val="single" w:sz="8" w:color="0000EE"/>
            </w:tcBorders>
            <w:gridSpan w:val="13"/>
          </w:tcPr>
          <w:p>
            <w:pPr>
              <w:spacing w:after="0"/>
              <w:rPr>
                <w:rFonts w:ascii="Times New Roman" w:cs="Times New Roman" w:eastAsia="Times New Roman" w:hAnsi="Times New Roman"/>
                <w:sz w:val="17"/>
                <w:szCs w:val="17"/>
                <w:color w:val="0000EE"/>
                <w:w w:val="99"/>
              </w:rPr>
            </w:pPr>
            <w:hyperlink r:id="rId114">
              <w:r>
                <w:rPr>
                  <w:rFonts w:ascii="Times New Roman" w:cs="Times New Roman" w:eastAsia="Times New Roman" w:hAnsi="Times New Roman"/>
                  <w:sz w:val="17"/>
                  <w:szCs w:val="17"/>
                  <w:color w:val="0000EE"/>
                  <w:w w:val="99"/>
                </w:rPr>
                <w:t>Certificate of Incorporation of the Registrant, as amended (incorporated by reference to Exhibit 4.1 to the Registrant’s Registration</w:t>
              </w:r>
            </w:hyperlink>
          </w:p>
        </w:tc>
        <w:tc>
          <w:tcPr>
            <w:tcW w:w="120" w:type="dxa"/>
            <w:vAlign w:val="bottom"/>
            <w:gridSpan w:val="4"/>
          </w:tcPr>
          <w:p>
            <w:pPr>
              <w:spacing w:after="0"/>
              <w:rPr>
                <w:sz w:val="24"/>
                <w:szCs w:val="24"/>
                <w:color w:val="auto"/>
              </w:rPr>
            </w:pPr>
          </w:p>
        </w:tc>
      </w:tr>
      <w:tr>
        <w:trPr>
          <w:trHeight w:val="183"/>
        </w:trPr>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80" w:type="dxa"/>
            <w:vAlign w:val="bottom"/>
            <w:tcBorders>
              <w:bottom w:val="single" w:sz="8" w:color="0000EE"/>
            </w:tcBorders>
            <w:gridSpan w:val="7"/>
          </w:tcPr>
          <w:p>
            <w:pPr>
              <w:spacing w:after="0" w:line="183" w:lineRule="exact"/>
              <w:rPr>
                <w:rFonts w:ascii="Times New Roman" w:cs="Times New Roman" w:eastAsia="Times New Roman" w:hAnsi="Times New Roman"/>
                <w:sz w:val="17"/>
                <w:szCs w:val="17"/>
                <w:color w:val="0000EE"/>
                <w:w w:val="98"/>
              </w:rPr>
            </w:pPr>
            <w:hyperlink r:id="rId114">
              <w:r>
                <w:rPr>
                  <w:rFonts w:ascii="Times New Roman" w:cs="Times New Roman" w:eastAsia="Times New Roman" w:hAnsi="Times New Roman"/>
                  <w:sz w:val="17"/>
                  <w:szCs w:val="17"/>
                  <w:color w:val="0000EE"/>
                  <w:w w:val="98"/>
                </w:rPr>
                <w:t>Statement on Form S-8 filed on December 2, 2022)</w:t>
              </w:r>
            </w:hyperlink>
          </w:p>
        </w:tc>
        <w:tc>
          <w:tcPr>
            <w:tcW w:w="5500" w:type="dxa"/>
            <w:vAlign w:val="bottom"/>
            <w:gridSpan w:val="10"/>
          </w:tcPr>
          <w:p>
            <w:pPr>
              <w:spacing w:after="0"/>
              <w:rPr>
                <w:sz w:val="15"/>
                <w:szCs w:val="15"/>
                <w:color w:val="auto"/>
              </w:rPr>
            </w:pPr>
          </w:p>
        </w:tc>
      </w:tr>
      <w:tr>
        <w:trPr>
          <w:trHeight w:val="28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    4.2</w:t>
            </w:r>
          </w:p>
        </w:tc>
        <w:tc>
          <w:tcPr>
            <w:tcW w:w="700" w:type="dxa"/>
            <w:vAlign w:val="bottom"/>
          </w:tcPr>
          <w:p>
            <w:pPr>
              <w:spacing w:after="0"/>
              <w:rPr>
                <w:sz w:val="24"/>
                <w:szCs w:val="24"/>
                <w:color w:val="auto"/>
              </w:rPr>
            </w:pPr>
          </w:p>
        </w:tc>
        <w:tc>
          <w:tcPr>
            <w:tcW w:w="8980" w:type="dxa"/>
            <w:vAlign w:val="bottom"/>
            <w:gridSpan w:val="17"/>
          </w:tcPr>
          <w:p>
            <w:pPr>
              <w:spacing w:after="0"/>
              <w:rPr>
                <w:rFonts w:ascii="Times New Roman" w:cs="Times New Roman" w:eastAsia="Times New Roman" w:hAnsi="Times New Roman"/>
                <w:sz w:val="17"/>
                <w:szCs w:val="17"/>
                <w:color w:val="0000EE"/>
              </w:rPr>
            </w:pPr>
            <w:hyperlink r:id="rId115">
              <w:r>
                <w:rPr>
                  <w:rFonts w:ascii="Times New Roman" w:cs="Times New Roman" w:eastAsia="Times New Roman" w:hAnsi="Times New Roman"/>
                  <w:sz w:val="17"/>
                  <w:szCs w:val="17"/>
                  <w:color w:val="0000EE"/>
                </w:rPr>
                <w:t>Bylaws of the Registrant (incorporated by reference to Exhibit 4.2 to the Registrant’s Registration Statement on Form S-8 filed on</w:t>
              </w:r>
            </w:hyperlink>
          </w:p>
        </w:tc>
      </w:tr>
      <w:tr>
        <w:trPr>
          <w:trHeight w:val="183"/>
        </w:trPr>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20" w:type="dxa"/>
            <w:vAlign w:val="bottom"/>
            <w:tcBorders>
              <w:top w:val="single" w:sz="8" w:color="0000EE"/>
              <w:bottom w:val="single" w:sz="8" w:color="0000EE"/>
            </w:tcBorders>
          </w:tcPr>
          <w:p>
            <w:pPr>
              <w:spacing w:after="0" w:line="183" w:lineRule="exact"/>
              <w:rPr>
                <w:rFonts w:ascii="Times New Roman" w:cs="Times New Roman" w:eastAsia="Times New Roman" w:hAnsi="Times New Roman"/>
                <w:sz w:val="17"/>
                <w:szCs w:val="17"/>
                <w:color w:val="0000EE"/>
                <w:w w:val="98"/>
              </w:rPr>
            </w:pPr>
            <w:hyperlink r:id="rId115">
              <w:r>
                <w:rPr>
                  <w:rFonts w:ascii="Times New Roman" w:cs="Times New Roman" w:eastAsia="Times New Roman" w:hAnsi="Times New Roman"/>
                  <w:sz w:val="17"/>
                  <w:szCs w:val="17"/>
                  <w:color w:val="0000EE"/>
                  <w:w w:val="98"/>
                </w:rPr>
                <w:t>January 29, 2018)</w:t>
              </w:r>
            </w:hyperlink>
          </w:p>
        </w:tc>
        <w:tc>
          <w:tcPr>
            <w:tcW w:w="7620" w:type="dxa"/>
            <w:vAlign w:val="bottom"/>
            <w:tcBorders>
              <w:top w:val="single" w:sz="8" w:color="0000EE"/>
            </w:tcBorders>
            <w:gridSpan w:val="11"/>
          </w:tcPr>
          <w:p>
            <w:pPr>
              <w:spacing w:after="0"/>
              <w:rPr>
                <w:sz w:val="15"/>
                <w:szCs w:val="15"/>
                <w:color w:val="auto"/>
              </w:rPr>
            </w:pPr>
          </w:p>
        </w:tc>
        <w:tc>
          <w:tcPr>
            <w:tcW w:w="140" w:type="dxa"/>
            <w:vAlign w:val="bottom"/>
            <w:gridSpan w:val="5"/>
          </w:tcPr>
          <w:p>
            <w:pPr>
              <w:spacing w:after="0"/>
              <w:rPr>
                <w:sz w:val="15"/>
                <w:szCs w:val="15"/>
                <w:color w:val="auto"/>
              </w:rPr>
            </w:pPr>
          </w:p>
        </w:tc>
      </w:tr>
      <w:tr>
        <w:trPr>
          <w:trHeight w:val="28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    4.3</w:t>
            </w:r>
          </w:p>
        </w:tc>
        <w:tc>
          <w:tcPr>
            <w:tcW w:w="700" w:type="dxa"/>
            <w:vAlign w:val="bottom"/>
          </w:tcPr>
          <w:p>
            <w:pPr>
              <w:spacing w:after="0"/>
              <w:rPr>
                <w:sz w:val="24"/>
                <w:szCs w:val="24"/>
                <w:color w:val="auto"/>
              </w:rPr>
            </w:pPr>
          </w:p>
        </w:tc>
        <w:tc>
          <w:tcPr>
            <w:tcW w:w="8980" w:type="dxa"/>
            <w:vAlign w:val="bottom"/>
            <w:gridSpan w:val="17"/>
          </w:tcPr>
          <w:p>
            <w:pPr>
              <w:spacing w:after="0"/>
              <w:rPr>
                <w:rFonts w:ascii="Times New Roman" w:cs="Times New Roman" w:eastAsia="Times New Roman" w:hAnsi="Times New Roman"/>
                <w:sz w:val="17"/>
                <w:szCs w:val="17"/>
                <w:color w:val="0000EE"/>
              </w:rPr>
            </w:pPr>
            <w:hyperlink r:id="rId116">
              <w:r>
                <w:rPr>
                  <w:rFonts w:ascii="Times New Roman" w:cs="Times New Roman" w:eastAsia="Times New Roman" w:hAnsi="Times New Roman"/>
                  <w:sz w:val="17"/>
                  <w:szCs w:val="17"/>
                  <w:color w:val="0000EE"/>
                </w:rPr>
                <w:t>Form of Common Stock Certificate (incorporated by reference to Exhibit 4.1 to the Registrant’s Registration Statement on Form S-</w:t>
              </w:r>
            </w:hyperlink>
          </w:p>
        </w:tc>
      </w:tr>
      <w:tr>
        <w:trPr>
          <w:trHeight w:val="183"/>
        </w:trPr>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80" w:type="dxa"/>
            <w:vAlign w:val="bottom"/>
            <w:tcBorders>
              <w:top w:val="single" w:sz="8" w:color="0000EE"/>
              <w:bottom w:val="single" w:sz="8" w:color="0000EE"/>
            </w:tcBorders>
            <w:gridSpan w:val="5"/>
          </w:tcPr>
          <w:p>
            <w:pPr>
              <w:spacing w:after="0" w:line="183" w:lineRule="exact"/>
              <w:rPr>
                <w:rFonts w:ascii="Times New Roman" w:cs="Times New Roman" w:eastAsia="Times New Roman" w:hAnsi="Times New Roman"/>
                <w:sz w:val="17"/>
                <w:szCs w:val="17"/>
                <w:color w:val="0000EE"/>
                <w:w w:val="98"/>
              </w:rPr>
            </w:pPr>
            <w:hyperlink r:id="rId116">
              <w:r>
                <w:rPr>
                  <w:rFonts w:ascii="Times New Roman" w:cs="Times New Roman" w:eastAsia="Times New Roman" w:hAnsi="Times New Roman"/>
                  <w:sz w:val="17"/>
                  <w:szCs w:val="17"/>
                  <w:color w:val="0000EE"/>
                  <w:w w:val="98"/>
                </w:rPr>
                <w:t>1 filed on December 29, 2017)</w:t>
              </w:r>
            </w:hyperlink>
          </w:p>
        </w:tc>
        <w:tc>
          <w:tcPr>
            <w:tcW w:w="6840" w:type="dxa"/>
            <w:vAlign w:val="bottom"/>
            <w:tcBorders>
              <w:top w:val="single" w:sz="8" w:color="0000EE"/>
            </w:tcBorders>
            <w:gridSpan w:val="9"/>
          </w:tcPr>
          <w:p>
            <w:pPr>
              <w:spacing w:after="0"/>
              <w:rPr>
                <w:sz w:val="15"/>
                <w:szCs w:val="15"/>
                <w:color w:val="auto"/>
              </w:rPr>
            </w:pPr>
          </w:p>
        </w:tc>
        <w:tc>
          <w:tcPr>
            <w:tcW w:w="60" w:type="dxa"/>
            <w:vAlign w:val="bottom"/>
            <w:gridSpan w:val="3"/>
          </w:tcPr>
          <w:p>
            <w:pPr>
              <w:spacing w:after="0"/>
              <w:rPr>
                <w:sz w:val="15"/>
                <w:szCs w:val="15"/>
                <w:color w:val="auto"/>
              </w:rPr>
            </w:pPr>
          </w:p>
        </w:tc>
      </w:tr>
      <w:tr>
        <w:trPr>
          <w:trHeight w:val="28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w w:val="96"/>
              </w:rPr>
              <w:t>    4.4***</w:t>
            </w:r>
          </w:p>
        </w:tc>
        <w:tc>
          <w:tcPr>
            <w:tcW w:w="700" w:type="dxa"/>
            <w:vAlign w:val="bottom"/>
          </w:tcPr>
          <w:p>
            <w:pPr>
              <w:spacing w:after="0"/>
              <w:rPr>
                <w:sz w:val="24"/>
                <w:szCs w:val="24"/>
                <w:color w:val="auto"/>
              </w:rPr>
            </w:pPr>
          </w:p>
        </w:tc>
        <w:tc>
          <w:tcPr>
            <w:tcW w:w="8980" w:type="dxa"/>
            <w:vAlign w:val="bottom"/>
            <w:gridSpan w:val="17"/>
          </w:tcPr>
          <w:p>
            <w:pPr>
              <w:spacing w:after="0"/>
              <w:rPr>
                <w:rFonts w:ascii="Times New Roman" w:cs="Times New Roman" w:eastAsia="Times New Roman" w:hAnsi="Times New Roman"/>
                <w:sz w:val="17"/>
                <w:szCs w:val="17"/>
                <w:color w:val="0000EE"/>
              </w:rPr>
            </w:pPr>
            <w:hyperlink r:id="rId117">
              <w:r>
                <w:rPr>
                  <w:rFonts w:ascii="Times New Roman" w:cs="Times New Roman" w:eastAsia="Times New Roman" w:hAnsi="Times New Roman"/>
                  <w:sz w:val="17"/>
                  <w:szCs w:val="17"/>
                  <w:color w:val="0000EE"/>
                </w:rPr>
                <w:t>Form of Senior Indenture</w:t>
              </w:r>
            </w:hyperlink>
          </w:p>
        </w:tc>
      </w:tr>
      <w:tr>
        <w:trPr>
          <w:trHeight w:val="20"/>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r>
      <w:tr>
        <w:trPr>
          <w:trHeight w:val="28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w w:val="96"/>
              </w:rPr>
              <w:t>    4.5***</w:t>
            </w:r>
          </w:p>
        </w:tc>
        <w:tc>
          <w:tcPr>
            <w:tcW w:w="700" w:type="dxa"/>
            <w:vAlign w:val="bottom"/>
          </w:tcPr>
          <w:p>
            <w:pPr>
              <w:spacing w:after="0"/>
              <w:rPr>
                <w:sz w:val="24"/>
                <w:szCs w:val="24"/>
                <w:color w:val="auto"/>
              </w:rPr>
            </w:pPr>
          </w:p>
        </w:tc>
        <w:tc>
          <w:tcPr>
            <w:tcW w:w="8980" w:type="dxa"/>
            <w:vAlign w:val="bottom"/>
            <w:gridSpan w:val="17"/>
          </w:tcPr>
          <w:p>
            <w:pPr>
              <w:spacing w:after="0"/>
              <w:rPr>
                <w:rFonts w:ascii="Times New Roman" w:cs="Times New Roman" w:eastAsia="Times New Roman" w:hAnsi="Times New Roman"/>
                <w:sz w:val="17"/>
                <w:szCs w:val="17"/>
                <w:color w:val="0000EE"/>
              </w:rPr>
            </w:pPr>
            <w:hyperlink r:id="rId118">
              <w:r>
                <w:rPr>
                  <w:rFonts w:ascii="Times New Roman" w:cs="Times New Roman" w:eastAsia="Times New Roman" w:hAnsi="Times New Roman"/>
                  <w:sz w:val="17"/>
                  <w:szCs w:val="17"/>
                  <w:color w:val="0000EE"/>
                </w:rPr>
                <w:t>Form of Subordinated Indenture</w:t>
              </w:r>
            </w:hyperlink>
          </w:p>
        </w:tc>
      </w:tr>
      <w:tr>
        <w:trPr>
          <w:trHeight w:val="28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w w:val="96"/>
              </w:rPr>
              <w:t>    4.6***</w:t>
            </w:r>
          </w:p>
        </w:tc>
        <w:tc>
          <w:tcPr>
            <w:tcW w:w="700" w:type="dxa"/>
            <w:vAlign w:val="bottom"/>
          </w:tcPr>
          <w:p>
            <w:pPr>
              <w:spacing w:after="0"/>
              <w:rPr>
                <w:sz w:val="24"/>
                <w:szCs w:val="24"/>
                <w:color w:val="auto"/>
              </w:rPr>
            </w:pPr>
          </w:p>
        </w:tc>
        <w:tc>
          <w:tcPr>
            <w:tcW w:w="2180" w:type="dxa"/>
            <w:vAlign w:val="bottom"/>
            <w:tcBorders>
              <w:top w:val="single" w:sz="8" w:color="0000EE"/>
            </w:tcBorders>
            <w:gridSpan w:val="6"/>
          </w:tcPr>
          <w:p>
            <w:pPr>
              <w:spacing w:after="0"/>
              <w:rPr>
                <w:rFonts w:ascii="Times New Roman" w:cs="Times New Roman" w:eastAsia="Times New Roman" w:hAnsi="Times New Roman"/>
                <w:sz w:val="17"/>
                <w:szCs w:val="17"/>
                <w:color w:val="0000EE"/>
              </w:rPr>
            </w:pPr>
            <w:hyperlink r:id="rId119">
              <w:r>
                <w:rPr>
                  <w:rFonts w:ascii="Times New Roman" w:cs="Times New Roman" w:eastAsia="Times New Roman" w:hAnsi="Times New Roman"/>
                  <w:sz w:val="17"/>
                  <w:szCs w:val="17"/>
                  <w:color w:val="0000EE"/>
                </w:rPr>
                <w:t>Form of Senior Note</w:t>
              </w:r>
            </w:hyperlink>
          </w:p>
        </w:tc>
        <w:tc>
          <w:tcPr>
            <w:tcW w:w="6800" w:type="dxa"/>
            <w:vAlign w:val="bottom"/>
            <w:gridSpan w:val="11"/>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r>
      <w:tr>
        <w:trPr>
          <w:trHeight w:val="28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w w:val="96"/>
              </w:rPr>
              <w:t>    4.7***</w:t>
            </w:r>
          </w:p>
        </w:tc>
        <w:tc>
          <w:tcPr>
            <w:tcW w:w="700" w:type="dxa"/>
            <w:vAlign w:val="bottom"/>
          </w:tcPr>
          <w:p>
            <w:pPr>
              <w:spacing w:after="0"/>
              <w:rPr>
                <w:sz w:val="24"/>
                <w:szCs w:val="24"/>
                <w:color w:val="auto"/>
              </w:rPr>
            </w:pPr>
          </w:p>
        </w:tc>
        <w:tc>
          <w:tcPr>
            <w:tcW w:w="8980" w:type="dxa"/>
            <w:vAlign w:val="bottom"/>
            <w:gridSpan w:val="17"/>
          </w:tcPr>
          <w:p>
            <w:pPr>
              <w:spacing w:after="0"/>
              <w:rPr>
                <w:rFonts w:ascii="Times New Roman" w:cs="Times New Roman" w:eastAsia="Times New Roman" w:hAnsi="Times New Roman"/>
                <w:sz w:val="17"/>
                <w:szCs w:val="17"/>
                <w:color w:val="0000EE"/>
              </w:rPr>
            </w:pPr>
            <w:hyperlink r:id="rId120">
              <w:r>
                <w:rPr>
                  <w:rFonts w:ascii="Times New Roman" w:cs="Times New Roman" w:eastAsia="Times New Roman" w:hAnsi="Times New Roman"/>
                  <w:sz w:val="17"/>
                  <w:szCs w:val="17"/>
                  <w:color w:val="0000EE"/>
                </w:rPr>
                <w:t>Form of Subordinated Note</w:t>
              </w:r>
            </w:hyperlink>
          </w:p>
        </w:tc>
      </w:tr>
      <w:tr>
        <w:trPr>
          <w:trHeight w:val="20"/>
        </w:trPr>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60" w:type="dxa"/>
            <w:vAlign w:val="bottom"/>
            <w:gridSpan w:val="4"/>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r>
      <w:tr>
        <w:trPr>
          <w:trHeight w:val="322"/>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    4.8*</w:t>
            </w:r>
          </w:p>
        </w:tc>
        <w:tc>
          <w:tcPr>
            <w:tcW w:w="700" w:type="dxa"/>
            <w:vAlign w:val="bottom"/>
          </w:tcPr>
          <w:p>
            <w:pPr>
              <w:spacing w:after="0"/>
              <w:rPr>
                <w:sz w:val="24"/>
                <w:szCs w:val="24"/>
                <w:color w:val="auto"/>
              </w:rPr>
            </w:pPr>
          </w:p>
        </w:tc>
        <w:tc>
          <w:tcPr>
            <w:tcW w:w="898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Form of Deposit Agreement</w:t>
            </w:r>
          </w:p>
        </w:tc>
      </w:tr>
      <w:tr>
        <w:trPr>
          <w:trHeight w:val="30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    4.9*</w:t>
            </w:r>
          </w:p>
        </w:tc>
        <w:tc>
          <w:tcPr>
            <w:tcW w:w="700" w:type="dxa"/>
            <w:vAlign w:val="bottom"/>
          </w:tcPr>
          <w:p>
            <w:pPr>
              <w:spacing w:after="0"/>
              <w:rPr>
                <w:sz w:val="24"/>
                <w:szCs w:val="24"/>
                <w:color w:val="auto"/>
              </w:rPr>
            </w:pPr>
          </w:p>
        </w:tc>
        <w:tc>
          <w:tcPr>
            <w:tcW w:w="898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Form of Warrant Agreement</w:t>
            </w:r>
          </w:p>
        </w:tc>
      </w:tr>
      <w:tr>
        <w:trPr>
          <w:trHeight w:val="30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    4.10*</w:t>
            </w:r>
          </w:p>
        </w:tc>
        <w:tc>
          <w:tcPr>
            <w:tcW w:w="700" w:type="dxa"/>
            <w:vAlign w:val="bottom"/>
          </w:tcPr>
          <w:p>
            <w:pPr>
              <w:spacing w:after="0"/>
              <w:rPr>
                <w:sz w:val="24"/>
                <w:szCs w:val="24"/>
                <w:color w:val="auto"/>
              </w:rPr>
            </w:pPr>
          </w:p>
        </w:tc>
        <w:tc>
          <w:tcPr>
            <w:tcW w:w="898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Form of Pre-Funded Warrant</w:t>
            </w:r>
          </w:p>
        </w:tc>
      </w:tr>
      <w:tr>
        <w:trPr>
          <w:trHeight w:val="305"/>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rPr>
              <w:t>    4.11*</w:t>
            </w:r>
          </w:p>
        </w:tc>
        <w:tc>
          <w:tcPr>
            <w:tcW w:w="700" w:type="dxa"/>
            <w:vAlign w:val="bottom"/>
          </w:tcPr>
          <w:p>
            <w:pPr>
              <w:spacing w:after="0"/>
              <w:rPr>
                <w:sz w:val="24"/>
                <w:szCs w:val="24"/>
                <w:color w:val="auto"/>
              </w:rPr>
            </w:pPr>
          </w:p>
        </w:tc>
        <w:tc>
          <w:tcPr>
            <w:tcW w:w="8980" w:type="dxa"/>
            <w:vAlign w:val="bottom"/>
            <w:gridSpan w:val="17"/>
          </w:tcPr>
          <w:p>
            <w:pPr>
              <w:spacing w:after="0"/>
              <w:rPr>
                <w:sz w:val="20"/>
                <w:szCs w:val="20"/>
                <w:color w:val="auto"/>
              </w:rPr>
            </w:pPr>
            <w:r>
              <w:rPr>
                <w:rFonts w:ascii="Times New Roman" w:cs="Times New Roman" w:eastAsia="Times New Roman" w:hAnsi="Times New Roman"/>
                <w:sz w:val="17"/>
                <w:szCs w:val="17"/>
                <w:color w:val="auto"/>
              </w:rPr>
              <w:t>Form of Unit Agreement</w:t>
            </w:r>
          </w:p>
        </w:tc>
      </w:tr>
      <w:tr>
        <w:trPr>
          <w:trHeight w:val="267"/>
        </w:trPr>
        <w:tc>
          <w:tcPr>
            <w:tcW w:w="680" w:type="dxa"/>
            <w:vAlign w:val="bottom"/>
          </w:tcPr>
          <w:p>
            <w:pPr>
              <w:spacing w:after="0"/>
              <w:rPr>
                <w:sz w:val="20"/>
                <w:szCs w:val="20"/>
                <w:color w:val="auto"/>
              </w:rPr>
            </w:pPr>
            <w:r>
              <w:rPr>
                <w:rFonts w:ascii="Times New Roman" w:cs="Times New Roman" w:eastAsia="Times New Roman" w:hAnsi="Times New Roman"/>
                <w:sz w:val="17"/>
                <w:szCs w:val="17"/>
                <w:color w:val="auto"/>
                <w:w w:val="96"/>
              </w:rPr>
              <w:t>    5.1***</w:t>
            </w:r>
          </w:p>
        </w:tc>
        <w:tc>
          <w:tcPr>
            <w:tcW w:w="700" w:type="dxa"/>
            <w:vAlign w:val="bottom"/>
          </w:tcPr>
          <w:p>
            <w:pPr>
              <w:spacing w:after="0"/>
              <w:rPr>
                <w:sz w:val="23"/>
                <w:szCs w:val="23"/>
                <w:color w:val="auto"/>
              </w:rPr>
            </w:pPr>
          </w:p>
        </w:tc>
        <w:tc>
          <w:tcPr>
            <w:tcW w:w="3800" w:type="dxa"/>
            <w:vAlign w:val="bottom"/>
            <w:tcBorders>
              <w:bottom w:val="single" w:sz="8" w:color="0000EE"/>
            </w:tcBorders>
            <w:gridSpan w:val="8"/>
          </w:tcPr>
          <w:p>
            <w:pPr>
              <w:spacing w:after="0"/>
              <w:rPr>
                <w:rFonts w:ascii="Times New Roman" w:cs="Times New Roman" w:eastAsia="Times New Roman" w:hAnsi="Times New Roman"/>
                <w:sz w:val="17"/>
                <w:szCs w:val="17"/>
                <w:color w:val="0000EE"/>
                <w:w w:val="98"/>
              </w:rPr>
            </w:pPr>
            <w:hyperlink r:id="rId121">
              <w:r>
                <w:rPr>
                  <w:rFonts w:ascii="Times New Roman" w:cs="Times New Roman" w:eastAsia="Times New Roman" w:hAnsi="Times New Roman"/>
                  <w:sz w:val="17"/>
                  <w:szCs w:val="17"/>
                  <w:color w:val="0000EE"/>
                  <w:w w:val="98"/>
                </w:rPr>
                <w:t>Opinion of Wilmer Cutler Pickering Hale and Dorr LLP</w:t>
              </w:r>
            </w:hyperlink>
          </w:p>
        </w:tc>
        <w:tc>
          <w:tcPr>
            <w:tcW w:w="5180" w:type="dxa"/>
            <w:vAlign w:val="bottom"/>
            <w:gridSpan w:val="9"/>
          </w:tcPr>
          <w:p>
            <w:pPr>
              <w:spacing w:after="0"/>
              <w:rPr>
                <w:sz w:val="23"/>
                <w:szCs w:val="23"/>
                <w:color w:val="auto"/>
              </w:rPr>
            </w:pPr>
          </w:p>
        </w:tc>
      </w:tr>
      <w:tr>
        <w:trPr>
          <w:trHeight w:val="360"/>
        </w:trPr>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500" w:type="dxa"/>
            <w:vAlign w:val="bottom"/>
            <w:gridSpan w:val="10"/>
          </w:tcPr>
          <w:p>
            <w:pPr>
              <w:ind w:left="200"/>
              <w:spacing w:after="0"/>
              <w:rPr>
                <w:sz w:val="20"/>
                <w:szCs w:val="20"/>
                <w:color w:val="auto"/>
              </w:rPr>
            </w:pPr>
            <w:r>
              <w:rPr>
                <w:rFonts w:ascii="Times New Roman" w:cs="Times New Roman" w:eastAsia="Times New Roman" w:hAnsi="Times New Roman"/>
                <w:sz w:val="17"/>
                <w:szCs w:val="17"/>
                <w:color w:val="auto"/>
              </w:rPr>
              <w:t>II-2</w:t>
            </w:r>
          </w:p>
        </w:tc>
      </w:tr>
    </w:tbl>
    <w:p>
      <w:pPr>
        <w:sectPr>
          <w:pgSz w:w="11900" w:h="16838" w:orient="portrait"/>
          <w:cols w:equalWidth="0" w:num="1">
            <w:col w:w="10800"/>
          </w:cols>
          <w:pgMar w:left="320" w:top="437" w:right="7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440" w:type="dxa"/>
        <w:tblCellMar>
          <w:top w:w="0" w:type="dxa"/>
          <w:left w:w="0" w:type="dxa"/>
          <w:bottom w:w="0" w:type="dxa"/>
          <w:right w:w="0" w:type="dxa"/>
        </w:tblCellMar>
      </w:tblPr>
      <w:tr>
        <w:trPr>
          <w:trHeight w:val="177"/>
        </w:trPr>
        <w:tc>
          <w:tcPr>
            <w:tcW w:w="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3"/>
              </w:rPr>
              <w:t>Exhibit No.</w:t>
            </w:r>
          </w:p>
        </w:tc>
        <w:tc>
          <w:tcPr>
            <w:tcW w:w="780" w:type="dxa"/>
            <w:vAlign w:val="bottom"/>
          </w:tcPr>
          <w:p>
            <w:pPr>
              <w:spacing w:after="0"/>
              <w:rPr>
                <w:sz w:val="15"/>
                <w:szCs w:val="15"/>
                <w:color w:val="auto"/>
              </w:rPr>
            </w:pPr>
          </w:p>
        </w:tc>
        <w:tc>
          <w:tcPr>
            <w:tcW w:w="8900" w:type="dxa"/>
            <w:vAlign w:val="bottom"/>
            <w:tcBorders>
              <w:bottom w:val="single" w:sz="8" w:color="auto"/>
            </w:tcBorders>
            <w:gridSpan w:val="4"/>
          </w:tcPr>
          <w:p>
            <w:pPr>
              <w:ind w:left="41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7"/>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23.1</w:t>
            </w:r>
          </w:p>
        </w:tc>
        <w:tc>
          <w:tcPr>
            <w:tcW w:w="8900" w:type="dxa"/>
            <w:vAlign w:val="bottom"/>
            <w:gridSpan w:val="4"/>
          </w:tcPr>
          <w:p>
            <w:pPr>
              <w:spacing w:after="0"/>
              <w:rPr>
                <w:sz w:val="20"/>
                <w:szCs w:val="20"/>
                <w:color w:val="auto"/>
              </w:rPr>
            </w:pPr>
            <w:r>
              <w:rPr>
                <w:rFonts w:ascii="Times New Roman" w:cs="Times New Roman" w:eastAsia="Times New Roman" w:hAnsi="Times New Roman"/>
                <w:sz w:val="17"/>
                <w:szCs w:val="17"/>
                <w:color w:val="0000EE"/>
              </w:rPr>
              <w:t>Consent of PricewaterhouseCoopers LLP, independent registered public accounting firm for the Registrant</w:t>
            </w:r>
          </w:p>
        </w:tc>
      </w:tr>
      <w:tr>
        <w:trPr>
          <w:trHeight w:val="285"/>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23.2***</w:t>
            </w:r>
          </w:p>
        </w:tc>
        <w:tc>
          <w:tcPr>
            <w:tcW w:w="7220" w:type="dxa"/>
            <w:vAlign w:val="bottom"/>
            <w:tcBorders>
              <w:top w:val="single" w:sz="8" w:color="0000EE"/>
            </w:tcBorders>
            <w:gridSpan w:val="3"/>
          </w:tcPr>
          <w:p>
            <w:pPr>
              <w:spacing w:after="0"/>
              <w:rPr>
                <w:rFonts w:ascii="Times New Roman" w:cs="Times New Roman" w:eastAsia="Times New Roman" w:hAnsi="Times New Roman"/>
                <w:sz w:val="17"/>
                <w:szCs w:val="17"/>
                <w:color w:val="0000EE"/>
              </w:rPr>
            </w:pPr>
            <w:hyperlink r:id="rId121">
              <w:r>
                <w:rPr>
                  <w:rFonts w:ascii="Times New Roman" w:cs="Times New Roman" w:eastAsia="Times New Roman" w:hAnsi="Times New Roman"/>
                  <w:sz w:val="17"/>
                  <w:szCs w:val="17"/>
                  <w:color w:val="0000EE"/>
                </w:rPr>
                <w:t>Consent of Wilmer Cutler Pickering Hale and Dorr LLP (included in Exhibit 5.1)</w:t>
              </w:r>
            </w:hyperlink>
          </w:p>
        </w:tc>
        <w:tc>
          <w:tcPr>
            <w:tcW w:w="1680" w:type="dxa"/>
            <w:vAlign w:val="bottom"/>
          </w:tcPr>
          <w:p>
            <w:pPr>
              <w:spacing w:after="0"/>
              <w:rPr>
                <w:sz w:val="24"/>
                <w:szCs w:val="24"/>
                <w:color w:val="auto"/>
              </w:rPr>
            </w:pPr>
          </w:p>
        </w:tc>
      </w:tr>
      <w:tr>
        <w:trPr>
          <w:trHeight w:val="20"/>
        </w:trPr>
        <w:tc>
          <w:tcPr>
            <w:tcW w:w="1460" w:type="dxa"/>
            <w:vAlign w:val="bottom"/>
            <w:gridSpan w:val="2"/>
          </w:tcPr>
          <w:p>
            <w:pPr>
              <w:spacing w:after="0" w:line="20" w:lineRule="exact"/>
              <w:rPr>
                <w:sz w:val="1"/>
                <w:szCs w:val="1"/>
                <w:color w:val="auto"/>
              </w:rPr>
            </w:pPr>
          </w:p>
        </w:tc>
        <w:tc>
          <w:tcPr>
            <w:tcW w:w="55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r>
      <w:tr>
        <w:trPr>
          <w:trHeight w:val="285"/>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24.1***</w:t>
            </w:r>
          </w:p>
        </w:tc>
        <w:tc>
          <w:tcPr>
            <w:tcW w:w="5600" w:type="dxa"/>
            <w:vAlign w:val="bottom"/>
            <w:tcBorders>
              <w:bottom w:val="single" w:sz="8" w:color="0000EE"/>
            </w:tcBorders>
            <w:gridSpan w:val="2"/>
          </w:tcPr>
          <w:p>
            <w:pPr>
              <w:spacing w:after="0"/>
              <w:rPr>
                <w:rFonts w:ascii="Times New Roman" w:cs="Times New Roman" w:eastAsia="Times New Roman" w:hAnsi="Times New Roman"/>
                <w:sz w:val="17"/>
                <w:szCs w:val="17"/>
                <w:color w:val="0000EE"/>
                <w:w w:val="99"/>
              </w:rPr>
            </w:pPr>
            <w:hyperlink r:id="rId123">
              <w:r>
                <w:rPr>
                  <w:rFonts w:ascii="Times New Roman" w:cs="Times New Roman" w:eastAsia="Times New Roman" w:hAnsi="Times New Roman"/>
                  <w:sz w:val="17"/>
                  <w:szCs w:val="17"/>
                  <w:color w:val="0000EE"/>
                  <w:w w:val="99"/>
                </w:rPr>
                <w:t>Powers of Attorney (included in the signature pages to the Registration Statement)</w:t>
              </w:r>
            </w:hyperlink>
          </w:p>
        </w:tc>
        <w:tc>
          <w:tcPr>
            <w:tcW w:w="3300" w:type="dxa"/>
            <w:vAlign w:val="bottom"/>
            <w:gridSpan w:val="2"/>
          </w:tcPr>
          <w:p>
            <w:pPr>
              <w:spacing w:after="0"/>
              <w:rPr>
                <w:sz w:val="24"/>
                <w:szCs w:val="24"/>
                <w:color w:val="auto"/>
              </w:rPr>
            </w:pPr>
          </w:p>
        </w:tc>
      </w:tr>
      <w:tr>
        <w:trPr>
          <w:trHeight w:val="322"/>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25.1**</w:t>
            </w:r>
          </w:p>
        </w:tc>
        <w:tc>
          <w:tcPr>
            <w:tcW w:w="8900" w:type="dxa"/>
            <w:vAlign w:val="bottom"/>
            <w:gridSpan w:val="4"/>
          </w:tcPr>
          <w:p>
            <w:pPr>
              <w:spacing w:after="0"/>
              <w:rPr>
                <w:sz w:val="20"/>
                <w:szCs w:val="20"/>
                <w:color w:val="auto"/>
              </w:rPr>
            </w:pPr>
            <w:r>
              <w:rPr>
                <w:rFonts w:ascii="Times New Roman" w:cs="Times New Roman" w:eastAsia="Times New Roman" w:hAnsi="Times New Roman"/>
                <w:sz w:val="17"/>
                <w:szCs w:val="17"/>
                <w:color w:val="auto"/>
                <w:w w:val="99"/>
              </w:rPr>
              <w:t>Statement of Eligibility on Form T-1 under the Trust Indenture Act of 1939, as amended, of the Trustee under the Senior Indenture</w:t>
            </w:r>
          </w:p>
        </w:tc>
      </w:tr>
      <w:tr>
        <w:trPr>
          <w:trHeight w:val="289"/>
        </w:trPr>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25.2**</w:t>
            </w:r>
          </w:p>
        </w:tc>
        <w:tc>
          <w:tcPr>
            <w:tcW w:w="8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Statement of Eligibility on Form T-1 under the Trust Indenture Act of 1939, as amended, of the Trustee under the Subordinated</w:t>
            </w:r>
          </w:p>
        </w:tc>
      </w:tr>
      <w:tr>
        <w:trPr>
          <w:trHeight w:val="219"/>
        </w:trPr>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Indenture</w:t>
            </w:r>
          </w:p>
        </w:tc>
      </w:tr>
    </w:tbl>
    <w:p>
      <w:pPr>
        <w:spacing w:after="0" w:line="86" w:lineRule="exact"/>
        <w:rPr>
          <w:sz w:val="20"/>
          <w:szCs w:val="20"/>
          <w:color w:val="auto"/>
        </w:rPr>
      </w:pPr>
    </w:p>
    <w:p>
      <w:pPr>
        <w:ind w:left="1900" w:hanging="1454"/>
        <w:spacing w:after="0"/>
        <w:tabs>
          <w:tab w:leader="none" w:pos="190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104140</wp:posOffset>
            </wp:positionV>
            <wp:extent cx="7251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25170" cy="8255"/>
                    </a:xfrm>
                    <a:prstGeom prst="rect">
                      <a:avLst/>
                    </a:prstGeom>
                    <a:noFill/>
                  </pic:spPr>
                </pic:pic>
              </a:graphicData>
            </a:graphic>
          </wp:anchor>
        </w:drawing>
      </w:r>
    </w:p>
    <w:p>
      <w:pPr>
        <w:spacing w:after="0" w:line="178" w:lineRule="exact"/>
        <w:rPr>
          <w:sz w:val="20"/>
          <w:szCs w:val="20"/>
          <w:color w:val="auto"/>
        </w:rPr>
      </w:pPr>
    </w:p>
    <w:p>
      <w:pPr>
        <w:ind w:left="860" w:hanging="414"/>
        <w:spacing w:after="0"/>
        <w:tabs>
          <w:tab w:leader="none" w:pos="86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by amendment or by a Current Report on Form 8-K.</w:t>
      </w:r>
    </w:p>
    <w:p>
      <w:pPr>
        <w:spacing w:after="0" w:line="23" w:lineRule="exact"/>
        <w:rPr>
          <w:sz w:val="20"/>
          <w:szCs w:val="20"/>
          <w:color w:val="auto"/>
        </w:rPr>
      </w:pPr>
    </w:p>
    <w:p>
      <w:pPr>
        <w:ind w:left="860" w:hanging="414"/>
        <w:spacing w:after="0"/>
        <w:tabs>
          <w:tab w:leader="none" w:pos="8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filed pursuant to Section 305(b)(2) of the Trust Indenture Act of 1939.</w:t>
      </w:r>
    </w:p>
    <w:p>
      <w:pPr>
        <w:spacing w:after="0" w:line="7" w:lineRule="exact"/>
        <w:rPr>
          <w:rFonts w:ascii="Times New Roman" w:cs="Times New Roman" w:eastAsia="Times New Roman" w:hAnsi="Times New Roman"/>
          <w:sz w:val="17"/>
          <w:szCs w:val="17"/>
          <w:color w:val="auto"/>
        </w:rPr>
      </w:pPr>
    </w:p>
    <w:p>
      <w:pPr>
        <w:ind w:left="860" w:hanging="414"/>
        <w:spacing w:after="0"/>
        <w:tabs>
          <w:tab w:leader="none" w:pos="8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Previously filed.</w:t>
      </w:r>
    </w:p>
    <w:p>
      <w:pPr>
        <w:spacing w:after="0" w:line="2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0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(a)(1) To file, during any period in which offers or sales are being made, a post-effective amendment to this registration statement:</w:t>
      </w:r>
    </w:p>
    <w:p>
      <w:pPr>
        <w:spacing w:after="0" w:line="109" w:lineRule="exact"/>
        <w:rPr>
          <w:sz w:val="20"/>
          <w:szCs w:val="20"/>
          <w:color w:val="auto"/>
        </w:rPr>
      </w:pPr>
    </w:p>
    <w:p>
      <w:pPr>
        <w:ind w:left="1060" w:hanging="200"/>
        <w:spacing w:after="0"/>
        <w:tabs>
          <w:tab w:leader="none" w:pos="10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 as amended (the “Securities Act”);</w:t>
      </w:r>
    </w:p>
    <w:p>
      <w:pPr>
        <w:spacing w:after="0" w:line="210" w:lineRule="exact"/>
        <w:rPr>
          <w:rFonts w:ascii="Times New Roman" w:cs="Times New Roman" w:eastAsia="Times New Roman" w:hAnsi="Times New Roman"/>
          <w:sz w:val="17"/>
          <w:szCs w:val="17"/>
          <w:color w:val="auto"/>
        </w:rPr>
      </w:pPr>
    </w:p>
    <w:p>
      <w:pPr>
        <w:ind w:left="440" w:right="160" w:firstLine="420"/>
        <w:spacing w:after="0" w:line="255" w:lineRule="auto"/>
        <w:tabs>
          <w:tab w:leader="none" w:pos="1103"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 and</w:t>
      </w:r>
    </w:p>
    <w:p>
      <w:pPr>
        <w:spacing w:after="0" w:line="175" w:lineRule="exact"/>
        <w:rPr>
          <w:rFonts w:ascii="Times New Roman" w:cs="Times New Roman" w:eastAsia="Times New Roman" w:hAnsi="Times New Roman"/>
          <w:sz w:val="17"/>
          <w:szCs w:val="17"/>
          <w:color w:val="auto"/>
        </w:rPr>
      </w:pPr>
    </w:p>
    <w:p>
      <w:pPr>
        <w:ind w:left="440" w:right="500" w:firstLine="420"/>
        <w:spacing w:after="0" w:line="277" w:lineRule="auto"/>
        <w:tabs>
          <w:tab w:leader="none" w:pos="115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154" w:lineRule="exact"/>
        <w:rPr>
          <w:sz w:val="20"/>
          <w:szCs w:val="20"/>
          <w:color w:val="auto"/>
        </w:rPr>
      </w:pPr>
    </w:p>
    <w:p>
      <w:pPr>
        <w:ind w:left="440" w:right="720"/>
        <w:spacing w:after="0" w:line="260" w:lineRule="auto"/>
        <w:rPr>
          <w:sz w:val="20"/>
          <w:szCs w:val="20"/>
          <w:color w:val="auto"/>
        </w:rPr>
      </w:pP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paragraphs (a)(1)(i), (a)(1)(ii) and (a)(1)(iii) do not apply if the information required to be included in a post-effective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amendment by those paragraphs is contained in reports filed with or furnished to the Commission by the Registrant pursuant to Section 13 or Section 15(d) of the Securities Exchange Act of 1934, as amended (the “Exchange Act”), that are incorporated by reference in this registration statement, or is contained in a form of prospectus filed pursuant to Rule 424(b) that is part of this registration statement.</w:t>
      </w:r>
    </w:p>
    <w:p>
      <w:pPr>
        <w:spacing w:after="0" w:line="172" w:lineRule="exact"/>
        <w:rPr>
          <w:sz w:val="20"/>
          <w:szCs w:val="20"/>
          <w:color w:val="auto"/>
        </w:rPr>
      </w:pPr>
    </w:p>
    <w:p>
      <w:pPr>
        <w:ind w:left="440" w:right="480" w:firstLine="6"/>
        <w:spacing w:after="0" w:line="263" w:lineRule="auto"/>
        <w:tabs>
          <w:tab w:leader="none" w:pos="67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the time shall be deemed to be the initial </w:t>
      </w:r>
      <w:r>
        <w:rPr>
          <w:rFonts w:ascii="Times New Roman" w:cs="Times New Roman" w:eastAsia="Times New Roman" w:hAnsi="Times New Roman"/>
          <w:sz w:val="17"/>
          <w:szCs w:val="17"/>
          <w:i w:val="1"/>
          <w:iCs w:val="1"/>
          <w:color w:val="auto"/>
        </w:rPr>
        <w:t>bona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fide </w:t>
      </w:r>
      <w:r>
        <w:rPr>
          <w:rFonts w:ascii="Times New Roman" w:cs="Times New Roman" w:eastAsia="Times New Roman" w:hAnsi="Times New Roman"/>
          <w:sz w:val="17"/>
          <w:szCs w:val="17"/>
          <w:color w:val="auto"/>
        </w:rPr>
        <w:t>offering thereof.</w:t>
      </w:r>
    </w:p>
    <w:p>
      <w:pPr>
        <w:spacing w:after="0" w:line="169" w:lineRule="exact"/>
        <w:rPr>
          <w:rFonts w:ascii="Times New Roman" w:cs="Times New Roman" w:eastAsia="Times New Roman" w:hAnsi="Times New Roman"/>
          <w:sz w:val="17"/>
          <w:szCs w:val="17"/>
          <w:color w:val="auto"/>
        </w:rPr>
      </w:pPr>
    </w:p>
    <w:p>
      <w:pPr>
        <w:ind w:left="440" w:right="20" w:firstLine="6"/>
        <w:spacing w:after="0" w:line="277" w:lineRule="auto"/>
        <w:tabs>
          <w:tab w:leader="none" w:pos="67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157" w:lineRule="exact"/>
        <w:rPr>
          <w:rFonts w:ascii="Times New Roman" w:cs="Times New Roman" w:eastAsia="Times New Roman" w:hAnsi="Times New Roman"/>
          <w:sz w:val="17"/>
          <w:szCs w:val="17"/>
          <w:color w:val="auto"/>
        </w:rPr>
      </w:pPr>
    </w:p>
    <w:p>
      <w:pPr>
        <w:ind w:left="680" w:hanging="234"/>
        <w:spacing w:after="0"/>
        <w:tabs>
          <w:tab w:leader="none" w:pos="68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under the Securities Act to any purchaser:</w:t>
      </w:r>
    </w:p>
    <w:p>
      <w:pPr>
        <w:spacing w:after="0" w:line="109" w:lineRule="exact"/>
        <w:rPr>
          <w:rFonts w:ascii="Times New Roman" w:cs="Times New Roman" w:eastAsia="Times New Roman" w:hAnsi="Times New Roman"/>
          <w:sz w:val="17"/>
          <w:szCs w:val="17"/>
          <w:color w:val="auto"/>
        </w:rPr>
      </w:pPr>
    </w:p>
    <w:p>
      <w:pPr>
        <w:ind w:left="440" w:right="320" w:firstLine="420"/>
        <w:spacing w:after="0" w:line="277" w:lineRule="auto"/>
        <w:tabs>
          <w:tab w:leader="none" w:pos="1056"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9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II-3</w:t>
      </w:r>
    </w:p>
    <w:p>
      <w:pPr>
        <w:sectPr>
          <w:pgSz w:w="11900" w:h="16838" w:orient="portrait"/>
          <w:cols w:equalWidth="0" w:num="1">
            <w:col w:w="10800"/>
          </w:cols>
          <w:pgMar w:left="320" w:top="437" w:right="7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firstLine="420"/>
        <w:spacing w:after="0" w:line="252" w:lineRule="auto"/>
        <w:tabs>
          <w:tab w:leader="none" w:pos="1103"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8" w:lineRule="exact"/>
        <w:rPr>
          <w:rFonts w:ascii="Times New Roman" w:cs="Times New Roman" w:eastAsia="Times New Roman" w:hAnsi="Times New Roman"/>
          <w:sz w:val="17"/>
          <w:szCs w:val="17"/>
          <w:color w:val="auto"/>
        </w:rPr>
      </w:pPr>
    </w:p>
    <w:p>
      <w:pPr>
        <w:ind w:left="440" w:right="140" w:firstLine="6"/>
        <w:spacing w:after="0" w:line="256" w:lineRule="auto"/>
        <w:tabs>
          <w:tab w:leader="none" w:pos="679"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4" w:lineRule="exact"/>
        <w:rPr>
          <w:rFonts w:ascii="Times New Roman" w:cs="Times New Roman" w:eastAsia="Times New Roman" w:hAnsi="Times New Roman"/>
          <w:sz w:val="17"/>
          <w:szCs w:val="17"/>
          <w:color w:val="auto"/>
        </w:rPr>
      </w:pPr>
    </w:p>
    <w:p>
      <w:pPr>
        <w:ind w:left="1060" w:hanging="200"/>
        <w:spacing w:after="0"/>
        <w:tabs>
          <w:tab w:leader="none" w:pos="106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210" w:lineRule="exact"/>
        <w:rPr>
          <w:rFonts w:ascii="Times New Roman" w:cs="Times New Roman" w:eastAsia="Times New Roman" w:hAnsi="Times New Roman"/>
          <w:sz w:val="17"/>
          <w:szCs w:val="17"/>
          <w:color w:val="auto"/>
        </w:rPr>
      </w:pPr>
    </w:p>
    <w:p>
      <w:pPr>
        <w:ind w:left="440" w:right="600" w:firstLine="420"/>
        <w:spacing w:after="0" w:line="277" w:lineRule="auto"/>
        <w:tabs>
          <w:tab w:leader="none" w:pos="1103"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157" w:lineRule="exact"/>
        <w:rPr>
          <w:rFonts w:ascii="Times New Roman" w:cs="Times New Roman" w:eastAsia="Times New Roman" w:hAnsi="Times New Roman"/>
          <w:sz w:val="17"/>
          <w:szCs w:val="17"/>
          <w:color w:val="auto"/>
        </w:rPr>
      </w:pPr>
    </w:p>
    <w:p>
      <w:pPr>
        <w:ind w:left="440" w:right="20" w:firstLine="420"/>
        <w:spacing w:after="0" w:line="277" w:lineRule="auto"/>
        <w:tabs>
          <w:tab w:leader="none" w:pos="115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157" w:lineRule="exact"/>
        <w:rPr>
          <w:rFonts w:ascii="Times New Roman" w:cs="Times New Roman" w:eastAsia="Times New Roman" w:hAnsi="Times New Roman"/>
          <w:sz w:val="17"/>
          <w:szCs w:val="17"/>
          <w:color w:val="auto"/>
        </w:rPr>
      </w:pPr>
    </w:p>
    <w:p>
      <w:pPr>
        <w:ind w:left="1140" w:hanging="280"/>
        <w:spacing w:after="0"/>
        <w:tabs>
          <w:tab w:leader="none" w:pos="114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211" w:lineRule="exact"/>
        <w:rPr>
          <w:sz w:val="20"/>
          <w:szCs w:val="20"/>
          <w:color w:val="auto"/>
        </w:rPr>
      </w:pPr>
    </w:p>
    <w:p>
      <w:pPr>
        <w:ind w:left="680" w:hanging="234"/>
        <w:spacing w:after="0"/>
        <w:tabs>
          <w:tab w:leader="none" w:pos="68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purposes of determining any liability under the Securities Act:</w:t>
      </w:r>
    </w:p>
    <w:p>
      <w:pPr>
        <w:spacing w:after="0" w:line="109" w:lineRule="exact"/>
        <w:rPr>
          <w:rFonts w:ascii="Times New Roman" w:cs="Times New Roman" w:eastAsia="Times New Roman" w:hAnsi="Times New Roman"/>
          <w:sz w:val="17"/>
          <w:szCs w:val="17"/>
          <w:color w:val="auto"/>
        </w:rPr>
      </w:pPr>
    </w:p>
    <w:p>
      <w:pPr>
        <w:ind w:left="440" w:right="100" w:firstLine="420"/>
        <w:spacing w:after="0" w:line="263" w:lineRule="auto"/>
        <w:tabs>
          <w:tab w:leader="none" w:pos="1056"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69" w:lineRule="exact"/>
        <w:rPr>
          <w:rFonts w:ascii="Times New Roman" w:cs="Times New Roman" w:eastAsia="Times New Roman" w:hAnsi="Times New Roman"/>
          <w:sz w:val="17"/>
          <w:szCs w:val="17"/>
          <w:color w:val="auto"/>
        </w:rPr>
      </w:pPr>
    </w:p>
    <w:p>
      <w:pPr>
        <w:ind w:left="440" w:right="120" w:firstLine="420"/>
        <w:spacing w:after="0" w:line="277" w:lineRule="auto"/>
        <w:tabs>
          <w:tab w:leader="none" w:pos="1103"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57" w:lineRule="exact"/>
        <w:rPr>
          <w:rFonts w:ascii="Times New Roman" w:cs="Times New Roman" w:eastAsia="Times New Roman" w:hAnsi="Times New Roman"/>
          <w:sz w:val="17"/>
          <w:szCs w:val="17"/>
          <w:color w:val="auto"/>
        </w:rPr>
      </w:pPr>
    </w:p>
    <w:p>
      <w:pPr>
        <w:ind w:left="440" w:right="220" w:firstLine="6"/>
        <w:spacing w:after="0" w:line="258" w:lineRule="auto"/>
        <w:tabs>
          <w:tab w:leader="none" w:pos="67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offering thereof.</w:t>
      </w:r>
    </w:p>
    <w:p>
      <w:pPr>
        <w:spacing w:after="0" w:line="174" w:lineRule="exact"/>
        <w:rPr>
          <w:rFonts w:ascii="Times New Roman" w:cs="Times New Roman" w:eastAsia="Times New Roman" w:hAnsi="Times New Roman"/>
          <w:sz w:val="17"/>
          <w:szCs w:val="17"/>
          <w:color w:val="auto"/>
        </w:rPr>
      </w:pPr>
    </w:p>
    <w:p>
      <w:pPr>
        <w:ind w:left="440" w:right="40" w:firstLine="6"/>
        <w:spacing w:after="0" w:line="277" w:lineRule="auto"/>
        <w:tabs>
          <w:tab w:leader="none" w:pos="67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an application for the purpose of determining the eligibility of the trustee to act under subsection (a) of Section 310 of the Trust Indenture Act in accordance with the rules and regulations prescribed by the Commission under Section 305(b)(2) of the Trust Indenture Act.</w:t>
      </w:r>
    </w:p>
    <w:p>
      <w:pPr>
        <w:spacing w:after="0" w:line="95"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II-4</w:t>
      </w:r>
    </w:p>
    <w:p>
      <w:pPr>
        <w:sectPr>
          <w:pgSz w:w="11900" w:h="16838" w:orient="portrait"/>
          <w:cols w:equalWidth="0" w:num="1">
            <w:col w:w="10800"/>
          </w:cols>
          <w:pgMar w:left="320" w:top="437" w:right="77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90" w:lineRule="exact"/>
        <w:rPr>
          <w:sz w:val="20"/>
          <w:szCs w:val="20"/>
          <w:color w:val="auto"/>
        </w:rPr>
      </w:pPr>
    </w:p>
    <w:p>
      <w:pPr>
        <w:ind w:left="440" w:firstLine="6"/>
        <w:spacing w:after="0" w:line="253" w:lineRule="auto"/>
        <w:tabs>
          <w:tab w:leader="none" w:pos="67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and controlling persons of the Registrant pursuant to the indemnification provisions described herein,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II-5</w:t>
      </w:r>
    </w:p>
    <w:p>
      <w:pPr>
        <w:sectPr>
          <w:pgSz w:w="11900" w:h="16838" w:orient="portrait"/>
          <w:cols w:equalWidth="0" w:num="1">
            <w:col w:w="10580"/>
          </w:cols>
          <w:pgMar w:left="320" w:top="437"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5" w:lineRule="exact"/>
        <w:rPr>
          <w:sz w:val="20"/>
          <w:szCs w:val="20"/>
          <w:color w:val="auto"/>
        </w:rPr>
      </w:pPr>
    </w:p>
    <w:p>
      <w:pPr>
        <w:ind w:left="440" w:right="120" w:firstLine="414"/>
        <w:spacing w:after="0" w:line="27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Charlestown, Commonwealth of Massachusetts, on this 15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of May 2024.</w:t>
      </w:r>
    </w:p>
    <w:p>
      <w:pPr>
        <w:spacing w:after="0" w:line="6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7"/>
          <w:szCs w:val="17"/>
          <w:b w:val="1"/>
          <w:bCs w:val="1"/>
          <w:color w:val="auto"/>
        </w:rPr>
        <w:t>SOLID BIOSCIENCES INC.</w:t>
      </w:r>
    </w:p>
    <w:p>
      <w:pPr>
        <w:spacing w:after="0" w:line="215" w:lineRule="exact"/>
        <w:rPr>
          <w:sz w:val="20"/>
          <w:szCs w:val="20"/>
          <w:color w:val="auto"/>
        </w:rPr>
      </w:pPr>
    </w:p>
    <w:tbl>
      <w:tblPr>
        <w:tblLayout w:type="fixed"/>
        <w:tblInd w:w="6660" w:type="dxa"/>
        <w:tblCellMar>
          <w:top w:w="0" w:type="dxa"/>
          <w:left w:w="0" w:type="dxa"/>
          <w:bottom w:w="0" w:type="dxa"/>
          <w:right w:w="0" w:type="dxa"/>
        </w:tblCellMar>
      </w:tblPr>
      <w:tr>
        <w:trPr>
          <w:trHeight w:val="21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Alexander Cumbo</w:t>
            </w:r>
          </w:p>
        </w:tc>
      </w:tr>
      <w:tr>
        <w:trPr>
          <w:trHeight w:val="193"/>
        </w:trPr>
        <w:tc>
          <w:tcPr>
            <w:tcW w:w="56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Name:</w:t>
            </w:r>
          </w:p>
        </w:tc>
        <w:tc>
          <w:tcPr>
            <w:tcW w:w="3580" w:type="dxa"/>
            <w:vAlign w:val="bottom"/>
          </w:tcPr>
          <w:p>
            <w:pPr>
              <w:spacing w:after="0" w:line="193" w:lineRule="exact"/>
              <w:rPr>
                <w:sz w:val="20"/>
                <w:szCs w:val="20"/>
                <w:color w:val="auto"/>
              </w:rPr>
            </w:pPr>
            <w:r>
              <w:rPr>
                <w:rFonts w:ascii="Times New Roman" w:cs="Times New Roman" w:eastAsia="Times New Roman" w:hAnsi="Times New Roman"/>
                <w:sz w:val="17"/>
                <w:szCs w:val="17"/>
                <w:color w:val="auto"/>
              </w:rPr>
              <w:t>Alexander Cumbo</w:t>
            </w:r>
          </w:p>
        </w:tc>
      </w:tr>
      <w:tr>
        <w:trPr>
          <w:trHeight w:val="219"/>
        </w:trPr>
        <w:tc>
          <w:tcPr>
            <w:tcW w:w="56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580" w:type="dxa"/>
            <w:vAlign w:val="bottom"/>
          </w:tcPr>
          <w:p>
            <w:pPr>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bl>
    <w:p>
      <w:pPr>
        <w:spacing w:after="0" w:line="187" w:lineRule="exact"/>
        <w:rPr>
          <w:sz w:val="20"/>
          <w:szCs w:val="20"/>
          <w:color w:val="auto"/>
        </w:rPr>
      </w:pPr>
    </w:p>
    <w:p>
      <w:pPr>
        <w:ind w:left="440" w:right="160" w:firstLine="414"/>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this Amendment No. 1 to the Registration Statement has been signed by the following persons in the capacities and on the dates indicated.</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77"/>
        </w:trPr>
        <w:tc>
          <w:tcPr>
            <w:tcW w:w="35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2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85"/>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Alexander Cumbo</w:t>
            </w:r>
          </w:p>
        </w:tc>
        <w:tc>
          <w:tcPr>
            <w:tcW w:w="100" w:type="dxa"/>
            <w:vAlign w:val="bottom"/>
          </w:tcPr>
          <w:p>
            <w:pPr>
              <w:spacing w:after="0"/>
              <w:rPr>
                <w:sz w:val="24"/>
                <w:szCs w:val="24"/>
                <w:color w:val="auto"/>
              </w:rPr>
            </w:pPr>
          </w:p>
        </w:tc>
        <w:tc>
          <w:tcPr>
            <w:tcW w:w="48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President, Chief Executive Officer and 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Alexander Cumbo</w:t>
            </w:r>
          </w:p>
        </w:tc>
        <w:tc>
          <w:tcPr>
            <w:tcW w:w="100" w:type="dxa"/>
            <w:vAlign w:val="bottom"/>
          </w:tcPr>
          <w:p>
            <w:pPr>
              <w:spacing w:after="0"/>
              <w:rPr>
                <w:sz w:val="18"/>
                <w:szCs w:val="18"/>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(Principal Executive Officer)</w:t>
            </w:r>
          </w:p>
        </w:tc>
        <w:tc>
          <w:tcPr>
            <w:tcW w:w="1880" w:type="dxa"/>
            <w:vAlign w:val="bottom"/>
          </w:tcPr>
          <w:p>
            <w:pPr>
              <w:spacing w:after="0"/>
              <w:rPr>
                <w:sz w:val="18"/>
                <w:szCs w:val="18"/>
                <w:color w:val="auto"/>
              </w:rPr>
            </w:pPr>
          </w:p>
        </w:tc>
      </w:tr>
      <w:tr>
        <w:trPr>
          <w:trHeight w:val="402"/>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Kevin Tan</w:t>
            </w:r>
          </w:p>
        </w:tc>
        <w:tc>
          <w:tcPr>
            <w:tcW w:w="100" w:type="dxa"/>
            <w:vAlign w:val="bottom"/>
          </w:tcPr>
          <w:p>
            <w:pPr>
              <w:spacing w:after="0"/>
              <w:rPr>
                <w:sz w:val="24"/>
                <w:szCs w:val="24"/>
                <w:color w:val="auto"/>
              </w:rPr>
            </w:pPr>
          </w:p>
        </w:tc>
        <w:tc>
          <w:tcPr>
            <w:tcW w:w="48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color w:val="auto"/>
                <w:w w:val="99"/>
              </w:rPr>
              <w:t>Chief Financial Officer</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Kevin Tan</w:t>
            </w:r>
          </w:p>
        </w:tc>
        <w:tc>
          <w:tcPr>
            <w:tcW w:w="100" w:type="dxa"/>
            <w:vAlign w:val="bottom"/>
          </w:tcPr>
          <w:p>
            <w:pPr>
              <w:spacing w:after="0"/>
              <w:rPr>
                <w:sz w:val="18"/>
                <w:szCs w:val="18"/>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(Principal Financial and Accounting Officer)</w:t>
            </w:r>
          </w:p>
        </w:tc>
        <w:tc>
          <w:tcPr>
            <w:tcW w:w="1880" w:type="dxa"/>
            <w:vAlign w:val="bottom"/>
          </w:tcPr>
          <w:p>
            <w:pPr>
              <w:spacing w:after="0"/>
              <w:rPr>
                <w:sz w:val="18"/>
                <w:szCs w:val="18"/>
                <w:color w:val="auto"/>
              </w:rPr>
            </w:pPr>
          </w:p>
        </w:tc>
      </w:tr>
      <w:tr>
        <w:trPr>
          <w:trHeight w:val="403"/>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9"/>
              </w:rPr>
              <w:t>Chairman of the Board of Directors</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Ian F. Smith</w:t>
            </w: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03"/>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Martin Freed, M.D.</w:t>
            </w: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03"/>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Ilan Ganot</w:t>
            </w: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03"/>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Clare Kahn</w:t>
            </w: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03"/>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Georgia Keresty</w:t>
            </w: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03"/>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Adam Koppel, M.D., Ph.D.</w:t>
            </w: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03"/>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Sukumar Nagendran, M.D.</w:t>
            </w: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03"/>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Rajeev Shah</w:t>
            </w: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bl>
    <w:p>
      <w:pPr>
        <w:spacing w:after="0" w:line="12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II-6</w:t>
      </w:r>
    </w:p>
    <w:p>
      <w:pPr>
        <w:sectPr>
          <w:pgSz w:w="11900" w:h="16838" w:orient="portrait"/>
          <w:cols w:equalWidth="0" w:num="1">
            <w:col w:w="10800"/>
          </w:cols>
          <w:pgMar w:left="320" w:top="437" w:right="7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191770</wp:posOffset>
            </wp:positionH>
            <wp:positionV relativeFrom="page">
              <wp:posOffset>88900</wp:posOffset>
            </wp:positionV>
            <wp:extent cx="718185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181850" cy="36830"/>
                    </a:xfrm>
                    <a:prstGeom prst="rect">
                      <a:avLst/>
                    </a:prstGeom>
                    <a:noFill/>
                  </pic:spPr>
                </pic:pic>
              </a:graphicData>
            </a:graphic>
          </wp:anchor>
        </w:drawing>
        <w:t>Table of Contents</w:t>
      </w:r>
    </w:p>
    <w:p>
      <w:pPr>
        <w:spacing w:after="0" w:line="282" w:lineRule="exact"/>
        <w:rPr>
          <w:sz w:val="20"/>
          <w:szCs w:val="20"/>
          <w:color w:val="auto"/>
        </w:rPr>
      </w:pPr>
    </w:p>
    <w:tbl>
      <w:tblPr>
        <w:tblLayout w:type="fixed"/>
        <w:tblInd w:w="440" w:type="dxa"/>
        <w:tblCellMar>
          <w:top w:w="0" w:type="dxa"/>
          <w:left w:w="0" w:type="dxa"/>
          <w:bottom w:w="0" w:type="dxa"/>
          <w:right w:w="0" w:type="dxa"/>
        </w:tblCellMar>
      </w:tblPr>
      <w:tr>
        <w:trPr>
          <w:trHeight w:val="177"/>
        </w:trPr>
        <w:tc>
          <w:tcPr>
            <w:tcW w:w="356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00" w:type="dxa"/>
            <w:vAlign w:val="bottom"/>
          </w:tcPr>
          <w:p>
            <w:pPr>
              <w:spacing w:after="0"/>
              <w:rPr>
                <w:sz w:val="15"/>
                <w:szCs w:val="15"/>
                <w:color w:val="auto"/>
              </w:rPr>
            </w:pP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Title</w:t>
            </w:r>
          </w:p>
        </w:tc>
        <w:tc>
          <w:tcPr>
            <w:tcW w:w="220" w:type="dxa"/>
            <w:vAlign w:val="bottom"/>
          </w:tcPr>
          <w:p>
            <w:pPr>
              <w:spacing w:after="0"/>
              <w:rPr>
                <w:sz w:val="15"/>
                <w:szCs w:val="15"/>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386"/>
        </w:trPr>
        <w:tc>
          <w:tcPr>
            <w:tcW w:w="3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r>
        <w:trPr>
          <w:trHeight w:val="21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Adam Stone</w:t>
            </w:r>
          </w:p>
        </w:tc>
        <w:tc>
          <w:tcPr>
            <w:tcW w:w="10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02"/>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c>
          <w:tcPr>
            <w:tcW w:w="48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8"/>
              </w:rPr>
              <w:t>Director</w:t>
            </w:r>
          </w:p>
        </w:tc>
        <w:tc>
          <w:tcPr>
            <w:tcW w:w="1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May 15, 2024</w:t>
            </w:r>
          </w:p>
        </w:tc>
      </w:tr>
    </w:tbl>
    <w:p>
      <w:pPr>
        <w:ind w:left="440"/>
        <w:spacing w:after="0"/>
        <w:rPr>
          <w:sz w:val="20"/>
          <w:szCs w:val="20"/>
          <w:color w:val="auto"/>
        </w:rPr>
      </w:pPr>
      <w:r>
        <w:rPr>
          <w:rFonts w:ascii="Times New Roman" w:cs="Times New Roman" w:eastAsia="Times New Roman" w:hAnsi="Times New Roman"/>
          <w:sz w:val="17"/>
          <w:szCs w:val="17"/>
          <w:color w:val="auto"/>
        </w:rPr>
        <w:t>Lynne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-123190</wp:posOffset>
            </wp:positionV>
            <wp:extent cx="22567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2256790" cy="8255"/>
                    </a:xfrm>
                    <a:prstGeom prst="rect">
                      <a:avLst/>
                    </a:prstGeom>
                    <a:noFill/>
                  </pic:spPr>
                </pic:pic>
              </a:graphicData>
            </a:graphic>
          </wp:anchor>
        </w:drawing>
      </w:r>
    </w:p>
    <w:p>
      <w:pPr>
        <w:spacing w:after="0" w:line="2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*By: /s/ Alexander Cumbo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15240</wp:posOffset>
            </wp:positionV>
            <wp:extent cx="26276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2627630" cy="8255"/>
                    </a:xfrm>
                    <a:prstGeom prst="rect">
                      <a:avLst/>
                    </a:prstGeom>
                    <a:noFill/>
                  </pic:spPr>
                </pic:pic>
              </a:graphicData>
            </a:graphic>
          </wp:anchor>
        </w:drawing>
      </w:r>
    </w:p>
    <w:p>
      <w:pPr>
        <w:spacing w:after="0" w:line="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Alexander Cumbo</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Attorney-in-Fact</w:t>
      </w:r>
    </w:p>
    <w:p>
      <w:pPr>
        <w:spacing w:after="0" w:line="13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7"/>
          <w:szCs w:val="17"/>
          <w:color w:val="auto"/>
        </w:rPr>
        <w:t>II-7</w:t>
      </w:r>
    </w:p>
    <w:p>
      <w:pPr>
        <w:sectPr>
          <w:pgSz w:w="11900" w:h="16838" w:orient="portrait"/>
          <w:cols w:equalWidth="0" w:num="1">
            <w:col w:w="10800"/>
          </w:cols>
          <w:pgMar w:left="320" w:top="437" w:right="77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1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We hereby consent to the incorporation by reference in this Amendment No. 1 to the Registration Statement on Form S-3 of Solid Biosciences Inc. of our report dated March 13, 2024 relating to the financial statements, which appears in Solid Biosciences Inc.’s Annual Report on Form 10-K for the year ended December 31, 2023. We also consent to the reference to us under the heading “Experts” in such Registration Statement.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PricewaterhouseCoopers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Boston, Massachusetts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May 15, 2024</w:t>
      </w:r>
    </w:p>
    <w:p>
      <w:pPr>
        <w:sectPr>
          <w:pgSz w:w="11900" w:h="16838" w:orient="portrait"/>
          <w:cols w:equalWidth="0" w:num="1">
            <w:col w:w="10360"/>
          </w:cols>
          <w:pgMar w:left="760" w:top="119" w:right="779" w:bottom="1440" w:gutter="0" w:footer="0" w:header="0"/>
        </w:sectPr>
      </w:pPr>
    </w:p>
    <w:bookmarkStart w:id="75" w:name="page76"/>
    <w:bookmarkEnd w:id="75"/>
    <w:p>
      <w:pPr>
        <w:ind w:left="9540"/>
        <w:spacing w:after="0"/>
        <w:rPr>
          <w:sz w:val="20"/>
          <w:szCs w:val="20"/>
          <w:color w:val="auto"/>
        </w:rPr>
      </w:pPr>
      <w:r>
        <w:rPr>
          <w:rFonts w:ascii="Times New Roman" w:cs="Times New Roman" w:eastAsia="Times New Roman" w:hAnsi="Times New Roman"/>
          <w:sz w:val="17"/>
          <w:szCs w:val="17"/>
          <w:b w:val="1"/>
          <w:bCs w:val="1"/>
          <w:color w:val="auto"/>
        </w:rPr>
        <w:t>Exhibit 107</w:t>
      </w:r>
    </w:p>
    <w:p>
      <w:pPr>
        <w:spacing w:after="0" w:line="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Calculation of Filing Fee Tables</w:t>
      </w:r>
    </w:p>
    <w:p>
      <w:pPr>
        <w:spacing w:after="0" w:line="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Form S-3</w:t>
      </w:r>
    </w:p>
    <w:p>
      <w:pPr>
        <w:spacing w:after="0" w:line="8"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(Form Type)</w:t>
      </w:r>
    </w:p>
    <w:p>
      <w:pPr>
        <w:spacing w:after="0" w:line="195"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Solid Biosciences Inc.</w:t>
      </w:r>
    </w:p>
    <w:p>
      <w:pPr>
        <w:spacing w:after="0" w:line="23"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19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Table 1: Newly Registered and Carry Forward Securities</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132"/>
        </w:trPr>
        <w:tc>
          <w:tcPr>
            <w:tcW w:w="900" w:type="dxa"/>
            <w:vAlign w:val="bottom"/>
            <w:tcBorders>
              <w:top w:val="single" w:sz="8" w:color="auto"/>
              <w:left w:val="single" w:sz="8" w:color="auto"/>
              <w:right w:val="single" w:sz="8" w:color="auto"/>
            </w:tcBorders>
          </w:tcPr>
          <w:p>
            <w:pPr>
              <w:spacing w:after="0"/>
              <w:rPr>
                <w:sz w:val="11"/>
                <w:szCs w:val="11"/>
                <w:color w:val="auto"/>
              </w:rPr>
            </w:pPr>
          </w:p>
        </w:tc>
        <w:tc>
          <w:tcPr>
            <w:tcW w:w="880" w:type="dxa"/>
            <w:vAlign w:val="bottom"/>
            <w:tcBorders>
              <w:top w:val="single" w:sz="8" w:color="auto"/>
              <w:right w:val="single" w:sz="8" w:color="auto"/>
            </w:tcBorders>
          </w:tcPr>
          <w:p>
            <w:pPr>
              <w:spacing w:after="0"/>
              <w:rPr>
                <w:sz w:val="11"/>
                <w:szCs w:val="11"/>
                <w:color w:val="auto"/>
              </w:rPr>
            </w:pPr>
          </w:p>
        </w:tc>
        <w:tc>
          <w:tcPr>
            <w:tcW w:w="92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1420" w:type="dxa"/>
            <w:vAlign w:val="bottom"/>
            <w:tcBorders>
              <w:top w:val="single" w:sz="8" w:color="auto"/>
              <w:right w:val="single" w:sz="8" w:color="auto"/>
            </w:tcBorders>
          </w:tcPr>
          <w:p>
            <w:pPr>
              <w:spacing w:after="0"/>
              <w:rPr>
                <w:sz w:val="11"/>
                <w:szCs w:val="11"/>
                <w:color w:val="auto"/>
              </w:rPr>
            </w:pPr>
          </w:p>
        </w:tc>
        <w:tc>
          <w:tcPr>
            <w:tcW w:w="900" w:type="dxa"/>
            <w:vAlign w:val="bottom"/>
            <w:tcBorders>
              <w:top w:val="single" w:sz="8" w:color="auto"/>
              <w:right w:val="single" w:sz="8" w:color="auto"/>
            </w:tcBorders>
          </w:tcPr>
          <w:p>
            <w:pPr>
              <w:spacing w:after="0"/>
              <w:rPr>
                <w:sz w:val="11"/>
                <w:szCs w:val="11"/>
                <w:color w:val="auto"/>
              </w:rPr>
            </w:pPr>
          </w:p>
        </w:tc>
        <w:tc>
          <w:tcPr>
            <w:tcW w:w="112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940" w:type="dxa"/>
            <w:vAlign w:val="bottom"/>
            <w:tcBorders>
              <w:top w:val="single" w:sz="8" w:color="auto"/>
              <w:right w:val="single" w:sz="8" w:color="auto"/>
            </w:tcBorders>
          </w:tcPr>
          <w:p>
            <w:pPr>
              <w:spacing w:after="0"/>
              <w:rPr>
                <w:sz w:val="11"/>
                <w:szCs w:val="11"/>
                <w:color w:val="auto"/>
              </w:rPr>
            </w:pPr>
          </w:p>
        </w:tc>
        <w:tc>
          <w:tcPr>
            <w:tcW w:w="820" w:type="dxa"/>
            <w:vAlign w:val="bottom"/>
            <w:tcBorders>
              <w:top w:val="single" w:sz="8" w:color="auto"/>
              <w:right w:val="single" w:sz="8" w:color="auto"/>
            </w:tcBorders>
          </w:tcPr>
          <w:p>
            <w:pPr>
              <w:spacing w:after="0"/>
              <w:rPr>
                <w:sz w:val="11"/>
                <w:szCs w:val="11"/>
                <w:color w:val="auto"/>
              </w:rPr>
            </w:pPr>
          </w:p>
        </w:tc>
        <w:tc>
          <w:tcPr>
            <w:tcW w:w="480" w:type="dxa"/>
            <w:vAlign w:val="bottom"/>
            <w:tcBorders>
              <w:top w:val="single" w:sz="8" w:color="auto"/>
            </w:tcBorders>
          </w:tcPr>
          <w:p>
            <w:pPr>
              <w:jc w:val="center"/>
              <w:ind w:left="4"/>
              <w:spacing w:after="0" w:line="132" w:lineRule="exact"/>
              <w:rPr>
                <w:sz w:val="20"/>
                <w:szCs w:val="20"/>
                <w:color w:val="auto"/>
              </w:rPr>
            </w:pPr>
            <w:r>
              <w:rPr>
                <w:rFonts w:ascii="Times New Roman" w:cs="Times New Roman" w:eastAsia="Times New Roman" w:hAnsi="Times New Roman"/>
                <w:sz w:val="14"/>
                <w:szCs w:val="14"/>
                <w:color w:val="auto"/>
                <w:w w:val="95"/>
              </w:rPr>
              <w:t>Filing</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480" w:type="dxa"/>
            <w:vAlign w:val="bottom"/>
          </w:tcPr>
          <w:p>
            <w:pPr>
              <w:jc w:val="center"/>
              <w:ind w:left="24"/>
              <w:spacing w:after="0" w:line="140" w:lineRule="exact"/>
              <w:rPr>
                <w:sz w:val="20"/>
                <w:szCs w:val="20"/>
                <w:color w:val="auto"/>
              </w:rPr>
            </w:pPr>
            <w:r>
              <w:rPr>
                <w:rFonts w:ascii="Times New Roman" w:cs="Times New Roman" w:eastAsia="Times New Roman" w:hAnsi="Times New Roman"/>
                <w:sz w:val="14"/>
                <w:szCs w:val="14"/>
                <w:color w:val="auto"/>
                <w:w w:val="92"/>
              </w:rPr>
              <w:t>Previo</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tcPr>
          <w:p>
            <w:pPr>
              <w:spacing w:after="0"/>
              <w:rPr>
                <w:sz w:val="12"/>
                <w:szCs w:val="12"/>
                <w:color w:val="auto"/>
              </w:rPr>
            </w:pPr>
          </w:p>
        </w:tc>
        <w:tc>
          <w:tcPr>
            <w:tcW w:w="480" w:type="dxa"/>
            <w:vAlign w:val="bottom"/>
          </w:tcPr>
          <w:p>
            <w:pPr>
              <w:jc w:val="center"/>
              <w:ind w:left="84"/>
              <w:spacing w:after="0" w:line="140" w:lineRule="exact"/>
              <w:rPr>
                <w:sz w:val="20"/>
                <w:szCs w:val="20"/>
                <w:color w:val="auto"/>
              </w:rPr>
            </w:pPr>
            <w:r>
              <w:rPr>
                <w:rFonts w:ascii="Times New Roman" w:cs="Times New Roman" w:eastAsia="Times New Roman" w:hAnsi="Times New Roman"/>
                <w:sz w:val="14"/>
                <w:szCs w:val="14"/>
                <w:color w:val="auto"/>
                <w:w w:val="96"/>
              </w:rPr>
              <w:t>Paid</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Proposed</w:t>
            </w:r>
          </w:p>
        </w:tc>
        <w:tc>
          <w:tcPr>
            <w:tcW w:w="14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9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480" w:type="dxa"/>
            <w:vAlign w:val="bottom"/>
          </w:tcPr>
          <w:p>
            <w:pPr>
              <w:jc w:val="center"/>
              <w:ind w:left="4"/>
              <w:spacing w:after="0" w:line="140" w:lineRule="exact"/>
              <w:rPr>
                <w:sz w:val="20"/>
                <w:szCs w:val="20"/>
                <w:color w:val="auto"/>
              </w:rPr>
            </w:pPr>
            <w:r>
              <w:rPr>
                <w:rFonts w:ascii="Times New Roman" w:cs="Times New Roman" w:eastAsia="Times New Roman" w:hAnsi="Times New Roman"/>
                <w:sz w:val="14"/>
                <w:szCs w:val="14"/>
                <w:color w:val="auto"/>
                <w:w w:val="93"/>
              </w:rPr>
              <w:t>Connec</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1420" w:type="dxa"/>
            <w:vAlign w:val="bottom"/>
            <w:tcBorders>
              <w:right w:val="single" w:sz="8" w:color="auto"/>
            </w:tcBorders>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Carry</w:t>
            </w:r>
          </w:p>
        </w:tc>
        <w:tc>
          <w:tcPr>
            <w:tcW w:w="940" w:type="dxa"/>
            <w:vAlign w:val="bottom"/>
            <w:tcBorders>
              <w:right w:val="single" w:sz="8" w:color="auto"/>
            </w:tcBorders>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4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with Un</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Security</w:t>
            </w:r>
          </w:p>
        </w:tc>
        <w:tc>
          <w:tcPr>
            <w:tcW w:w="6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Calculation</w:t>
            </w:r>
          </w:p>
        </w:tc>
        <w:tc>
          <w:tcPr>
            <w:tcW w:w="4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Maximum</w:t>
            </w:r>
          </w:p>
        </w:tc>
        <w:tc>
          <w:tcPr>
            <w:tcW w:w="14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Maximum</w:t>
            </w:r>
          </w:p>
        </w:tc>
        <w:tc>
          <w:tcPr>
            <w:tcW w:w="90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Amount of</w:t>
            </w:r>
          </w:p>
        </w:tc>
        <w:tc>
          <w:tcPr>
            <w:tcW w:w="540" w:type="dxa"/>
            <w:vAlign w:val="bottom"/>
            <w:tcBorders>
              <w:right w:val="single" w:sz="8" w:color="auto"/>
            </w:tcBorders>
            <w:vMerge w:val="continue"/>
          </w:tcPr>
          <w:p>
            <w:pPr>
              <w:spacing w:after="0"/>
              <w:rPr>
                <w:sz w:val="12"/>
                <w:szCs w:val="12"/>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3"/>
              </w:rPr>
              <w:t>Carry</w:t>
            </w:r>
          </w:p>
        </w:tc>
        <w:tc>
          <w:tcPr>
            <w:tcW w:w="8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Forward</w:t>
            </w:r>
          </w:p>
        </w:tc>
        <w:tc>
          <w:tcPr>
            <w:tcW w:w="480" w:type="dxa"/>
            <w:vAlign w:val="bottom"/>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Securiti</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Security</w:t>
            </w:r>
          </w:p>
        </w:tc>
        <w:tc>
          <w:tcPr>
            <w:tcW w:w="92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7"/>
              </w:rPr>
              <w:t>or Carry</w:t>
            </w:r>
          </w:p>
        </w:tc>
        <w:tc>
          <w:tcPr>
            <w:tcW w:w="40" w:type="dxa"/>
            <w:vAlign w:val="bottom"/>
          </w:tcPr>
          <w:p>
            <w:pPr>
              <w:spacing w:after="0"/>
              <w:rPr>
                <w:sz w:val="12"/>
                <w:szCs w:val="12"/>
                <w:color w:val="auto"/>
              </w:rPr>
            </w:pPr>
          </w:p>
        </w:tc>
        <w:tc>
          <w:tcPr>
            <w:tcW w:w="6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5"/>
              </w:rPr>
              <w:t>Amount</w:t>
            </w: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Offering</w:t>
            </w:r>
          </w:p>
        </w:tc>
        <w:tc>
          <w:tcPr>
            <w:tcW w:w="14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1120" w:type="dxa"/>
            <w:vAlign w:val="bottom"/>
            <w:tcBorders>
              <w:right w:val="single" w:sz="8" w:color="auto"/>
            </w:tcBorders>
            <w:vMerge w:val="continue"/>
          </w:tcPr>
          <w:p>
            <w:pPr>
              <w:spacing w:after="0"/>
              <w:rPr>
                <w:sz w:val="12"/>
                <w:szCs w:val="12"/>
                <w:color w:val="auto"/>
              </w:rPr>
            </w:pPr>
          </w:p>
        </w:tc>
        <w:tc>
          <w:tcPr>
            <w:tcW w:w="5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Forward</w:t>
            </w:r>
          </w:p>
        </w:tc>
        <w:tc>
          <w:tcPr>
            <w:tcW w:w="9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5"/>
              </w:rPr>
              <w:t>Initial</w:t>
            </w:r>
          </w:p>
        </w:tc>
        <w:tc>
          <w:tcPr>
            <w:tcW w:w="480" w:type="dxa"/>
            <w:vAlign w:val="bottom"/>
          </w:tcPr>
          <w:p>
            <w:pPr>
              <w:jc w:val="right"/>
              <w:spacing w:after="0" w:line="140" w:lineRule="exact"/>
              <w:rPr>
                <w:sz w:val="20"/>
                <w:szCs w:val="20"/>
                <w:color w:val="auto"/>
              </w:rPr>
            </w:pPr>
            <w:r>
              <w:rPr>
                <w:rFonts w:ascii="Times New Roman" w:cs="Times New Roman" w:eastAsia="Times New Roman" w:hAnsi="Times New Roman"/>
                <w:sz w:val="14"/>
                <w:szCs w:val="14"/>
                <w:color w:val="auto"/>
              </w:rPr>
              <w:t>be</w:t>
            </w:r>
          </w:p>
        </w:tc>
        <w:tc>
          <w:tcPr>
            <w:tcW w:w="0" w:type="dxa"/>
            <w:vAlign w:val="bottom"/>
          </w:tcPr>
          <w:p>
            <w:pPr>
              <w:spacing w:after="0"/>
              <w:rPr>
                <w:sz w:val="1"/>
                <w:szCs w:val="1"/>
                <w:color w:val="auto"/>
              </w:rPr>
            </w:pPr>
          </w:p>
        </w:tc>
      </w:tr>
      <w:tr>
        <w:trPr>
          <w:trHeight w:val="140"/>
        </w:trPr>
        <w:tc>
          <w:tcPr>
            <w:tcW w:w="90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Class</w:t>
            </w:r>
          </w:p>
        </w:tc>
        <w:tc>
          <w:tcPr>
            <w:tcW w:w="68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Forward</w:t>
            </w:r>
          </w:p>
        </w:tc>
        <w:tc>
          <w:tcPr>
            <w:tcW w:w="40" w:type="dxa"/>
            <w:vAlign w:val="bottom"/>
          </w:tcPr>
          <w:p>
            <w:pPr>
              <w:spacing w:after="0"/>
              <w:rPr>
                <w:sz w:val="12"/>
                <w:szCs w:val="12"/>
                <w:color w:val="auto"/>
              </w:rPr>
            </w:pPr>
          </w:p>
        </w:tc>
        <w:tc>
          <w:tcPr>
            <w:tcW w:w="62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Price Per</w:t>
            </w:r>
          </w:p>
        </w:tc>
        <w:tc>
          <w:tcPr>
            <w:tcW w:w="14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8"/>
              </w:rPr>
              <w:t>Aggregate Offering</w:t>
            </w:r>
          </w:p>
        </w:tc>
        <w:tc>
          <w:tcPr>
            <w:tcW w:w="90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Registration</w:t>
            </w:r>
          </w:p>
        </w:tc>
        <w:tc>
          <w:tcPr>
            <w:tcW w:w="5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2"/>
              </w:rPr>
              <w:t>Form</w:t>
            </w:r>
          </w:p>
        </w:tc>
        <w:tc>
          <w:tcPr>
            <w:tcW w:w="94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6"/>
              </w:rPr>
              <w:t>Forward</w:t>
            </w:r>
          </w:p>
        </w:tc>
        <w:tc>
          <w:tcPr>
            <w:tcW w:w="820" w:type="dxa"/>
            <w:vAlign w:val="bottom"/>
            <w:tcBorders>
              <w:right w:val="single" w:sz="8" w:color="auto"/>
            </w:tcBorders>
          </w:tcPr>
          <w:p>
            <w:pPr>
              <w:jc w:val="center"/>
              <w:spacing w:after="0" w:line="140" w:lineRule="exact"/>
              <w:rPr>
                <w:sz w:val="20"/>
                <w:szCs w:val="20"/>
                <w:color w:val="auto"/>
              </w:rPr>
            </w:pPr>
            <w:r>
              <w:rPr>
                <w:rFonts w:ascii="Times New Roman" w:cs="Times New Roman" w:eastAsia="Times New Roman" w:hAnsi="Times New Roman"/>
                <w:sz w:val="14"/>
                <w:szCs w:val="14"/>
                <w:color w:val="auto"/>
                <w:w w:val="93"/>
              </w:rPr>
              <w:t>Effective</w:t>
            </w:r>
          </w:p>
        </w:tc>
        <w:tc>
          <w:tcPr>
            <w:tcW w:w="480" w:type="dxa"/>
            <w:vAlign w:val="bottom"/>
          </w:tcPr>
          <w:p>
            <w:pPr>
              <w:jc w:val="center"/>
              <w:ind w:left="124"/>
              <w:spacing w:after="0" w:line="140" w:lineRule="exact"/>
              <w:rPr>
                <w:sz w:val="20"/>
                <w:szCs w:val="20"/>
                <w:color w:val="auto"/>
              </w:rPr>
            </w:pPr>
            <w:r>
              <w:rPr>
                <w:rFonts w:ascii="Times New Roman" w:cs="Times New Roman" w:eastAsia="Times New Roman" w:hAnsi="Times New Roman"/>
                <w:sz w:val="14"/>
                <w:szCs w:val="14"/>
                <w:color w:val="auto"/>
                <w:w w:val="97"/>
              </w:rPr>
              <w:t>Carri</w:t>
            </w:r>
          </w:p>
        </w:tc>
        <w:tc>
          <w:tcPr>
            <w:tcW w:w="0" w:type="dxa"/>
            <w:vAlign w:val="bottom"/>
          </w:tcPr>
          <w:p>
            <w:pPr>
              <w:spacing w:after="0"/>
              <w:rPr>
                <w:sz w:val="1"/>
                <w:szCs w:val="1"/>
                <w:color w:val="auto"/>
              </w:rPr>
            </w:pPr>
          </w:p>
        </w:tc>
      </w:tr>
      <w:tr>
        <w:trPr>
          <w:trHeight w:val="173"/>
        </w:trPr>
        <w:tc>
          <w:tcPr>
            <w:tcW w:w="900" w:type="dxa"/>
            <w:vAlign w:val="bottom"/>
            <w:tcBorders>
              <w:left w:val="single" w:sz="8" w:color="auto"/>
              <w:bottom w:val="single" w:sz="8" w:color="auto"/>
              <w:right w:val="single" w:sz="8" w:color="auto"/>
            </w:tcBorders>
          </w:tcPr>
          <w:p>
            <w:pPr>
              <w:spacing w:after="0"/>
              <w:rPr>
                <w:sz w:val="15"/>
                <w:szCs w:val="15"/>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Type</w:t>
            </w: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Rule</w:t>
            </w:r>
          </w:p>
        </w:tc>
        <w:tc>
          <w:tcPr>
            <w:tcW w:w="40" w:type="dxa"/>
            <w:vAlign w:val="bottom"/>
            <w:tcBorders>
              <w:bottom w:val="single" w:sz="8" w:color="auto"/>
            </w:tcBorders>
          </w:tcPr>
          <w:p>
            <w:pPr>
              <w:spacing w:after="0"/>
              <w:rPr>
                <w:sz w:val="15"/>
                <w:szCs w:val="15"/>
                <w:color w:val="auto"/>
              </w:rPr>
            </w:pPr>
          </w:p>
        </w:tc>
        <w:tc>
          <w:tcPr>
            <w:tcW w:w="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Registered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6"/>
              </w:rPr>
              <w:t>Unit</w:t>
            </w: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Price</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Rate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Fee</w:t>
            </w:r>
          </w:p>
        </w:tc>
        <w:tc>
          <w:tcPr>
            <w:tcW w:w="54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Type</w:t>
            </w:r>
          </w:p>
        </w:tc>
        <w:tc>
          <w:tcPr>
            <w:tcW w:w="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File Number</w:t>
            </w:r>
          </w:p>
        </w:tc>
        <w:tc>
          <w:tcPr>
            <w:tcW w:w="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0"/>
              </w:rPr>
              <w:t>Date</w:t>
            </w:r>
          </w:p>
        </w:tc>
        <w:tc>
          <w:tcPr>
            <w:tcW w:w="480" w:type="dxa"/>
            <w:vAlign w:val="bottom"/>
            <w:tcBorders>
              <w:bottom w:val="single" w:sz="8" w:color="auto"/>
            </w:tcBorders>
          </w:tcPr>
          <w:p>
            <w:pPr>
              <w:jc w:val="center"/>
              <w:ind w:left="84"/>
              <w:spacing w:after="0"/>
              <w:rPr>
                <w:sz w:val="20"/>
                <w:szCs w:val="20"/>
                <w:color w:val="auto"/>
              </w:rPr>
            </w:pPr>
            <w:r>
              <w:rPr>
                <w:rFonts w:ascii="Times New Roman" w:cs="Times New Roman" w:eastAsia="Times New Roman" w:hAnsi="Times New Roman"/>
                <w:sz w:val="14"/>
                <w:szCs w:val="14"/>
                <w:color w:val="auto"/>
                <w:w w:val="94"/>
              </w:rPr>
              <w:t>Forw</w:t>
            </w:r>
          </w:p>
        </w:tc>
        <w:tc>
          <w:tcPr>
            <w:tcW w:w="0" w:type="dxa"/>
            <w:vAlign w:val="bottom"/>
          </w:tcPr>
          <w:p>
            <w:pPr>
              <w:spacing w:after="0"/>
              <w:rPr>
                <w:sz w:val="1"/>
                <w:szCs w:val="1"/>
                <w:color w:val="auto"/>
              </w:rPr>
            </w:pPr>
          </w:p>
        </w:tc>
      </w:tr>
      <w:tr>
        <w:trPr>
          <w:trHeight w:val="216"/>
        </w:trPr>
        <w:tc>
          <w:tcPr>
            <w:tcW w:w="900" w:type="dxa"/>
            <w:vAlign w:val="bottom"/>
            <w:tcBorders>
              <w:left w:val="single" w:sz="8" w:color="auto"/>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Newly Registered</w:t>
            </w: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Securities</w:t>
            </w: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Fees to Be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Debt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6"/>
              </w:rPr>
              <w:t>— </w:t>
            </w:r>
          </w:p>
        </w:tc>
        <w:tc>
          <w:tcPr>
            <w:tcW w:w="8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25"/>
        </w:trPr>
        <w:tc>
          <w:tcPr>
            <w:tcW w:w="900" w:type="dxa"/>
            <w:vAlign w:val="bottom"/>
            <w:tcBorders>
              <w:left w:val="single" w:sz="8" w:color="auto"/>
              <w:bottom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9"/>
              </w:rPr>
              <w:t>Paid</w:t>
            </w:r>
          </w:p>
        </w:tc>
        <w:tc>
          <w:tcPr>
            <w:tcW w:w="8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Securities</w:t>
            </w: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Fees to Be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6"/>
              </w:rPr>
              <w:t>— </w:t>
            </w:r>
          </w:p>
        </w:tc>
        <w:tc>
          <w:tcPr>
            <w:tcW w:w="8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9"/>
              </w:rPr>
              <w:t>Paid</w:t>
            </w: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$0.001 par</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value per</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Fees to Be</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Preferred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6"/>
              </w:rPr>
              <w:t>— </w:t>
            </w:r>
          </w:p>
        </w:tc>
        <w:tc>
          <w:tcPr>
            <w:tcW w:w="82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9"/>
              </w:rPr>
              <w:t>Paid</w:t>
            </w: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$0.001 par</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value per</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left w:val="single" w:sz="8" w:color="auto"/>
              <w:right w:val="single" w:sz="8" w:color="auto"/>
            </w:tcBorders>
          </w:tcPr>
          <w:p>
            <w:pPr>
              <w:spacing w:after="0"/>
              <w:rPr>
                <w:sz w:val="19"/>
                <w:szCs w:val="19"/>
                <w:color w:val="auto"/>
              </w:rPr>
            </w:pPr>
          </w:p>
        </w:tc>
        <w:tc>
          <w:tcPr>
            <w:tcW w:w="8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900" w:type="dxa"/>
            <w:vAlign w:val="bottom"/>
            <w:tcBorders>
              <w:left w:val="single" w:sz="8" w:color="auto"/>
              <w:right w:val="single" w:sz="8" w:color="auto"/>
            </w:tcBorders>
          </w:tcPr>
          <w:p>
            <w:pPr>
              <w:jc w:val="center"/>
              <w:ind w:left="55"/>
              <w:spacing w:after="0" w:line="192" w:lineRule="exact"/>
              <w:rPr>
                <w:sz w:val="20"/>
                <w:szCs w:val="20"/>
                <w:color w:val="auto"/>
              </w:rPr>
            </w:pPr>
            <w:r>
              <w:rPr>
                <w:rFonts w:ascii="Times New Roman" w:cs="Times New Roman" w:eastAsia="Times New Roman" w:hAnsi="Times New Roman"/>
                <w:sz w:val="17"/>
                <w:szCs w:val="17"/>
                <w:color w:val="auto"/>
              </w:rPr>
              <w:t>Fees to Be</w:t>
            </w:r>
          </w:p>
        </w:tc>
        <w:tc>
          <w:tcPr>
            <w:tcW w:w="88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99"/>
              </w:rPr>
              <w:t>Depositary</w:t>
            </w:r>
          </w:p>
        </w:tc>
        <w:tc>
          <w:tcPr>
            <w:tcW w:w="68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6"/>
                <w:szCs w:val="16"/>
                <w:color w:val="auto"/>
              </w:rPr>
            </w:pPr>
          </w:p>
        </w:tc>
        <w:tc>
          <w:tcPr>
            <w:tcW w:w="6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64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14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90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11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540" w:type="dxa"/>
            <w:vAlign w:val="bottom"/>
            <w:tcBorders>
              <w:right w:val="single" w:sz="8" w:color="auto"/>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86"/>
              </w:rPr>
              <w:t>— </w:t>
            </w:r>
          </w:p>
        </w:tc>
        <w:tc>
          <w:tcPr>
            <w:tcW w:w="820" w:type="dxa"/>
            <w:vAlign w:val="bottom"/>
            <w:tcBorders>
              <w:right w:val="single" w:sz="8" w:color="auto"/>
            </w:tcBorders>
          </w:tcPr>
          <w:p>
            <w:pPr>
              <w:ind w:left="280"/>
              <w:spacing w:after="0" w:line="192" w:lineRule="exact"/>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9"/>
        </w:trPr>
        <w:tc>
          <w:tcPr>
            <w:tcW w:w="90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9"/>
              </w:rPr>
              <w:t>Paid</w:t>
            </w:r>
          </w:p>
        </w:tc>
        <w:tc>
          <w:tcPr>
            <w:tcW w:w="8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Shares (2)</w:t>
            </w: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900" w:type="dxa"/>
            <w:vAlign w:val="bottom"/>
            <w:tcBorders>
              <w:left w:val="single" w:sz="8" w:color="auto"/>
              <w:right w:val="single" w:sz="8" w:color="auto"/>
            </w:tcBorders>
          </w:tcPr>
          <w:p>
            <w:pPr>
              <w:jc w:val="center"/>
              <w:ind w:left="55"/>
              <w:spacing w:after="0" w:line="192" w:lineRule="exact"/>
              <w:rPr>
                <w:sz w:val="20"/>
                <w:szCs w:val="20"/>
                <w:color w:val="auto"/>
              </w:rPr>
            </w:pPr>
            <w:r>
              <w:rPr>
                <w:rFonts w:ascii="Times New Roman" w:cs="Times New Roman" w:eastAsia="Times New Roman" w:hAnsi="Times New Roman"/>
                <w:sz w:val="17"/>
                <w:szCs w:val="17"/>
                <w:color w:val="auto"/>
              </w:rPr>
              <w:t>Fees to Be</w:t>
            </w:r>
          </w:p>
        </w:tc>
        <w:tc>
          <w:tcPr>
            <w:tcW w:w="88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98"/>
              </w:rPr>
              <w:t>Units (3)</w:t>
            </w:r>
          </w:p>
        </w:tc>
        <w:tc>
          <w:tcPr>
            <w:tcW w:w="68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6"/>
                <w:szCs w:val="16"/>
                <w:color w:val="auto"/>
              </w:rPr>
            </w:pPr>
          </w:p>
        </w:tc>
        <w:tc>
          <w:tcPr>
            <w:tcW w:w="6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64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14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90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11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540" w:type="dxa"/>
            <w:vAlign w:val="bottom"/>
            <w:tcBorders>
              <w:right w:val="single" w:sz="8" w:color="auto"/>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86"/>
              </w:rPr>
              <w:t>— </w:t>
            </w:r>
          </w:p>
        </w:tc>
        <w:tc>
          <w:tcPr>
            <w:tcW w:w="820" w:type="dxa"/>
            <w:vAlign w:val="bottom"/>
            <w:tcBorders>
              <w:right w:val="single" w:sz="8" w:color="auto"/>
            </w:tcBorders>
          </w:tcPr>
          <w:p>
            <w:pPr>
              <w:ind w:left="280"/>
              <w:spacing w:after="0" w:line="192" w:lineRule="exact"/>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9"/>
        </w:trPr>
        <w:tc>
          <w:tcPr>
            <w:tcW w:w="90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9"/>
              </w:rPr>
              <w:t>Paid</w:t>
            </w:r>
          </w:p>
        </w:tc>
        <w:tc>
          <w:tcPr>
            <w:tcW w:w="8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900" w:type="dxa"/>
            <w:vAlign w:val="bottom"/>
            <w:tcBorders>
              <w:left w:val="single" w:sz="8" w:color="auto"/>
              <w:right w:val="single" w:sz="8" w:color="auto"/>
            </w:tcBorders>
          </w:tcPr>
          <w:p>
            <w:pPr>
              <w:jc w:val="center"/>
              <w:ind w:left="55"/>
              <w:spacing w:after="0" w:line="192" w:lineRule="exact"/>
              <w:rPr>
                <w:sz w:val="20"/>
                <w:szCs w:val="20"/>
                <w:color w:val="auto"/>
              </w:rPr>
            </w:pPr>
            <w:r>
              <w:rPr>
                <w:rFonts w:ascii="Times New Roman" w:cs="Times New Roman" w:eastAsia="Times New Roman" w:hAnsi="Times New Roman"/>
                <w:sz w:val="17"/>
                <w:szCs w:val="17"/>
                <w:color w:val="auto"/>
              </w:rPr>
              <w:t>Fees to Be</w:t>
            </w:r>
          </w:p>
        </w:tc>
        <w:tc>
          <w:tcPr>
            <w:tcW w:w="88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96"/>
              </w:rPr>
              <w:t>Warrants</w:t>
            </w:r>
          </w:p>
        </w:tc>
        <w:tc>
          <w:tcPr>
            <w:tcW w:w="68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40" w:type="dxa"/>
            <w:vAlign w:val="bottom"/>
          </w:tcPr>
          <w:p>
            <w:pPr>
              <w:spacing w:after="0"/>
              <w:rPr>
                <w:sz w:val="16"/>
                <w:szCs w:val="16"/>
                <w:color w:val="auto"/>
              </w:rPr>
            </w:pPr>
          </w:p>
        </w:tc>
        <w:tc>
          <w:tcPr>
            <w:tcW w:w="6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64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14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90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11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540" w:type="dxa"/>
            <w:vAlign w:val="bottom"/>
            <w:tcBorders>
              <w:right w:val="single" w:sz="8" w:color="auto"/>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86"/>
              </w:rPr>
              <w:t>— </w:t>
            </w:r>
          </w:p>
        </w:tc>
        <w:tc>
          <w:tcPr>
            <w:tcW w:w="820" w:type="dxa"/>
            <w:vAlign w:val="bottom"/>
            <w:tcBorders>
              <w:right w:val="single" w:sz="8" w:color="auto"/>
            </w:tcBorders>
          </w:tcPr>
          <w:p>
            <w:pPr>
              <w:ind w:left="280"/>
              <w:spacing w:after="0" w:line="192" w:lineRule="exact"/>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19"/>
        </w:trPr>
        <w:tc>
          <w:tcPr>
            <w:tcW w:w="90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9"/>
              </w:rPr>
              <w:t>Paid</w:t>
            </w:r>
          </w:p>
        </w:tc>
        <w:tc>
          <w:tcPr>
            <w:tcW w:w="880" w:type="dxa"/>
            <w:vAlign w:val="bottom"/>
            <w:tcBorders>
              <w:right w:val="single" w:sz="8" w:color="auto"/>
            </w:tcBorders>
          </w:tcPr>
          <w:p>
            <w:pPr>
              <w:spacing w:after="0"/>
              <w:rPr>
                <w:sz w:val="19"/>
                <w:szCs w:val="19"/>
                <w:color w:val="auto"/>
              </w:rPr>
            </w:pPr>
          </w:p>
        </w:tc>
        <w:tc>
          <w:tcPr>
            <w:tcW w:w="92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900" w:type="dxa"/>
            <w:vAlign w:val="bottom"/>
            <w:tcBorders>
              <w:left w:val="single" w:sz="8" w:color="auto"/>
              <w:right w:val="single" w:sz="8" w:color="auto"/>
            </w:tcBorders>
          </w:tcPr>
          <w:p>
            <w:pPr>
              <w:jc w:val="center"/>
              <w:ind w:left="55"/>
              <w:spacing w:after="0" w:line="192" w:lineRule="exact"/>
              <w:rPr>
                <w:sz w:val="20"/>
                <w:szCs w:val="20"/>
                <w:color w:val="auto"/>
              </w:rPr>
            </w:pPr>
            <w:r>
              <w:rPr>
                <w:rFonts w:ascii="Times New Roman" w:cs="Times New Roman" w:eastAsia="Times New Roman" w:hAnsi="Times New Roman"/>
                <w:sz w:val="17"/>
                <w:szCs w:val="17"/>
                <w:color w:val="auto"/>
              </w:rPr>
              <w:t>Fees to Be</w:t>
            </w:r>
          </w:p>
        </w:tc>
        <w:tc>
          <w:tcPr>
            <w:tcW w:w="88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99"/>
              </w:rPr>
              <w:t>Unallocated</w:t>
            </w:r>
          </w:p>
        </w:tc>
        <w:tc>
          <w:tcPr>
            <w:tcW w:w="9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99"/>
              </w:rPr>
              <w:t>Unallocated</w:t>
            </w:r>
          </w:p>
        </w:tc>
        <w:tc>
          <w:tcPr>
            <w:tcW w:w="68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457(o)</w:t>
            </w:r>
          </w:p>
        </w:tc>
        <w:tc>
          <w:tcPr>
            <w:tcW w:w="40" w:type="dxa"/>
            <w:vAlign w:val="bottom"/>
          </w:tcPr>
          <w:p>
            <w:pPr>
              <w:spacing w:after="0"/>
              <w:rPr>
                <w:sz w:val="16"/>
                <w:szCs w:val="16"/>
                <w:color w:val="auto"/>
              </w:rPr>
            </w:pPr>
          </w:p>
        </w:tc>
        <w:tc>
          <w:tcPr>
            <w:tcW w:w="6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64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14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99"/>
              </w:rPr>
              <w:t>$6,213,553</w:t>
            </w:r>
          </w:p>
        </w:tc>
        <w:tc>
          <w:tcPr>
            <w:tcW w:w="90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0.00014760</w:t>
            </w:r>
          </w:p>
        </w:tc>
        <w:tc>
          <w:tcPr>
            <w:tcW w:w="11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$917.12</w:t>
            </w:r>
          </w:p>
        </w:tc>
        <w:tc>
          <w:tcPr>
            <w:tcW w:w="540" w:type="dxa"/>
            <w:vAlign w:val="bottom"/>
            <w:tcBorders>
              <w:right w:val="single" w:sz="8" w:color="auto"/>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86"/>
              </w:rPr>
              <w:t>— </w:t>
            </w:r>
          </w:p>
        </w:tc>
        <w:tc>
          <w:tcPr>
            <w:tcW w:w="820" w:type="dxa"/>
            <w:vAlign w:val="bottom"/>
            <w:tcBorders>
              <w:right w:val="single" w:sz="8" w:color="auto"/>
            </w:tcBorders>
          </w:tcPr>
          <w:p>
            <w:pPr>
              <w:ind w:left="280"/>
              <w:spacing w:after="0" w:line="192" w:lineRule="exact"/>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9"/>
              </w:rPr>
              <w:t>Paid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(Universal)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(1)(4)</w:t>
            </w: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left w:val="single" w:sz="8" w:color="auto"/>
              <w:right w:val="single" w:sz="8" w:color="auto"/>
            </w:tcBorders>
          </w:tcPr>
          <w:p>
            <w:pPr>
              <w:spacing w:after="0"/>
              <w:rPr>
                <w:sz w:val="19"/>
                <w:szCs w:val="19"/>
                <w:color w:val="auto"/>
              </w:rPr>
            </w:pP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900" w:type="dxa"/>
            <w:vAlign w:val="bottom"/>
            <w:tcBorders>
              <w:left w:val="single" w:sz="8" w:color="auto"/>
              <w:right w:val="single" w:sz="8" w:color="auto"/>
            </w:tcBorders>
          </w:tcPr>
          <w:p>
            <w:pPr>
              <w:jc w:val="center"/>
              <w:ind w:left="55"/>
              <w:spacing w:after="0" w:line="192" w:lineRule="exact"/>
              <w:rPr>
                <w:sz w:val="20"/>
                <w:szCs w:val="20"/>
                <w:color w:val="auto"/>
              </w:rPr>
            </w:pPr>
            <w:r>
              <w:rPr>
                <w:rFonts w:ascii="Times New Roman" w:cs="Times New Roman" w:eastAsia="Times New Roman" w:hAnsi="Times New Roman"/>
                <w:sz w:val="17"/>
                <w:szCs w:val="17"/>
                <w:color w:val="auto"/>
              </w:rPr>
              <w:t>Fees</w:t>
            </w:r>
          </w:p>
        </w:tc>
        <w:tc>
          <w:tcPr>
            <w:tcW w:w="88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99"/>
              </w:rPr>
              <w:t>Unallocated</w:t>
            </w:r>
          </w:p>
        </w:tc>
        <w:tc>
          <w:tcPr>
            <w:tcW w:w="9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99"/>
              </w:rPr>
              <w:t>Unallocated</w:t>
            </w:r>
          </w:p>
        </w:tc>
        <w:tc>
          <w:tcPr>
            <w:tcW w:w="68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457(o)</w:t>
            </w:r>
          </w:p>
        </w:tc>
        <w:tc>
          <w:tcPr>
            <w:tcW w:w="40" w:type="dxa"/>
            <w:vAlign w:val="bottom"/>
          </w:tcPr>
          <w:p>
            <w:pPr>
              <w:spacing w:after="0"/>
              <w:rPr>
                <w:sz w:val="16"/>
                <w:szCs w:val="16"/>
                <w:color w:val="auto"/>
              </w:rPr>
            </w:pPr>
          </w:p>
        </w:tc>
        <w:tc>
          <w:tcPr>
            <w:tcW w:w="6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64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rPr>
              <w:t>(1)</w:t>
            </w:r>
          </w:p>
        </w:tc>
        <w:tc>
          <w:tcPr>
            <w:tcW w:w="14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99"/>
              </w:rPr>
              <w:t>$105,465,492(1)(4)</w:t>
            </w:r>
          </w:p>
        </w:tc>
        <w:tc>
          <w:tcPr>
            <w:tcW w:w="90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99"/>
              </w:rPr>
              <w:t>0.00014760</w:t>
            </w:r>
          </w:p>
        </w:tc>
        <w:tc>
          <w:tcPr>
            <w:tcW w:w="112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99"/>
              </w:rPr>
              <w:t>$15,566.71</w:t>
            </w:r>
          </w:p>
        </w:tc>
        <w:tc>
          <w:tcPr>
            <w:tcW w:w="540" w:type="dxa"/>
            <w:vAlign w:val="bottom"/>
            <w:tcBorders>
              <w:right w:val="single" w:sz="8" w:color="auto"/>
            </w:tcBorders>
          </w:tcPr>
          <w:p>
            <w:pPr>
              <w:ind w:left="160"/>
              <w:spacing w:after="0" w:line="192" w:lineRule="exact"/>
              <w:rPr>
                <w:sz w:val="20"/>
                <w:szCs w:val="20"/>
                <w:color w:val="auto"/>
              </w:rPr>
            </w:pPr>
            <w:r>
              <w:rPr>
                <w:rFonts w:ascii="Times New Roman" w:cs="Times New Roman" w:eastAsia="Times New Roman" w:hAnsi="Times New Roman"/>
                <w:sz w:val="17"/>
                <w:szCs w:val="17"/>
                <w:color w:val="auto"/>
              </w:rPr>
              <w:t>— </w:t>
            </w:r>
          </w:p>
        </w:tc>
        <w:tc>
          <w:tcPr>
            <w:tcW w:w="940" w:type="dxa"/>
            <w:vAlign w:val="bottom"/>
            <w:tcBorders>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7"/>
                <w:szCs w:val="17"/>
                <w:color w:val="auto"/>
                <w:w w:val="86"/>
              </w:rPr>
              <w:t>— </w:t>
            </w:r>
          </w:p>
        </w:tc>
        <w:tc>
          <w:tcPr>
            <w:tcW w:w="820" w:type="dxa"/>
            <w:vAlign w:val="bottom"/>
            <w:tcBorders>
              <w:right w:val="single" w:sz="8" w:color="auto"/>
            </w:tcBorders>
          </w:tcPr>
          <w:p>
            <w:pPr>
              <w:ind w:left="280"/>
              <w:spacing w:after="0" w:line="192" w:lineRule="exact"/>
              <w:rPr>
                <w:sz w:val="20"/>
                <w:szCs w:val="20"/>
                <w:color w:val="auto"/>
              </w:rPr>
            </w:pPr>
            <w:r>
              <w:rPr>
                <w:rFonts w:ascii="Times New Roman" w:cs="Times New Roman" w:eastAsia="Times New Roman" w:hAnsi="Times New Roman"/>
                <w:sz w:val="17"/>
                <w:szCs w:val="17"/>
                <w:color w:val="auto"/>
              </w:rPr>
              <w:t>— </w:t>
            </w:r>
          </w:p>
        </w:tc>
        <w:tc>
          <w:tcPr>
            <w:tcW w:w="480" w:type="dxa"/>
            <w:vAlign w:val="bottom"/>
          </w:tcPr>
          <w:p>
            <w:pPr>
              <w:jc w:val="right"/>
              <w:spacing w:after="0" w:line="192" w:lineRule="exact"/>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w w:val="98"/>
              </w:rPr>
              <w:t>Previously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(Universal)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left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7"/>
                <w:szCs w:val="17"/>
                <w:color w:val="auto"/>
                <w:w w:val="99"/>
              </w:rPr>
              <w:t>Paid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32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7"/>
                <w:szCs w:val="17"/>
                <w:color w:val="auto"/>
              </w:rPr>
              <w:t>Carry Forward Securities</w:t>
            </w:r>
          </w:p>
        </w:tc>
        <w:tc>
          <w:tcPr>
            <w:tcW w:w="1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Debt</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Debt</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415(a)(6)</w:t>
            </w:r>
          </w:p>
        </w:tc>
        <w:tc>
          <w:tcPr>
            <w:tcW w:w="40" w:type="dxa"/>
            <w:vAlign w:val="bottom"/>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333-258859</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August 27,</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Securities</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2021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Common</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415(a)(6)</w:t>
            </w:r>
          </w:p>
        </w:tc>
        <w:tc>
          <w:tcPr>
            <w:tcW w:w="40" w:type="dxa"/>
            <w:vAlign w:val="bottom"/>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333-258859</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August 27,</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2021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$0.001 par</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value per</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Equity</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Preferred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415(a)(6)</w:t>
            </w:r>
          </w:p>
        </w:tc>
        <w:tc>
          <w:tcPr>
            <w:tcW w:w="40" w:type="dxa"/>
            <w:vAlign w:val="bottom"/>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333-258859</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August 27,</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Stock,</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2021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$0.001 par</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value per</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w:t>
            </w: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Depositary</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415(a)(6)</w:t>
            </w:r>
          </w:p>
        </w:tc>
        <w:tc>
          <w:tcPr>
            <w:tcW w:w="40" w:type="dxa"/>
            <w:vAlign w:val="bottom"/>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333-258859</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August 27,</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Shares(2)</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2021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Units(3)</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415(a)(6)</w:t>
            </w:r>
          </w:p>
        </w:tc>
        <w:tc>
          <w:tcPr>
            <w:tcW w:w="40" w:type="dxa"/>
            <w:vAlign w:val="bottom"/>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333-258859</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August 27,</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2021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Warrants</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415(a)(6)</w:t>
            </w:r>
          </w:p>
        </w:tc>
        <w:tc>
          <w:tcPr>
            <w:tcW w:w="40" w:type="dxa"/>
            <w:vAlign w:val="bottom"/>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333-258859</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August 27,</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spacing w:after="0"/>
              <w:rPr>
                <w:sz w:val="17"/>
                <w:szCs w:val="17"/>
                <w:color w:val="auto"/>
              </w:rPr>
            </w:pPr>
          </w:p>
        </w:tc>
        <w:tc>
          <w:tcPr>
            <w:tcW w:w="920" w:type="dxa"/>
            <w:vAlign w:val="bottom"/>
            <w:tcBorders>
              <w:right w:val="single" w:sz="8" w:color="auto"/>
            </w:tcBorders>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2021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900" w:type="dxa"/>
            <w:vAlign w:val="bottom"/>
            <w:tcBorders>
              <w:left w:val="single" w:sz="8" w:color="auto"/>
              <w:bottom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right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spacing w:after="0"/>
              <w:rPr>
                <w:sz w:val="19"/>
                <w:szCs w:val="19"/>
                <w:color w:val="auto"/>
              </w:rPr>
            </w:pPr>
          </w:p>
        </w:tc>
        <w:tc>
          <w:tcPr>
            <w:tcW w:w="5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Carry</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Unallocated</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Unallocated</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415(a)(6)</w:t>
            </w:r>
          </w:p>
        </w:tc>
        <w:tc>
          <w:tcPr>
            <w:tcW w:w="40" w:type="dxa"/>
            <w:vAlign w:val="bottom"/>
          </w:tcPr>
          <w:p>
            <w:pPr>
              <w:spacing w:after="0"/>
              <w:rPr>
                <w:sz w:val="17"/>
                <w:szCs w:val="17"/>
                <w:color w:val="auto"/>
              </w:rPr>
            </w:pPr>
          </w:p>
        </w:tc>
        <w:tc>
          <w:tcPr>
            <w:tcW w:w="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w:t>
            </w: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$188,320,955(4)</w:t>
            </w: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S-3</w:t>
            </w:r>
          </w:p>
        </w:tc>
        <w:tc>
          <w:tcPr>
            <w:tcW w:w="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333-258859</w:t>
            </w: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August 27,</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$20,54</w:t>
            </w:r>
          </w:p>
        </w:tc>
        <w:tc>
          <w:tcPr>
            <w:tcW w:w="0" w:type="dxa"/>
            <w:vAlign w:val="bottom"/>
          </w:tcPr>
          <w:p>
            <w:pPr>
              <w:spacing w:after="0"/>
              <w:rPr>
                <w:sz w:val="1"/>
                <w:szCs w:val="1"/>
                <w:color w:val="auto"/>
              </w:rPr>
            </w:pPr>
          </w:p>
        </w:tc>
      </w:tr>
      <w:tr>
        <w:trPr>
          <w:trHeight w:val="203"/>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w w:val="97"/>
              </w:rPr>
              <w:t>Forward</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(Universal)</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(Universal)</w:t>
            </w:r>
          </w:p>
        </w:tc>
        <w:tc>
          <w:tcPr>
            <w:tcW w:w="6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1420" w:type="dxa"/>
            <w:vAlign w:val="bottom"/>
            <w:tcBorders>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94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2021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900" w:type="dxa"/>
            <w:vAlign w:val="bottom"/>
            <w:tcBorders>
              <w:left w:val="single" w:sz="8" w:color="auto"/>
              <w:right w:val="single" w:sz="8" w:color="auto"/>
            </w:tcBorders>
          </w:tcPr>
          <w:p>
            <w:pPr>
              <w:jc w:val="center"/>
              <w:ind w:left="55"/>
              <w:spacing w:after="0"/>
              <w:rPr>
                <w:sz w:val="20"/>
                <w:szCs w:val="20"/>
                <w:color w:val="auto"/>
              </w:rPr>
            </w:pPr>
            <w:r>
              <w:rPr>
                <w:rFonts w:ascii="Times New Roman" w:cs="Times New Roman" w:eastAsia="Times New Roman" w:hAnsi="Times New Roman"/>
                <w:sz w:val="17"/>
                <w:szCs w:val="17"/>
                <w:color w:val="auto"/>
              </w:rPr>
              <w:t>Securities</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Shelf</w:t>
            </w:r>
          </w:p>
        </w:tc>
        <w:tc>
          <w:tcPr>
            <w:tcW w:w="68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Borders>
              <w:right w:val="single" w:sz="8" w:color="auto"/>
            </w:tcBorders>
          </w:tcPr>
          <w:p>
            <w:pPr>
              <w:spacing w:after="0"/>
              <w:rPr>
                <w:sz w:val="19"/>
                <w:szCs w:val="19"/>
                <w:color w:val="auto"/>
              </w:rPr>
            </w:pPr>
          </w:p>
        </w:tc>
        <w:tc>
          <w:tcPr>
            <w:tcW w:w="640" w:type="dxa"/>
            <w:vAlign w:val="bottom"/>
            <w:tcBorders>
              <w:right w:val="single" w:sz="8" w:color="auto"/>
            </w:tcBorders>
          </w:tcPr>
          <w:p>
            <w:pPr>
              <w:spacing w:after="0"/>
              <w:rPr>
                <w:sz w:val="19"/>
                <w:szCs w:val="19"/>
                <w:color w:val="auto"/>
              </w:rPr>
            </w:pPr>
          </w:p>
        </w:tc>
        <w:tc>
          <w:tcPr>
            <w:tcW w:w="1420" w:type="dxa"/>
            <w:vAlign w:val="bottom"/>
            <w:tcBorders>
              <w:right w:val="single" w:sz="8" w:color="auto"/>
            </w:tcBorders>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540" w:type="dxa"/>
            <w:vAlign w:val="bottom"/>
            <w:tcBorders>
              <w:right w:val="single" w:sz="8" w:color="auto"/>
            </w:tcBorders>
          </w:tcPr>
          <w:p>
            <w:pPr>
              <w:spacing w:after="0"/>
              <w:rPr>
                <w:sz w:val="19"/>
                <w:szCs w:val="19"/>
                <w:color w:val="auto"/>
              </w:rPr>
            </w:pPr>
          </w:p>
        </w:tc>
        <w:tc>
          <w:tcPr>
            <w:tcW w:w="940" w:type="dxa"/>
            <w:vAlign w:val="bottom"/>
            <w:tcBorders>
              <w:right w:val="single" w:sz="8" w:color="auto"/>
            </w:tcBorders>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900" w:type="dxa"/>
            <w:vAlign w:val="bottom"/>
            <w:tcBorders>
              <w:left w:val="single" w:sz="8" w:color="auto"/>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2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14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540" w:type="dxa"/>
            <w:vAlign w:val="bottom"/>
            <w:tcBorders>
              <w:bottom w:val="single" w:sz="8" w:color="auto"/>
              <w:right w:val="single" w:sz="8" w:color="auto"/>
            </w:tcBorders>
          </w:tcPr>
          <w:p>
            <w:pPr>
              <w:spacing w:after="0"/>
              <w:rPr>
                <w:sz w:val="2"/>
                <w:szCs w:val="2"/>
                <w:color w:val="auto"/>
              </w:rPr>
            </w:pPr>
          </w:p>
        </w:tc>
        <w:tc>
          <w:tcPr>
            <w:tcW w:w="9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900" w:type="dxa"/>
            <w:vAlign w:val="bottom"/>
            <w:tcBorders>
              <w:left w:val="single" w:sz="8" w:color="auto"/>
              <w:bottom w:val="single" w:sz="8" w:color="auto"/>
              <w:right w:val="single" w:sz="8" w:color="auto"/>
            </w:tcBorders>
          </w:tcPr>
          <w:p>
            <w:pPr>
              <w:spacing w:after="0"/>
              <w:rPr>
                <w:sz w:val="18"/>
                <w:szCs w:val="18"/>
                <w:color w:val="auto"/>
              </w:rPr>
            </w:pPr>
          </w:p>
        </w:tc>
        <w:tc>
          <w:tcPr>
            <w:tcW w:w="2520" w:type="dxa"/>
            <w:vAlign w:val="bottom"/>
            <w:tcBorders>
              <w:bottom w:val="single" w:sz="8" w:color="auto"/>
            </w:tcBorders>
            <w:gridSpan w:val="4"/>
          </w:tcPr>
          <w:p>
            <w:pPr>
              <w:jc w:val="center"/>
              <w:ind w:left="557"/>
              <w:spacing w:after="0"/>
              <w:rPr>
                <w:sz w:val="20"/>
                <w:szCs w:val="20"/>
                <w:color w:val="auto"/>
              </w:rPr>
            </w:pPr>
            <w:r>
              <w:rPr>
                <w:rFonts w:ascii="Times New Roman" w:cs="Times New Roman" w:eastAsia="Times New Roman" w:hAnsi="Times New Roman"/>
                <w:sz w:val="17"/>
                <w:szCs w:val="17"/>
                <w:color w:val="auto"/>
                <w:w w:val="99"/>
              </w:rPr>
              <w:t>Total Offering Amounts </w:t>
            </w:r>
          </w:p>
        </w:tc>
        <w:tc>
          <w:tcPr>
            <w:tcW w:w="620" w:type="dxa"/>
            <w:vAlign w:val="bottom"/>
            <w:tcBorders>
              <w:bottom w:val="single" w:sz="8" w:color="auto"/>
              <w:right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$300,000,000 (1)(4)</w:t>
            </w:r>
          </w:p>
        </w:tc>
        <w:tc>
          <w:tcPr>
            <w:tcW w:w="90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$16,483.83</w:t>
            </w:r>
          </w:p>
        </w:tc>
        <w:tc>
          <w:tcPr>
            <w:tcW w:w="54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2520" w:type="dxa"/>
            <w:vAlign w:val="bottom"/>
            <w:tcBorders>
              <w:bottom w:val="single" w:sz="8" w:color="auto"/>
            </w:tcBorders>
            <w:gridSpan w:val="4"/>
          </w:tcPr>
          <w:p>
            <w:pPr>
              <w:jc w:val="center"/>
              <w:ind w:left="557"/>
              <w:spacing w:after="0"/>
              <w:rPr>
                <w:sz w:val="20"/>
                <w:szCs w:val="20"/>
                <w:color w:val="auto"/>
              </w:rPr>
            </w:pPr>
            <w:r>
              <w:rPr>
                <w:rFonts w:ascii="Times New Roman" w:cs="Times New Roman" w:eastAsia="Times New Roman" w:hAnsi="Times New Roman"/>
                <w:sz w:val="17"/>
                <w:szCs w:val="17"/>
                <w:color w:val="auto"/>
                <w:w w:val="98"/>
              </w:rPr>
              <w:t>Total Fees Previously Paid </w:t>
            </w: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xml:space="preserve">$15,566.71(4) </w:t>
            </w:r>
          </w:p>
        </w:tc>
        <w:tc>
          <w:tcPr>
            <w:tcW w:w="5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7"/>
                <w:szCs w:val="17"/>
                <w:color w:val="auto"/>
                <w:w w:val="98"/>
              </w:rPr>
              <w:t>Total Fee Offsets </w:t>
            </w: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86"/>
              </w:rPr>
              <w:t>— </w:t>
            </w:r>
          </w:p>
        </w:tc>
        <w:tc>
          <w:tcPr>
            <w:tcW w:w="5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900" w:type="dxa"/>
            <w:vAlign w:val="bottom"/>
            <w:tcBorders>
              <w:left w:val="single" w:sz="8" w:color="auto"/>
              <w:bottom w:val="single" w:sz="8" w:color="auto"/>
              <w:right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7"/>
                <w:szCs w:val="17"/>
                <w:color w:val="auto"/>
              </w:rPr>
              <w:t>Net Fee Due </w:t>
            </w:r>
          </w:p>
        </w:tc>
        <w:tc>
          <w:tcPr>
            <w:tcW w:w="620" w:type="dxa"/>
            <w:vAlign w:val="bottom"/>
            <w:tcBorders>
              <w:bottom w:val="single" w:sz="8" w:color="auto"/>
              <w:right w:val="single" w:sz="8" w:color="auto"/>
            </w:tcBorders>
          </w:tcPr>
          <w:p>
            <w:pPr>
              <w:spacing w:after="0"/>
              <w:rPr>
                <w:sz w:val="19"/>
                <w:szCs w:val="19"/>
                <w:color w:val="auto"/>
              </w:rPr>
            </w:pPr>
          </w:p>
        </w:tc>
        <w:tc>
          <w:tcPr>
            <w:tcW w:w="640" w:type="dxa"/>
            <w:vAlign w:val="bottom"/>
            <w:tcBorders>
              <w:bottom w:val="single" w:sz="8" w:color="auto"/>
              <w:right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spacing w:after="0"/>
              <w:rPr>
                <w:sz w:val="19"/>
                <w:szCs w:val="19"/>
                <w:color w:val="auto"/>
              </w:rPr>
            </w:pPr>
          </w:p>
        </w:tc>
        <w:tc>
          <w:tcPr>
            <w:tcW w:w="900" w:type="dxa"/>
            <w:vAlign w:val="bottom"/>
            <w:tcBorders>
              <w:bottom w:val="single" w:sz="8" w:color="auto"/>
              <w:right w:val="single" w:sz="8" w:color="auto"/>
            </w:tcBorders>
          </w:tcPr>
          <w:p>
            <w:pPr>
              <w:spacing w:after="0"/>
              <w:rPr>
                <w:sz w:val="19"/>
                <w:szCs w:val="19"/>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$917.12(4)</w:t>
            </w:r>
          </w:p>
        </w:tc>
        <w:tc>
          <w:tcPr>
            <w:tcW w:w="540" w:type="dxa"/>
            <w:vAlign w:val="bottom"/>
            <w:tcBorders>
              <w:bottom w:val="single" w:sz="8" w:color="auto"/>
              <w:right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760" w:top="119" w:right="239" w:bottom="726" w:gutter="0" w:footer="0" w:header="0"/>
        </w:sectPr>
      </w:pPr>
    </w:p>
    <w:bookmarkStart w:id="76" w:name="page77"/>
    <w:bookmarkEnd w:id="76"/>
    <w:p>
      <w:pPr>
        <w:ind w:left="414" w:right="80" w:hanging="414"/>
        <w:spacing w:after="0" w:line="251" w:lineRule="auto"/>
        <w:tabs>
          <w:tab w:leader="none" w:pos="41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Instruction 2.A(iii)(b) of Item 16(b) of Form S-3, this information is not required to be included. An indeterminate amount of the securities of each identified class is being registered as may from time to time be offered under this registration statement at indeterminate prices, along with an indeterminate number of securities that may be issued upon exercise, settlement, exchange or conversion of securities offered or sold under this registration statement, as shall have an aggregate initial offering price up to $300,000,000. Pursuant to Rule 416 under the Securities Act of 1933, as amended (the “Securities Act”), this registration statement also covers any additional securities that may be offered or issued in connection with any stock split, stock dividend or pursuant to anti-dilution provisions of any of the securities. Separate consideration may or may not be received for securities that are issuable upon conversion, exercise or exchange of other securities. In addition, the total amount to be registered and the proposed maximum aggregate offering price are estimated solely for the purpose of calculating the registration fee pursuant to Rule 457(o) under the Securities Act.</w:t>
      </w:r>
    </w:p>
    <w:p>
      <w:pPr>
        <w:spacing w:after="0" w:line="3" w:lineRule="exact"/>
        <w:rPr>
          <w:rFonts w:ascii="Times New Roman" w:cs="Times New Roman" w:eastAsia="Times New Roman" w:hAnsi="Times New Roman"/>
          <w:sz w:val="17"/>
          <w:szCs w:val="17"/>
          <w:color w:val="auto"/>
        </w:rPr>
      </w:pPr>
    </w:p>
    <w:p>
      <w:pPr>
        <w:ind w:left="414" w:right="40" w:hanging="414"/>
        <w:spacing w:after="0" w:line="249" w:lineRule="auto"/>
        <w:tabs>
          <w:tab w:leader="none" w:pos="41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depositary share will be issued under a deposit agreement, will represent an interest in a fractional share or multiple shares of preferred stock and will be evidenced by a depositary receipt.</w:t>
      </w:r>
    </w:p>
    <w:p>
      <w:pPr>
        <w:ind w:left="414" w:right="260" w:hanging="414"/>
        <w:spacing w:after="0" w:line="249" w:lineRule="auto"/>
        <w:tabs>
          <w:tab w:leader="none" w:pos="41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Units may be issued under a unit agreement and will represent an interest in one or more securities registered under this registration statement including shares of common stock or preferred stock, debt securities or warrants, in any combination, which may or may not be separable from one another.</w:t>
      </w:r>
    </w:p>
    <w:p>
      <w:pPr>
        <w:ind w:left="414" w:hanging="414"/>
        <w:spacing w:after="0" w:line="249" w:lineRule="auto"/>
        <w:tabs>
          <w:tab w:leader="none" w:pos="414"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415(a)(6) under the Securities Act, the securities registered pursuant to this registration statement include $188,320,955 of unsold securities (the “Unsold Securities”) previously registered pursuant to the Registration Statement on Form S-3 (File No. 333-258859), which was declared effective on August 27, 2021 (the “Prior Registration Statement”). In connection with the filing of the Prior Registration Statement, the registrant paid a filing fee of $20,545.82 associated with the offering of the Unsold Securities (based on the filing fee rate in effect at the time of the filing of the Prior Registration Statement). The filing fee associated with the offering of the Unsold Securities is hereby carried forward to be applied to the Unsold Securities registered hereunder, and no additional filing fee is due with respect to the Unsold Securities in connection with the filing of this registration statement. The registrant is also registering new securities on this registration statement with an aggregate initial offering price of $111,679,045 (the “New Securities”), which aggregate offering price is not specified as to each class of securities. The registrant previously paid a registration fee of $15,566.71 in respect of the New Securities with a proposed maximum aggregate offering price of $105,465,492 in connection with the initial filing of this registration statement, and an additional filing fee of $917.12 with respect to the New Securities is being paid concurrently with the filing of this Amendment No. 1 to the registration statement. To the extent that, after the filing date hereof and prior to the effectiveness of this registration statement, the registrant sells any Unsold Securities pursuant to the Prior Registration Statement, the registrant will identify in a pre-effective amendment to this registration statement the updated number of Unsold Securities from the Prior Registration Statement to be included in this registration statement pursuant to Rule 415(a)(6) and the updated amount of new securities to be registered on this registration statement. Pursuant to Rule 415(a)(6), the offering of securities under the Prior Registration Statement will be deemed terminated as of the date of effectiveness of this registration statement.</w:t>
      </w:r>
    </w:p>
    <w:sectPr>
      <w:pgSz w:w="11900" w:h="16838" w:orient="portrait"/>
      <w:cols w:equalWidth="0" w:num="1">
        <w:col w:w="10354"/>
      </w:cols>
      <w:pgMar w:left="766" w:top="123"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617"/>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lvl w:ilvl="1">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lvl w:ilvl="1">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1)"/>
      <w:numFmt w:val="decimal"/>
      <w:start w:val="4"/>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1)"/>
      <w:numFmt w:val="decimal"/>
      <w:start w:val="617"/>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1"/>
      <w:numFmt w:val="decimal"/>
      <w:start w:val="107"/>
    </w:lvl>
  </w:abstractNum>
  <w:abstractNum w:abstractNumId="49">
    <w:nsid w:val="4F4EF005"/>
    <w:multiLevelType w:val="hybridMultilevel"/>
    <w:lvl w:ilvl="0">
      <w:lvlJc w:val="left"/>
      <w:lvlText w:val="*"/>
      <w:numFmt w:val="bullet"/>
      <w:start w:val="1"/>
    </w:lvl>
  </w:abstractNum>
  <w:abstractNum w:abstractNumId="50">
    <w:nsid w:val="23F9C13C"/>
    <w:multiLevelType w:val="hybridMultilevel"/>
    <w:lvl w:ilvl="0">
      <w:lvlJc w:val="left"/>
      <w:lvlText w:val="**"/>
      <w:numFmt w:val="bullet"/>
      <w:start w:val="1"/>
    </w:lvl>
  </w:abstractNum>
  <w:abstractNum w:abstractNumId="51">
    <w:nsid w:val="649BB77C"/>
    <w:multiLevelType w:val="hybridMultilevel"/>
    <w:lvl w:ilvl="0">
      <w:lvlJc w:val="left"/>
      <w:lvlText w:val="***"/>
      <w:numFmt w:val="bullet"/>
      <w:start w:val="1"/>
    </w:lvl>
  </w:abstractNum>
  <w:abstractNum w:abstractNumId="52">
    <w:nsid w:val="275AC794"/>
    <w:multiLevelType w:val="hybridMultilevel"/>
    <w:lvl w:ilvl="0">
      <w:lvlJc w:val="left"/>
      <w:lvlText w:val="(%1)"/>
      <w:numFmt w:val="lowerRoman"/>
      <w:start w:val="1"/>
    </w:lvl>
  </w:abstractNum>
  <w:abstractNum w:abstractNumId="53">
    <w:nsid w:val="39386575"/>
    <w:multiLevelType w:val="hybridMultilevel"/>
    <w:lvl w:ilvl="0">
      <w:lvlJc w:val="left"/>
      <w:lvlText w:val="(%1)"/>
      <w:numFmt w:val="decimal"/>
      <w:start w:val="2"/>
    </w:lvl>
    <w:lvl w:ilvl="1">
      <w:lvlJc w:val="left"/>
      <w:lvlText w:val="(%2)"/>
      <w:numFmt w:val="lowerRoman"/>
      <w:start w:val="1"/>
    </w:lvl>
  </w:abstractNum>
  <w:abstractNum w:abstractNumId="54">
    <w:nsid w:val="1CF10FD8"/>
    <w:multiLevelType w:val="hybridMultilevel"/>
    <w:lvl w:ilvl="0">
      <w:lvlJc w:val="left"/>
      <w:lvlText w:val="%1"/>
      <w:numFmt w:val="decimal"/>
      <w:start w:val="1"/>
    </w:lvl>
    <w:lvl w:ilvl="1">
      <w:lvlJc w:val="left"/>
      <w:lvlText w:val="(%2)"/>
      <w:numFmt w:val="lowerRoman"/>
      <w:start w:val="2"/>
    </w:lvl>
  </w:abstractNum>
  <w:abstractNum w:abstractNumId="55">
    <w:nsid w:val="180115BE"/>
    <w:multiLevelType w:val="hybridMultilevel"/>
    <w:lvl w:ilvl="0">
      <w:lvlJc w:val="left"/>
      <w:lvlText w:val="(%1)"/>
      <w:numFmt w:val="decimal"/>
      <w:start w:val="5"/>
    </w:lvl>
    <w:lvl w:ilvl="1">
      <w:lvlJc w:val="left"/>
      <w:lvlText w:val="(%2)"/>
      <w:numFmt w:val="lowerRoman"/>
      <w:start w:val="1"/>
    </w:lvl>
  </w:abstractNum>
  <w:abstractNum w:abstractNumId="56">
    <w:nsid w:val="235BA861"/>
    <w:multiLevelType w:val="hybridMultilevel"/>
    <w:lvl w:ilvl="0">
      <w:lvlJc w:val="left"/>
      <w:lvlText w:val="(%1)"/>
      <w:numFmt w:val="lowerLetter"/>
      <w:start w:val="2"/>
    </w:lvl>
    <w:lvl w:ilvl="1">
      <w:lvlJc w:val="left"/>
      <w:lvlText w:val="(%2)"/>
      <w:numFmt w:val="lowerRoman"/>
      <w:start w:val="1"/>
    </w:lvl>
  </w:abstractNum>
  <w:abstractNum w:abstractNumId="57">
    <w:nsid w:val="47398C89"/>
    <w:multiLevelType w:val="hybridMultilevel"/>
    <w:lvl w:ilvl="0">
      <w:lvlJc w:val="left"/>
      <w:lvlText w:val="(%1)"/>
      <w:numFmt w:val="lowerLetter"/>
      <w:start w:val="5"/>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jpe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jpe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pn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jpeg"/><Relationship Id="rId106" Type="http://schemas.openxmlformats.org/officeDocument/2006/relationships/image" Target="media/image93.png"/><Relationship Id="rId107" Type="http://schemas.openxmlformats.org/officeDocument/2006/relationships/image" Target="media/image94.png"/><Relationship Id="rId108" Type="http://schemas.openxmlformats.org/officeDocument/2006/relationships/image" Target="media/image95.png"/><Relationship Id="rId109" Type="http://schemas.openxmlformats.org/officeDocument/2006/relationships/image" Target="media/image96.png"/><Relationship Id="rId110" Type="http://schemas.openxmlformats.org/officeDocument/2006/relationships/image" Target="media/image97.png"/><Relationship Id="rId111" Type="http://schemas.openxmlformats.org/officeDocument/2006/relationships/image" Target="media/image98.png"/><Relationship Id="rId122"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26" Type="http://schemas.openxmlformats.org/officeDocument/2006/relationships/hyperlink" Target="http://www.sec.gov/ix?doc=/Archives/edgar/data/1707502/000095017024030508/sldb-20231231.htm" TargetMode="External"/><Relationship Id="rId27" Type="http://schemas.openxmlformats.org/officeDocument/2006/relationships/hyperlink" Target="http://www.sec.gov/Archives/edgar/data/1707502/000119312524118079/d804494ddef14a.htm" TargetMode="External"/><Relationship Id="rId28" Type="http://schemas.openxmlformats.org/officeDocument/2006/relationships/hyperlink" Target="http://www.sec.gov/ix?doc=/Archives/edgar/data/1707502/000095017024060034/sldb-20240331.htm" TargetMode="External"/><Relationship Id="rId29" Type="http://schemas.openxmlformats.org/officeDocument/2006/relationships/hyperlink" Target="http://www.sec.gov/ix?doc=/Archives/edgar/data/1707502/000119312524003882/d690167d8k.htm" TargetMode="External"/><Relationship Id="rId30" Type="http://schemas.openxmlformats.org/officeDocument/2006/relationships/hyperlink" Target="http://www.sec.gov/Archives/edgar/data/1707502/000119312518015776/d520894d8a12b.htm" TargetMode="External"/><Relationship Id="rId31" Type="http://schemas.openxmlformats.org/officeDocument/2006/relationships/hyperlink" Target="http://www.sec.gov/Archives/edgar/data/1707502/000095017023009318/sldb-ex4_2.htm" TargetMode="External"/><Relationship Id="rId112" Type="http://schemas.openxmlformats.org/officeDocument/2006/relationships/hyperlink" Target="http://www.sec.gov/Archives/edgar/data/1707502/000095017024030508/sldb-ex10_30.htm" TargetMode="External"/><Relationship Id="rId113" Type="http://schemas.openxmlformats.org/officeDocument/2006/relationships/hyperlink" Target="http://www.sec.gov/Archives/edgar/data/1707502/000119312522254807/d375823dex21.htm" TargetMode="External"/><Relationship Id="rId114" Type="http://schemas.openxmlformats.org/officeDocument/2006/relationships/hyperlink" Target="http://www.sec.gov/Archives/edgar/data/1707502/000119312522297087/d316377dex41.htm" TargetMode="External"/><Relationship Id="rId115" Type="http://schemas.openxmlformats.org/officeDocument/2006/relationships/hyperlink" Target="http://www.sec.gov/Archives/edgar/data/1707502/000119312518023680/d538639dex42.htm" TargetMode="External"/><Relationship Id="rId116" Type="http://schemas.openxmlformats.org/officeDocument/2006/relationships/hyperlink" Target="http://www.sec.gov/Archives/edgar/data/1707502/000119312517383428/d404258dex41.htm" TargetMode="External"/><Relationship Id="rId117" Type="http://schemas.openxmlformats.org/officeDocument/2006/relationships/hyperlink" Target="http://www.sec.gov/Archives/edgar/data/1707502/000119312524066471/d764725dex44.htm" TargetMode="External"/><Relationship Id="rId118" Type="http://schemas.openxmlformats.org/officeDocument/2006/relationships/hyperlink" Target="http://www.sec.gov/Archives/edgar/data/1707502/000119312524066471/d764725dex45.htm" TargetMode="External"/><Relationship Id="rId119" Type="http://schemas.openxmlformats.org/officeDocument/2006/relationships/hyperlink" Target="http://www.sec.gov/Archives/edgar/data/1707502/000119312524066471/d764725dex46.htm" TargetMode="External"/><Relationship Id="rId120" Type="http://schemas.openxmlformats.org/officeDocument/2006/relationships/hyperlink" Target="http://www.sec.gov/Archives/edgar/data/1707502/000119312524066471/d764725dex47.htm" TargetMode="External"/><Relationship Id="rId121" Type="http://schemas.openxmlformats.org/officeDocument/2006/relationships/hyperlink" Target="http://www.sec.gov/Archives/edgar/data/1707502/000119312524066471/d764725dex51.htm" TargetMode="External"/><Relationship Id="rId123" Type="http://schemas.openxmlformats.org/officeDocument/2006/relationships/hyperlink" Target="http://www.sec.gov/Archives/edgar/data/1707502/000119312524066471/d764725ds3.htm#sa764725_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2024-05-15T07:39:04Z</dcterms:created>
  <dcterms:modified xsi:type="dcterms:W3CDTF">2024-05-15T07:39:04Z</dcterms:modified>
</cp:coreProperties>
</file>